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 </w:t>
      </w:r>
    </w:p>
    <w:p>
      <w:pPr>
        <w:pStyle w:val="TextBody"/>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0" w:after="0"/>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2023 </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80" w:after="283"/>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1-8966 </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SJW GROUP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color w:val="000000"/>
        </w:rPr>
      </w:pPr>
      <w:r>
        <w:rPr>
          <w:color w:val="000000"/>
        </w:rPr>
        <w:t> </w:t>
      </w:r>
    </w:p>
    <w:tbl>
      <w:tblPr>
        <w:tblW w:w="8750" w:type="dxa"/>
        <w:jc w:val="center"/>
        <w:tblInd w:w="0" w:type="dxa"/>
        <w:tblCellMar>
          <w:top w:w="28" w:type="dxa"/>
          <w:left w:w="28" w:type="dxa"/>
          <w:bottom w:w="28" w:type="dxa"/>
          <w:right w:w="28" w:type="dxa"/>
        </w:tblCellMar>
      </w:tblPr>
      <w:tblGrid>
        <w:gridCol w:w="774"/>
        <w:gridCol w:w="678"/>
        <w:gridCol w:w="678"/>
        <w:gridCol w:w="540"/>
        <w:gridCol w:w="540"/>
        <w:gridCol w:w="540"/>
        <w:gridCol w:w="540"/>
        <w:gridCol w:w="540"/>
        <w:gridCol w:w="564"/>
        <w:gridCol w:w="109"/>
        <w:gridCol w:w="109"/>
        <w:gridCol w:w="109"/>
        <w:gridCol w:w="884"/>
        <w:gridCol w:w="884"/>
        <w:gridCol w:w="1261"/>
      </w:tblGrid>
      <w:tr>
        <w:trPr/>
        <w:tc>
          <w:tcPr>
            <w:tcW w:w="77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5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77-0066628</w:t>
            </w:r>
          </w:p>
        </w:tc>
      </w:tr>
      <w:tr>
        <w:trPr/>
        <w:tc>
          <w:tcPr>
            <w:tcW w:w="5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 West Taylor Street,</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Jose,</w:t>
            </w:r>
          </w:p>
        </w:tc>
        <w:tc>
          <w:tcPr>
            <w:tcW w:w="1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95110</w:t>
            </w:r>
          </w:p>
        </w:tc>
      </w:tr>
      <w:tr>
        <w:trPr/>
        <w:tc>
          <w:tcPr>
            <w:tcW w:w="5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(408) 279-7800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73" w:type="dxa"/>
        <w:jc w:val="center"/>
        <w:tblInd w:w="0" w:type="dxa"/>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SJW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 LLC</w:t>
            </w:r>
          </w:p>
        </w:tc>
      </w:tr>
    </w:tbl>
    <w:p>
      <w:pPr>
        <w:pStyle w:val="TextBody"/>
        <w:spacing w:lineRule="auto" w:line="288" w:before="0" w:after="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333333"/>
        </w:rPr>
        <w:t xml:space="preserve">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pStyle w:val="TextBody"/>
        <w:spacing w:lineRule="auto" w:line="288" w:before="120" w:after="283"/>
        <w:rPr/>
      </w:pPr>
      <w:r>
        <w:rPr>
          <w:color w:val="000000"/>
        </w:rPr>
        <w:t>        </w:t>
      </w:r>
      <w:r>
        <w:rPr>
          <w:rFonts w:ascii="Times New Roman;sans-serif" w:hAnsi="Times New Roman;sans-serif"/>
          <w:b w:val="false"/>
          <w:color w:val="000000"/>
          <w:sz w:val="20"/>
        </w:rPr>
        <w:t>Large accelerated filer  </w:t>
      </w:r>
      <w:r>
        <w:rPr>
          <w:color w:val="000000"/>
        </w:rPr>
        <w:t>☒                </w:t>
      </w:r>
      <w:r>
        <w:rPr>
          <w:rFonts w:ascii="Times New Roman;sans-serif" w:hAnsi="Times New Roman;sans-serif"/>
          <w:b w:val="false"/>
          <w:color w:val="000000"/>
          <w:sz w:val="20"/>
        </w:rPr>
        <w:t>Non-accelerated filer  </w:t>
      </w:r>
      <w:r>
        <w:rPr>
          <w:color w:val="000000"/>
        </w:rPr>
        <w:t>☐    </w:t>
      </w:r>
    </w:p>
    <w:p>
      <w:pPr>
        <w:pStyle w:val="TextBody"/>
        <w:spacing w:lineRule="auto" w:line="288" w:before="0" w:after="0"/>
        <w:rPr/>
      </w:pPr>
      <w:r>
        <w:rPr>
          <w:color w:val="000000"/>
        </w:rPr>
        <w:t>        </w:t>
      </w:r>
      <w:r>
        <w:rPr>
          <w:rFonts w:ascii="Times New Roman;sans-serif" w:hAnsi="Times New Roman;sans-serif"/>
          <w:b w:val="false"/>
          <w:color w:val="000000"/>
          <w:sz w:val="20"/>
        </w:rPr>
        <w:t>Accelerated filer  </w:t>
      </w:r>
      <w:r>
        <w:rPr>
          <w:color w:val="000000"/>
        </w:rPr>
        <w:t>☐                </w:t>
      </w:r>
      <w:r>
        <w:rPr>
          <w:rFonts w:ascii="Times New Roman;sans-serif" w:hAnsi="Times New Roman;sans-serif"/>
          <w:b w:val="false"/>
          <w:color w:val="000000"/>
          <w:sz w:val="20"/>
        </w:rPr>
        <w:t>Smaller reporting company  </w:t>
      </w:r>
      <w:r>
        <w:rPr>
          <w:color w:val="000000"/>
        </w:rPr>
        <w:t xml:space="preserve">☐ </w:t>
      </w:r>
    </w:p>
    <w:p>
      <w:pPr>
        <w:pStyle w:val="TextBody"/>
        <w:spacing w:lineRule="auto" w:line="288" w:before="0" w:after="0"/>
        <w:rPr/>
      </w:pPr>
      <w:r>
        <w:rPr>
          <w:color w:val="000000"/>
        </w:rPr>
        <w:t>        </w:t>
      </w:r>
      <w:r>
        <w:rPr>
          <w:rFonts w:ascii="Times New Roman;sans-serif" w:hAnsi="Times New Roman;sans-serif"/>
          <w:b w:val="false"/>
          <w:color w:val="000000"/>
          <w:sz w:val="20"/>
        </w:rPr>
        <w:t>Emerging growth company  </w:t>
      </w:r>
      <w:r>
        <w:rPr>
          <w:color w:val="000000"/>
        </w:rPr>
        <w:t xml:space="preserve">☐ </w:t>
      </w:r>
    </w:p>
    <w:p>
      <w:pPr>
        <w:pStyle w:val="TextBody"/>
        <w:spacing w:lineRule="auto" w:line="288" w:before="8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120" w:after="283"/>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APPLICABLE ONLY TO CORPORATE ISSUERS: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of April 25, 2023, there were 31,427,284 shares of the registrant’s Common Stock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160" w:after="283"/>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accuracy of such statements is subject to a number of risks, uncertainties and assumptions including, but not limited to, the following factors: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 xml:space="preserve">the effect of water, utility, environmental and other governmental policies and regulations, including regulatory actions concerning rates, authorized return on equity, authorized capital structures, capital expenditures and other decisions;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 xml:space="preserve">changes in demand for water and other services;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 xml:space="preserve">unanticipated weather conditions and changes in seasonality including those affecting water supply and customer usage;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 xml:space="preserve">the effect of the impact of climate change;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unexpected costs, charges or expenses;</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 xml:space="preserve">our ability to successfully evaluate investments in new business and growth initiatives;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contamination of our water supplies and damage or failure of our water equipment and infrastructure;</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 xml:space="preserve">the risk of work stoppages, strikes and other labor-related actions;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catastrophic events such as fires, earthquakes, explosions, floods, ice storms, tornadoes, hurricanes, terrorist acts, physical attacks, cyber-attacks, epidemic or other similar occurrences;</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 xml:space="preserve">changes in general economic, political, business and financial market conditions;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 xml:space="preserve">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 </w:t>
      </w:r>
    </w:p>
    <w:p>
      <w:pPr>
        <w:pStyle w:val="TextBody"/>
        <w:spacing w:lineRule="auto" w:line="288" w:before="160" w:after="283"/>
        <w:ind w:left="0" w:right="0" w:hanging="360"/>
        <w:rPr/>
      </w:pPr>
      <w:r>
        <w:rPr>
          <w:color w:val="000000"/>
        </w:rPr>
        <w:t>•</w:t>
      </w:r>
      <w:r>
        <w:rPr>
          <w:rFonts w:ascii="Times New Roman;sans-serif" w:hAnsi="Times New Roman;sans-serif"/>
          <w:b w:val="false"/>
          <w:color w:val="000000"/>
          <w:sz w:val="20"/>
        </w:rPr>
        <w:t>legislative and general market and economic developments.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pStyle w:val="TextBody"/>
        <w:spacing w:before="160" w:after="283"/>
        <w:rPr/>
      </w:pPr>
      <w:r>
        <w:rPr/>
      </w:r>
    </w:p>
    <w:p>
      <w:pPr>
        <w:pStyle w:val="TextBody"/>
        <w:spacing w:before="160" w:after="283"/>
        <w:rPr/>
      </w:pPr>
      <w:r>
        <w:rPr/>
      </w:r>
    </w:p>
    <w:p>
      <w:pPr>
        <w:pStyle w:val="TextBody"/>
        <w:spacing w:before="1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SJW GROUP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COMPREHENSIVE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spacing w:lineRule="auto" w:line="288" w:before="0" w:after="0"/>
        <w:rPr>
          <w:color w:val="000000"/>
        </w:rPr>
      </w:pPr>
      <w:r>
        <w:rPr>
          <w:color w:val="000000"/>
        </w:rPr>
        <w:t> </w:t>
      </w:r>
    </w:p>
    <w:tbl>
      <w:tblPr>
        <w:tblW w:w="8573" w:type="dxa"/>
        <w:jc w:val="left"/>
        <w:tblInd w:w="0" w:type="dxa"/>
        <w:tblCellMar>
          <w:top w:w="28" w:type="dxa"/>
          <w:left w:w="28" w:type="dxa"/>
          <w:bottom w:w="28" w:type="dxa"/>
          <w:right w:w="28" w:type="dxa"/>
        </w:tblCellMar>
      </w:tblPr>
      <w:tblGrid>
        <w:gridCol w:w="1587"/>
        <w:gridCol w:w="1393"/>
        <w:gridCol w:w="1400"/>
        <w:gridCol w:w="109"/>
        <w:gridCol w:w="109"/>
        <w:gridCol w:w="188"/>
        <w:gridCol w:w="188"/>
        <w:gridCol w:w="364"/>
        <w:gridCol w:w="1426"/>
        <w:gridCol w:w="188"/>
        <w:gridCol w:w="109"/>
        <w:gridCol w:w="109"/>
        <w:gridCol w:w="109"/>
        <w:gridCol w:w="540"/>
        <w:gridCol w:w="541"/>
        <w:gridCol w:w="213"/>
      </w:tblGrid>
      <w:tr>
        <w:trPr/>
        <w:tc>
          <w:tcPr>
            <w:tcW w:w="1587"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21" w:type="dxa"/>
            <w:gridSpan w:val="6"/>
            <w:tcBorders/>
            <w:shd w:fill="auto" w:val="clea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19,217 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 extraction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production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nonutility properties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(15,772)</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non-service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net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30,936,476 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30,224,135 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31,040,897 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30,335,974 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SJW GROUP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650"/>
        <w:gridCol w:w="2278"/>
        <w:gridCol w:w="2248"/>
        <w:gridCol w:w="211"/>
        <w:gridCol w:w="976"/>
        <w:gridCol w:w="109"/>
        <w:gridCol w:w="109"/>
        <w:gridCol w:w="109"/>
        <w:gridCol w:w="109"/>
        <w:gridCol w:w="487"/>
        <w:gridCol w:w="489"/>
        <w:gridCol w:w="430"/>
      </w:tblGrid>
      <w:tr>
        <w:trPr/>
        <w:tc>
          <w:tcPr>
            <w:tcW w:w="2650"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22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7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plant:</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39,982 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plant and equipment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3,661,285 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116,851 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35,959 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3,854,077 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1,223,760 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2,630,317 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and nonutility properties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58,033 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17,158 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 investments and nonutility properties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40,875 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12,344 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Customers, net of allowances for uncollectible accounts of $5,851 and $5,753 on March 31, 2023 and December 31,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59,172 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utility revenue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45,722 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regulatory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154,714 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regulatory assets, less current portion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127,275 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640,311 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806,718 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3,632,624 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SJW GROUP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650"/>
        <w:gridCol w:w="2267"/>
        <w:gridCol w:w="2276"/>
        <w:gridCol w:w="211"/>
        <w:gridCol w:w="976"/>
        <w:gridCol w:w="109"/>
        <w:gridCol w:w="109"/>
        <w:gridCol w:w="109"/>
        <w:gridCol w:w="109"/>
        <w:gridCol w:w="488"/>
        <w:gridCol w:w="488"/>
        <w:gridCol w:w="413"/>
      </w:tblGrid>
      <w:tr>
        <w:trPr/>
        <w:tc>
          <w:tcPr>
            <w:tcW w:w="2650" w:type="dxa"/>
            <w:tcBorders/>
            <w:shd w:fill="auto" w:val="clear"/>
            <w:vAlign w:val="center"/>
          </w:tcPr>
          <w:p>
            <w:pPr>
              <w:pStyle w:val="TableContents"/>
              <w:spacing w:before="0" w:after="283"/>
              <w:rPr>
                <w:sz w:val="4"/>
                <w:szCs w:val="4"/>
              </w:rPr>
            </w:pPr>
            <w:r>
              <w:rPr>
                <w:sz w:val="4"/>
                <w:szCs w:val="4"/>
              </w:rPr>
            </w:r>
          </w:p>
        </w:tc>
        <w:tc>
          <w:tcPr>
            <w:tcW w:w="2267"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71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Common stock, $0.001 par value; authorized 70,000,000 shares; issued and outstanding share</w:t>
            </w:r>
            <w:r>
              <w:rPr>
                <w:rFonts w:ascii="Times New Roman;sans-serif" w:hAnsi="Times New Roman;sans-serif"/>
                <w:b w:val="false"/>
                <w:color w:val="000000"/>
                <w:sz w:val="20"/>
                <w:highlight w:val="white"/>
              </w:rPr>
              <w:t>s 31,427,124</w:t>
            </w:r>
            <w:r>
              <w:rPr>
                <w:color w:val="000000"/>
              </w:rPr>
              <w:t xml:space="preserve"> </w:t>
            </w:r>
            <w:r>
              <w:rPr>
                <w:rFonts w:ascii="Times New Roman;sans-serif" w:hAnsi="Times New Roman;sans-serif"/>
                <w:b w:val="false"/>
                <w:color w:val="000000"/>
                <w:sz w:val="20"/>
              </w:rPr>
              <w:t>on March 31, 2023 and 30,801,912 on December 31, 2022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651,004 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458,356 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1,110,868 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1,491,965 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2,602,833 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159,578 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groundwater extraction charges, purchased water and power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19,707 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29,581 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264,650 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218,155 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FOR CONSTRUCTION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137,696 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IN AID OF CONSTRUCTION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323,668 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59,738 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25,884 </w:t>
            </w:r>
          </w:p>
        </w:tc>
        <w:tc>
          <w:tcPr>
            <w:tcW w:w="4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3,632,624 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SJW GROUP AND SUBSIDIARIES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CHANGES IN STOCKHOLDERS’ EQUITY</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spacing w:lineRule="auto" w:line="288" w:before="0" w:after="0"/>
        <w:rPr>
          <w:color w:val="000000"/>
        </w:rPr>
      </w:pPr>
      <w:r>
        <w:rPr>
          <w:color w:val="000000"/>
        </w:rPr>
        <w:t> </w:t>
      </w:r>
    </w:p>
    <w:tbl>
      <w:tblPr>
        <w:tblW w:w="10402" w:type="dxa"/>
        <w:jc w:val="left"/>
        <w:tblInd w:w="0" w:type="dxa"/>
        <w:tblCellMar>
          <w:top w:w="28" w:type="dxa"/>
          <w:left w:w="28" w:type="dxa"/>
          <w:bottom w:w="28" w:type="dxa"/>
          <w:right w:w="28" w:type="dxa"/>
        </w:tblCellMar>
      </w:tblPr>
      <w:tblGrid>
        <w:gridCol w:w="505"/>
        <w:gridCol w:w="377"/>
        <w:gridCol w:w="379"/>
        <w:gridCol w:w="540"/>
        <w:gridCol w:w="541"/>
        <w:gridCol w:w="231"/>
        <w:gridCol w:w="109"/>
        <w:gridCol w:w="109"/>
        <w:gridCol w:w="109"/>
        <w:gridCol w:w="214"/>
        <w:gridCol w:w="366"/>
        <w:gridCol w:w="111"/>
        <w:gridCol w:w="109"/>
        <w:gridCol w:w="109"/>
        <w:gridCol w:w="109"/>
        <w:gridCol w:w="211"/>
        <w:gridCol w:w="826"/>
        <w:gridCol w:w="109"/>
        <w:gridCol w:w="109"/>
        <w:gridCol w:w="109"/>
        <w:gridCol w:w="109"/>
        <w:gridCol w:w="211"/>
        <w:gridCol w:w="826"/>
        <w:gridCol w:w="109"/>
        <w:gridCol w:w="109"/>
        <w:gridCol w:w="109"/>
        <w:gridCol w:w="109"/>
        <w:gridCol w:w="274"/>
        <w:gridCol w:w="800"/>
        <w:gridCol w:w="142"/>
        <w:gridCol w:w="109"/>
        <w:gridCol w:w="109"/>
        <w:gridCol w:w="109"/>
        <w:gridCol w:w="109"/>
        <w:gridCol w:w="109"/>
        <w:gridCol w:w="109"/>
        <w:gridCol w:w="109"/>
        <w:gridCol w:w="109"/>
        <w:gridCol w:w="109"/>
        <w:gridCol w:w="211"/>
        <w:gridCol w:w="976"/>
        <w:gridCol w:w="154"/>
      </w:tblGrid>
      <w:tr>
        <w:trPr/>
        <w:tc>
          <w:tcPr>
            <w:tcW w:w="50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30,801,912 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 net of taxes of $0</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570,026 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($0.38 per share)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March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31,427,124 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00" w:after="283"/>
        <w:rPr/>
      </w:pPr>
      <w:r>
        <w:rPr/>
      </w:r>
    </w:p>
    <w:tbl>
      <w:tblPr>
        <w:tblW w:w="10402" w:type="dxa"/>
        <w:jc w:val="left"/>
        <w:tblInd w:w="0" w:type="dxa"/>
        <w:tblCellMar>
          <w:top w:w="28" w:type="dxa"/>
          <w:left w:w="28" w:type="dxa"/>
          <w:bottom w:w="28" w:type="dxa"/>
          <w:right w:w="28" w:type="dxa"/>
        </w:tblCellMar>
      </w:tblPr>
      <w:tblGrid>
        <w:gridCol w:w="505"/>
        <w:gridCol w:w="377"/>
        <w:gridCol w:w="379"/>
        <w:gridCol w:w="540"/>
        <w:gridCol w:w="541"/>
        <w:gridCol w:w="231"/>
        <w:gridCol w:w="109"/>
        <w:gridCol w:w="109"/>
        <w:gridCol w:w="109"/>
        <w:gridCol w:w="214"/>
        <w:gridCol w:w="366"/>
        <w:gridCol w:w="111"/>
        <w:gridCol w:w="109"/>
        <w:gridCol w:w="109"/>
        <w:gridCol w:w="109"/>
        <w:gridCol w:w="211"/>
        <w:gridCol w:w="826"/>
        <w:gridCol w:w="109"/>
        <w:gridCol w:w="109"/>
        <w:gridCol w:w="109"/>
        <w:gridCol w:w="109"/>
        <w:gridCol w:w="211"/>
        <w:gridCol w:w="826"/>
        <w:gridCol w:w="109"/>
        <w:gridCol w:w="109"/>
        <w:gridCol w:w="109"/>
        <w:gridCol w:w="109"/>
        <w:gridCol w:w="320"/>
        <w:gridCol w:w="730"/>
        <w:gridCol w:w="166"/>
        <w:gridCol w:w="109"/>
        <w:gridCol w:w="109"/>
        <w:gridCol w:w="109"/>
        <w:gridCol w:w="109"/>
        <w:gridCol w:w="109"/>
        <w:gridCol w:w="109"/>
        <w:gridCol w:w="109"/>
        <w:gridCol w:w="109"/>
        <w:gridCol w:w="109"/>
        <w:gridCol w:w="211"/>
        <w:gridCol w:w="976"/>
        <w:gridCol w:w="154"/>
      </w:tblGrid>
      <w:tr>
        <w:trPr/>
        <w:tc>
          <w:tcPr>
            <w:tcW w:w="50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30,181,348 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 net of taxes of $67</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37,879 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($0.36 per share)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March 31,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30,237,145 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SJW GROUP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w:t>
      </w:r>
    </w:p>
    <w:tbl>
      <w:tblPr>
        <w:tblW w:w="10205" w:type="dxa"/>
        <w:jc w:val="center"/>
        <w:tblInd w:w="0" w:type="dxa"/>
        <w:tblCellMar>
          <w:top w:w="28" w:type="dxa"/>
          <w:left w:w="28" w:type="dxa"/>
          <w:bottom w:w="28" w:type="dxa"/>
          <w:right w:w="28" w:type="dxa"/>
        </w:tblCellMar>
      </w:tblPr>
      <w:tblGrid>
        <w:gridCol w:w="2735"/>
        <w:gridCol w:w="2340"/>
        <w:gridCol w:w="2353"/>
        <w:gridCol w:w="274"/>
        <w:gridCol w:w="938"/>
        <w:gridCol w:w="141"/>
        <w:gridCol w:w="141"/>
        <w:gridCol w:w="141"/>
        <w:gridCol w:w="141"/>
        <w:gridCol w:w="390"/>
        <w:gridCol w:w="392"/>
        <w:gridCol w:w="219"/>
      </w:tblGrid>
      <w:tr>
        <w:trPr/>
        <w:tc>
          <w:tcPr>
            <w:tcW w:w="2735" w:type="dxa"/>
            <w:tcBorders/>
            <w:shd w:fill="auto" w:val="clear"/>
            <w:vAlign w:val="center"/>
          </w:tcPr>
          <w:p>
            <w:pPr>
              <w:pStyle w:val="TableContents"/>
              <w:spacing w:before="0" w:after="283"/>
              <w:rPr>
                <w:sz w:val="4"/>
                <w:szCs w:val="4"/>
              </w:rPr>
            </w:pPr>
            <w:r>
              <w:rPr>
                <w:sz w:val="4"/>
                <w:szCs w:val="4"/>
              </w:rPr>
            </w:r>
          </w:p>
        </w:tc>
        <w:tc>
          <w:tcPr>
            <w:tcW w:w="2340" w:type="dxa"/>
            <w:tcBorders/>
            <w:shd w:fill="auto" w:val="clear"/>
            <w:vAlign w:val="center"/>
          </w:tcPr>
          <w:p>
            <w:pPr>
              <w:pStyle w:val="TableContents"/>
              <w:spacing w:before="0" w:after="283"/>
              <w:rPr>
                <w:sz w:val="4"/>
                <w:szCs w:val="4"/>
              </w:rPr>
            </w:pPr>
            <w:r>
              <w:rPr>
                <w:sz w:val="4"/>
                <w:szCs w:val="4"/>
              </w:rPr>
            </w:r>
          </w:p>
        </w:tc>
        <w:tc>
          <w:tcPr>
            <w:tcW w:w="235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74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4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equity funds used during construction</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nonutility property</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accrued unbilled utility revenue</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current liabilities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groundwater extraction charges, purchased water and power</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and payable, and other accrued taxes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and liabilities excluding income tax temporary differences, net and postretirement benefits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utility plant:</w:t>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Company-funded</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(52,384)</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(43,727)</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in aid of construction</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retire utility plant, net of salvage</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7428"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(49,442)</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line of credit</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(99,383)</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borrowings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issuance costs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 of advances and contributions in aid of construction</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Refunds of advances for construction</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RESTRICTED CASH, END OF PERIOD</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w:t>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non-cash activities:</w:t>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payables for additions to utility plant</w:t>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19,906 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property installed by developers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2160"/>
        <w:rPr/>
      </w:pPr>
      <w:r>
        <w:rPr>
          <w:rFonts w:ascii="Times New Roman;sans-serif" w:hAnsi="Times New Roman;sans-serif"/>
          <w:b/>
          <w:color w:val="000000"/>
          <w:sz w:val="20"/>
        </w:rPr>
        <w:t>Note 1.</w:t>
      </w:r>
      <w:r>
        <w:rPr>
          <w:rFonts w:ascii="Times New Roman;sans-serif" w:hAnsi="Times New Roman;sans-serif"/>
          <w:b/>
          <w:color w:val="000000"/>
          <w:sz w:val="20"/>
          <w:u w:val="single"/>
        </w:rPr>
        <w:t>General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opinion of management, the accompanying unaudited condensed consolidated financial statements reflect all adjustments (consisting only of normal, recurring adjustments) necessary for a fair presentation of the results for the interim periods.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2022 Annual Report on Form 10-K should be read with the accompanying unaudited condensed consolidated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 is a holding company with five wholly-owned subsidiaries: San Jose Water Company (“SJWC”), SJWNE LLC, SJWTX, Inc., SJW Land Company, and SJWTX Holdings, Inc. SJWNE LLC is the holding company for Connecticut Water Service, Inc. (“CTWS”) whose wholly-subsidiaries are The Connecticut Water Company (“Connecticut Water”), The Maine Water Company (“Maine Water”), New England Water Utility Services, Inc. (“NEWUS”), and Chester Realty, Inc. SJWC, Connecticut Water, SJWTX, Inc. doing business as The Texas Water Company (“Texas Water”), Maine Water and NEWUS are referred to as “Water Utility Services”. SJW Land Company and Chester Realty, Inc. are collectively referred to as “Real Estate Services.”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 streams of revenue for SJW Group are as follows: </w:t>
      </w:r>
    </w:p>
    <w:tbl>
      <w:tblPr>
        <w:tblW w:w="7972" w:type="dxa"/>
        <w:jc w:val="left"/>
        <w:tblInd w:w="0" w:type="dxa"/>
        <w:tblCellMar>
          <w:top w:w="28" w:type="dxa"/>
          <w:left w:w="28" w:type="dxa"/>
          <w:bottom w:w="28" w:type="dxa"/>
          <w:right w:w="28" w:type="dxa"/>
        </w:tblCellMar>
      </w:tblPr>
      <w:tblGrid>
        <w:gridCol w:w="1460"/>
        <w:gridCol w:w="1283"/>
        <w:gridCol w:w="1291"/>
        <w:gridCol w:w="109"/>
        <w:gridCol w:w="109"/>
        <w:gridCol w:w="188"/>
        <w:gridCol w:w="188"/>
        <w:gridCol w:w="364"/>
        <w:gridCol w:w="1426"/>
        <w:gridCol w:w="188"/>
        <w:gridCol w:w="109"/>
        <w:gridCol w:w="109"/>
        <w:gridCol w:w="109"/>
        <w:gridCol w:w="413"/>
        <w:gridCol w:w="413"/>
        <w:gridCol w:w="213"/>
      </w:tblGrid>
      <w:tr>
        <w:trPr/>
        <w:tc>
          <w:tcPr>
            <w:tcW w:w="146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66" w:type="dxa"/>
            <w:gridSpan w:val="6"/>
            <w:tcBorders/>
            <w:shd w:fill="auto" w:val="clea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121,777 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revenue programs,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balancing and memorandum accounts,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regulatory mechanisms,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Real Estate Investments and Nonutility Properties</w:t>
      </w:r>
    </w:p>
    <w:p>
      <w:pPr>
        <w:pStyle w:val="TextBody"/>
        <w:spacing w:lineRule="auto" w:line="288" w:before="120" w:after="283"/>
        <w:rPr/>
      </w:pPr>
      <w:r>
        <w:rPr>
          <w:rFonts w:ascii="Times New Roman;sans-serif" w:hAnsi="Times New Roman;sans-serif"/>
          <w:b w:val="false"/>
          <w:color w:val="000000"/>
          <w:sz w:val="20"/>
        </w:rPr>
        <w:t>The major components of real estate investments and nonutility properties as of March 31, 2023, and December 31, 2022, are as follows:</w:t>
      </w:r>
      <w:r>
        <w:rPr>
          <w:color w:val="000000"/>
        </w:rPr>
        <w:t> </w:t>
      </w:r>
    </w:p>
    <w:tbl>
      <w:tblPr>
        <w:tblW w:w="6565" w:type="dxa"/>
        <w:jc w:val="left"/>
        <w:tblInd w:w="0" w:type="dxa"/>
        <w:tblCellMar>
          <w:top w:w="28" w:type="dxa"/>
          <w:left w:w="28" w:type="dxa"/>
          <w:bottom w:w="28" w:type="dxa"/>
          <w:right w:w="28" w:type="dxa"/>
        </w:tblCellMar>
      </w:tblPr>
      <w:tblGrid>
        <w:gridCol w:w="1488"/>
        <w:gridCol w:w="1304"/>
        <w:gridCol w:w="1317"/>
        <w:gridCol w:w="211"/>
        <w:gridCol w:w="616"/>
        <w:gridCol w:w="109"/>
        <w:gridCol w:w="109"/>
        <w:gridCol w:w="109"/>
        <w:gridCol w:w="109"/>
        <w:gridCol w:w="360"/>
        <w:gridCol w:w="361"/>
        <w:gridCol w:w="472"/>
      </w:tblGrid>
      <w:tr>
        <w:trPr/>
        <w:tc>
          <w:tcPr>
            <w:tcW w:w="1488"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45,418 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17,158 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40,875 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SJW Land Company entered into a broker agreement to sell its warehouse buildings and land property located in Knoxville, Tennessee. The company reclassified the Tennessee properties from held-and-used to held-for-sale at March 31, 2023. The company’s intention is to complete the sale of these assets within a twelve month period. The company recorded the Tennessee properties at the lower of their carrying value or estimated fair value less cost to sell, and also stopped recording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0" w:after="0"/>
        <w:jc w:val="center"/>
        <w:rPr/>
      </w:pPr>
      <w:r>
        <w:rPr/>
      </w:r>
    </w:p>
    <w:p>
      <w:pPr>
        <w:pStyle w:val="TextBody"/>
        <w:spacing w:lineRule="auto" w:line="288" w:before="220" w:after="283"/>
        <w:rPr>
          <w:rFonts w:ascii="Times New Roman;sans-serif" w:hAnsi="Times New Roman;sans-serif"/>
          <w:b w:val="false"/>
          <w:color w:val="000000"/>
          <w:sz w:val="20"/>
        </w:rPr>
      </w:pPr>
      <w:r>
        <w:rPr>
          <w:rFonts w:ascii="Times New Roman;sans-serif" w:hAnsi="Times New Roman;sans-serif"/>
          <w:b w:val="false"/>
          <w:color w:val="000000"/>
          <w:sz w:val="20"/>
        </w:rPr>
        <w:t>depreciation on assets held for sale. The company's broker provided the estimated fair value of the Tennessee properties and we subtracted the estimated costs to sell from that calculated fair value. The resulting net fair value of the Tennessee properties exceeded their carrying value, and accordingly no impairment was recorded.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 of the Tennessee properties does not represent a strategic shift that has or will have a major effect on SJW Group; therefore, the sale does not qualify for treatment as a discontinued operation. </w:t>
      </w:r>
    </w:p>
    <w:p>
      <w:pPr>
        <w:pStyle w:val="TextBody"/>
        <w:spacing w:lineRule="auto" w:line="288" w:before="120" w:after="283"/>
        <w:rPr/>
      </w:pPr>
      <w:r>
        <w:rPr>
          <w:rFonts w:ascii="Times New Roman;sans-serif" w:hAnsi="Times New Roman;sans-serif"/>
          <w:b w:val="false"/>
          <w:color w:val="000000"/>
          <w:sz w:val="20"/>
        </w:rPr>
        <w:t xml:space="preserve">The Tennessee warehouse buildings and land property is included in SJW Group’s “Real Estate Services” reportable segment in </w:t>
      </w:r>
      <w:hyperlink w:anchor="i5dfde4b795f848ae9c2326ead50c6135_55">
        <w:r>
          <w:rPr>
            <w:rStyle w:val="InternetLink"/>
            <w:rFonts w:ascii="Times New Roman;sans-serif" w:hAnsi="Times New Roman;sans-serif"/>
            <w:b w:val="false"/>
            <w:color w:val="0000FF"/>
            <w:sz w:val="20"/>
            <w:u w:val="single"/>
          </w:rPr>
          <w:t>Note 9</w:t>
        </w:r>
      </w:hyperlink>
      <w:r>
        <w:rPr>
          <w:rFonts w:ascii="Times New Roman;sans-serif" w:hAnsi="Times New Roman;sans-serif"/>
          <w:b w:val="false"/>
          <w:color w:val="000000"/>
          <w:sz w:val="20"/>
        </w:rPr>
        <w:t>, “Segment and Non-Tariffed Business Reporting.” The following represents the major components of the Tennessee warehouse building and land property recorded in assets held-for-sale on the condensed consolidated balance sheets as of March 31, 2023:</w:t>
      </w:r>
    </w:p>
    <w:tbl>
      <w:tblPr>
        <w:tblW w:w="5413" w:type="dxa"/>
        <w:jc w:val="left"/>
        <w:tblInd w:w="0" w:type="dxa"/>
        <w:tblCellMar>
          <w:top w:w="28" w:type="dxa"/>
          <w:left w:w="28" w:type="dxa"/>
          <w:bottom w:w="28" w:type="dxa"/>
          <w:right w:w="28" w:type="dxa"/>
        </w:tblCellMar>
      </w:tblPr>
      <w:tblGrid>
        <w:gridCol w:w="1488"/>
        <w:gridCol w:w="1304"/>
        <w:gridCol w:w="1317"/>
        <w:gridCol w:w="211"/>
        <w:gridCol w:w="721"/>
        <w:gridCol w:w="109"/>
        <w:gridCol w:w="109"/>
        <w:gridCol w:w="154"/>
      </w:tblGrid>
      <w:tr>
        <w:trPr/>
        <w:tc>
          <w:tcPr>
            <w:tcW w:w="1488"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20" w:after="283"/>
        <w:rPr>
          <w:rFonts w:ascii="Times New Roman;sans-serif" w:hAnsi="Times New Roman;sans-serif"/>
          <w:b w:val="false"/>
          <w:color w:val="000000"/>
          <w:sz w:val="20"/>
        </w:rPr>
      </w:pPr>
      <w:r>
        <w:rPr>
          <w:rFonts w:ascii="Times New Roman;sans-serif" w:hAnsi="Times New Roman;sans-serif"/>
          <w:b w:val="false"/>
          <w:color w:val="000000"/>
          <w:sz w:val="20"/>
        </w:rPr>
        <w:t>On February 15, 2022, the California Public Utilities Commission (“CPUC”) review on a SJWC nonutility property sold in October 2021 was completed and the deferred gain of $5,442 was recognized as gain on sale in the first quarter of 2022.</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Fair Value Measurement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instruments are not measured at fair value on SJW Group’s condensed consolidated balance sheets as of March 31, 2023, but require disclosure of their fair values: cash and cash equivalents, accounts receivable and accounts payable. The estimated fair value of such instruments as of March 31, 2023, approximates their carrying value as reported on the condensed consolidated balance sheets. There have been no changes in valuation techniques during the three months ended March 31, 2023. The fair value of these instruments would be categorized as Level 2 in the fair value hierarchy, with the exception of cash and cash equivalents, which would be categorized as Level 1. </w:t>
      </w:r>
    </w:p>
    <w:p>
      <w:pPr>
        <w:pStyle w:val="TextBody"/>
        <w:spacing w:lineRule="auto" w:line="288" w:before="120" w:after="283"/>
        <w:rPr/>
      </w:pPr>
      <w:r>
        <w:rPr>
          <w:rFonts w:ascii="Times New Roman;sans-serif" w:hAnsi="Times New Roman;sans-serif"/>
          <w:b w:val="false"/>
          <w:color w:val="000000"/>
          <w:sz w:val="20"/>
        </w:rPr>
        <w:t xml:space="preserve">The fair value of SJW Group’s long-term debt was approximately $1,383,468 and $1,294,354 as of March 31, 2023, and December 31, 2022, respectively, and was determined using a discounted cash flow analysis, based on the current rates for similar financial instruments of the same duration and creditworthiness of the company. The book value of long-term debt was </w:t>
      </w:r>
      <w:r>
        <w:rPr>
          <w:rFonts w:ascii="Times New Roman;sans-serif" w:hAnsi="Times New Roman;sans-serif"/>
          <w:b w:val="false"/>
          <w:color w:val="000000"/>
          <w:sz w:val="20"/>
          <w:highlight w:val="white"/>
        </w:rPr>
        <w:t>$1,564,636</w:t>
      </w:r>
      <w:r>
        <w:rPr>
          <w:color w:val="000000"/>
        </w:rPr>
        <w:t xml:space="preserve"> </w:t>
      </w:r>
      <w:r>
        <w:rPr>
          <w:rFonts w:ascii="Times New Roman;sans-serif" w:hAnsi="Times New Roman;sans-serif"/>
          <w:b w:val="false"/>
          <w:color w:val="000000"/>
          <w:sz w:val="20"/>
        </w:rPr>
        <w:t>and $1,496,325 as of March 31, 2023, and December 31, 2022, respectively. The fair value of long-term debt would be categorized as Level 2 in the fair value hierarchy.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$2,848 and $2,809 as of March 31, 2023, and December 31, 2022, respectively, and are categorized as Level 1 in the fair value hierarchy.</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shares potentially issuable under the performance stock plans assumed through the business combination with CTWS, and shares potentially issuable under the Employee Stock Purchase Plan (“ESPP”). For the three months ended March 31, 2023 and 2022, 8,855 and 10,860 anti-dilutive restricted common stock units were excluded from the dilutive earnings per share calculation, respectively. </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0" w:after="0"/>
        <w:jc w:val="center"/>
        <w:rPr/>
      </w:pPr>
      <w:r>
        <w:rPr/>
      </w:r>
    </w:p>
    <w:p>
      <w:pPr>
        <w:pStyle w:val="TextBody"/>
        <w:spacing w:lineRule="auto" w:line="288" w:before="0" w:after="0"/>
        <w:ind w:left="0" w:right="0" w:hanging="2160"/>
        <w:rPr/>
      </w:pPr>
      <w:r>
        <w:rPr>
          <w:rFonts w:ascii="Times New Roman;sans-serif" w:hAnsi="Times New Roman;sans-serif"/>
          <w:b/>
          <w:color w:val="000000"/>
          <w:sz w:val="20"/>
        </w:rPr>
        <w:t>Note 2.</w:t>
      </w:r>
      <w:r>
        <w:rPr>
          <w:rFonts w:ascii="Times New Roman;sans-serif" w:hAnsi="Times New Roman;sans-serif"/>
          <w:b/>
          <w:color w:val="000000"/>
          <w:sz w:val="20"/>
          <w:u w:val="single"/>
        </w:rPr>
        <w:t>Regulatory Matters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Regulatory assets, net are comprised of the following as of March 31, 2023, and December 31, 2022:</w:t>
      </w:r>
    </w:p>
    <w:tbl>
      <w:tblPr>
        <w:tblW w:w="9337" w:type="dxa"/>
        <w:jc w:val="left"/>
        <w:tblInd w:w="0" w:type="dxa"/>
        <w:tblCellMar>
          <w:top w:w="28" w:type="dxa"/>
          <w:left w:w="28" w:type="dxa"/>
          <w:bottom w:w="28" w:type="dxa"/>
          <w:right w:w="28" w:type="dxa"/>
        </w:tblCellMar>
      </w:tblPr>
      <w:tblGrid>
        <w:gridCol w:w="2130"/>
        <w:gridCol w:w="1871"/>
        <w:gridCol w:w="1879"/>
        <w:gridCol w:w="109"/>
        <w:gridCol w:w="109"/>
        <w:gridCol w:w="109"/>
        <w:gridCol w:w="232"/>
        <w:gridCol w:w="908"/>
        <w:gridCol w:w="119"/>
        <w:gridCol w:w="109"/>
        <w:gridCol w:w="109"/>
        <w:gridCol w:w="109"/>
        <w:gridCol w:w="452"/>
        <w:gridCol w:w="452"/>
        <w:gridCol w:w="640"/>
      </w:tblGrid>
      <w:tr>
        <w:trPr/>
        <w:tc>
          <w:tcPr>
            <w:tcW w:w="2130"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5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temporary differences,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43,434 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pensions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31,493 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debt premium,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17,396 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Monterey Water Revenue Adjustment Mechanism (“MWRAM”)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Conservation Memorandum Account (“WCMA”)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General Rate Case Interim Memorandum Account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20,650 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recovery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balancing and memorandum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Revenue Adjustment (“WRA”)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assets, net in Condensed Consolidated Balance Sheets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137,358 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143,343 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regulatory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assets, net, 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127,275 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SJWC has established balancing accounts for the purpose of tracking the under-collection or over-collection associated with expense changes and revenue authorized by the CPUC to offset those expense changes. In 2022, SJWC’s general rate case decision approved the use of the Full Cost Balancing Account to track the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reductions. SJWC records the lost revenue captured in the WCMA balancing accounts. Drought surcharges collected are used to offset the revenue losses tracked in the WCMA.</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Connecticut Water has established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SJW Group’s regulatory assets, net, not earning a return primarily included postretirement pensions and the unfunded amount of other medical benefits, and business combination debt premiums, net. The total amount of regulatory assets, net not earning a return at March 31, 2023, and December 31, 2022, either by interest on the regulatory asset/liability or as a component of rate base at the allowed rate of return was $51,002 and $52,066,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0" w:after="0"/>
        <w:jc w:val="center"/>
        <w:rPr/>
      </w:pPr>
      <w:r>
        <w:rPr/>
      </w:r>
    </w:p>
    <w:p>
      <w:pPr>
        <w:pStyle w:val="TextBody"/>
        <w:spacing w:lineRule="auto" w:line="288" w:before="0" w:after="0"/>
        <w:ind w:left="0" w:right="0" w:hanging="2160"/>
        <w:rPr/>
      </w:pPr>
      <w:r>
        <w:rPr>
          <w:rFonts w:ascii="Times New Roman;sans-serif" w:hAnsi="Times New Roman;sans-serif"/>
          <w:b/>
          <w:color w:val="000000"/>
          <w:sz w:val="20"/>
        </w:rPr>
        <w:t>Note 3.</w:t>
      </w:r>
      <w:r>
        <w:rPr>
          <w:rFonts w:ascii="Times New Roman;sans-serif" w:hAnsi="Times New Roman;sans-serif"/>
          <w:b/>
          <w:color w:val="000000"/>
          <w:sz w:val="20"/>
          <w:u w:val="single"/>
        </w:rPr>
        <w:t>Capitalization</w:t>
      </w:r>
    </w:p>
    <w:p>
      <w:pPr>
        <w:pStyle w:val="TextBody"/>
        <w:spacing w:lineRule="auto" w:line="288" w:before="120" w:after="283"/>
        <w:rPr/>
      </w:pPr>
      <w:r>
        <w:rPr>
          <w:rFonts w:ascii="Times New Roman;sans-serif" w:hAnsi="Times New Roman;sans-serif"/>
          <w:b w:val="false"/>
          <w:color w:val="000000"/>
          <w:sz w:val="20"/>
        </w:rPr>
        <w:t xml:space="preserve">In March 2023, SJW Group entered into an Amendment No. 1 to the equity distribution agreement (the “Equity Distribution Agreement”), dated November 17, 2021, between the Company and J.P. Morgan Securities LLC, Janney Montgomery Scott LLC, RBC Capital Markets, LLC and Wells Fargo Securities, LLC (each a “Sales Agent” and, collectively, the “Sales Agents”), pursuant to which the Company increased the aggregate gross sales price of shares of the Company’s common stock, $0.001 par value per share, that may be sold under the Equity Distribution Agreement from $100,000 to $240,000. </w:t>
      </w:r>
      <w:r>
        <w:rPr>
          <w:rFonts w:ascii="Times New Roman;sans-serif" w:hAnsi="Times New Roman;sans-serif"/>
          <w:b w:val="false"/>
          <w:color w:val="000000"/>
          <w:sz w:val="20"/>
          <w:highlight w:val="white"/>
        </w:rPr>
        <w:t xml:space="preserve">For the three months ended March 31, 2023, SJW Group issued and sold a total of 547,820 shares of common stock with a weighted average price of $76.10 per share and received approximately $40,997 in net proceeds under the Equity Distribution Agreement. Since the inception of the Equity Distribution Agreement, SJW Group has issued and sold 1,432,671 shares of common stock with a weighted average price of $74.46 for a total net proceeds of $104,429 and has </w:t>
      </w:r>
      <w:r>
        <w:rPr>
          <w:rFonts w:ascii="Times New Roman;sans-serif" w:hAnsi="Times New Roman;sans-serif"/>
          <w:b w:val="false"/>
          <w:color w:val="000000"/>
          <w:sz w:val="20"/>
        </w:rPr>
        <w:t xml:space="preserve">$133,323 remaining </w:t>
      </w:r>
      <w:r>
        <w:rPr>
          <w:rFonts w:ascii="Times New Roman;sans-serif" w:hAnsi="Times New Roman;sans-serif"/>
          <w:b w:val="false"/>
          <w:color w:val="000000"/>
          <w:sz w:val="20"/>
          <w:highlight w:val="white"/>
        </w:rPr>
        <w:t xml:space="preserve">under the Equity Distribution Agreement to issue into shares. </w:t>
      </w:r>
    </w:p>
    <w:p>
      <w:pPr>
        <w:pStyle w:val="TextBody"/>
        <w:spacing w:before="0" w:after="0"/>
        <w:ind w:left="0" w:right="0" w:hanging="18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2160"/>
        <w:rPr/>
      </w:pPr>
      <w:r>
        <w:rPr>
          <w:rFonts w:ascii="Times New Roman;sans-serif" w:hAnsi="Times New Roman;sans-serif"/>
          <w:b/>
          <w:color w:val="000000"/>
          <w:sz w:val="20"/>
        </w:rPr>
        <w:t>Note 4.</w:t>
      </w:r>
      <w:r>
        <w:rPr>
          <w:rFonts w:ascii="Times New Roman;sans-serif" w:hAnsi="Times New Roman;sans-serif"/>
          <w:b/>
          <w:color w:val="000000"/>
          <w:sz w:val="20"/>
          <w:u w:val="single"/>
        </w:rPr>
        <w:t>Bank Borrowings and Long-Term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Group’s contractual obligations and commitments include senior notes, bank term loans, revenue bonds, state revolving fund loans and other obligations. Water Utility Services has received advance deposit payments from its customers and developers on certain construction projects. The refunds of the advance deposit payments constitute an obligation of the respective entities.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Long-term Financing Agreements</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SJWC entered into a note purchase agreement with certain affiliates of New York Life Insurance, Metropolitan Life Insurance, Northwestern Mutual Life Insurance, and John Hancock Life Insurance (collectively the “Purchasers”), pursuant to which the company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of the note purchase agreement occurred on January 25, 2023. </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2160"/>
        <w:rPr/>
      </w:pPr>
      <w:r>
        <w:rPr>
          <w:rFonts w:ascii="Times New Roman;sans-serif" w:hAnsi="Times New Roman;sans-serif"/>
          <w:b/>
          <w:color w:val="000000"/>
          <w:sz w:val="20"/>
        </w:rPr>
        <w:t>Note 5.</w:t>
      </w:r>
      <w:r>
        <w:rPr>
          <w:rFonts w:ascii="Times New Roman;sans-serif" w:hAnsi="Times New Roman;sans-serif"/>
          <w:b/>
          <w:color w:val="000000"/>
          <w:sz w:val="20"/>
          <w:u w:val="single"/>
        </w:rPr>
        <w:t>Income Taxes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three months ended March 31, 2023, and 2022, income tax expense was $1,078 and $1,067, respectively. The effective consolidated income tax rates were 9% and 22% for the three months ended March 31, 2023 and 2022, respectively. The lower effective tax rate for the three months ended March 31, 2023, was primarily due to discrete tax items.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SJW Group unrecognized tax benefits, before the impact of deductions of state taxes, excluding interest and penalties, of approximately $9,203 and $9,004 as of March 31, 2023, and December 31, 2022, respectively.</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SJW Group currently does not expect uncertain tax positions to change significantly over the next 12 months, except in the case of a lapse of the statute of limitations.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2160"/>
        <w:rPr/>
      </w:pPr>
      <w:r>
        <w:rPr>
          <w:rFonts w:ascii="Times New Roman;sans-serif" w:hAnsi="Times New Roman;sans-serif"/>
          <w:b/>
          <w:color w:val="000000"/>
          <w:sz w:val="20"/>
        </w:rPr>
        <w:t>Note 6.</w:t>
      </w:r>
      <w:r>
        <w:rPr>
          <w:rFonts w:ascii="Times New Roman;sans-serif" w:hAnsi="Times New Roman;sans-serif"/>
          <w:b/>
          <w:color w:val="000000"/>
          <w:sz w:val="20"/>
          <w:u w:val="single"/>
        </w:rPr>
        <w:t>Commitments and Contingencies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2160"/>
        <w:rPr/>
      </w:pPr>
      <w:r>
        <w:rPr>
          <w:rFonts w:ascii="Times New Roman;sans-serif" w:hAnsi="Times New Roman;sans-serif"/>
          <w:b/>
          <w:color w:val="000000"/>
          <w:sz w:val="20"/>
        </w:rPr>
        <w:t>Note 7.</w:t>
      </w:r>
      <w:r>
        <w:rPr>
          <w:rFonts w:ascii="Times New Roman;sans-serif" w:hAnsi="Times New Roman;sans-serif"/>
          <w:b/>
          <w:color w:val="000000"/>
          <w:sz w:val="20"/>
          <w:u w:val="single"/>
        </w:rPr>
        <w:t>Benefit Plans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Texas Water employees are also eligible to participate under SJWC’s cash balance plan. Certain CTWS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0" w:after="0"/>
        <w:jc w:val="center"/>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that are not pension plans.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costs for the defined benefit plans and other postretirement benefits for the three months ended March 31, 2023, and 2022 are as follows:</w:t>
      </w:r>
    </w:p>
    <w:tbl>
      <w:tblPr>
        <w:tblW w:w="6636" w:type="dxa"/>
        <w:jc w:val="left"/>
        <w:tblInd w:w="0" w:type="dxa"/>
        <w:tblCellMar>
          <w:top w:w="28" w:type="dxa"/>
          <w:left w:w="28" w:type="dxa"/>
          <w:bottom w:w="28" w:type="dxa"/>
          <w:right w:w="28" w:type="dxa"/>
        </w:tblCellMar>
      </w:tblPr>
      <w:tblGrid>
        <w:gridCol w:w="1025"/>
        <w:gridCol w:w="901"/>
        <w:gridCol w:w="909"/>
        <w:gridCol w:w="109"/>
        <w:gridCol w:w="109"/>
        <w:gridCol w:w="222"/>
        <w:gridCol w:w="222"/>
        <w:gridCol w:w="430"/>
        <w:gridCol w:w="1257"/>
        <w:gridCol w:w="222"/>
        <w:gridCol w:w="109"/>
        <w:gridCol w:w="109"/>
        <w:gridCol w:w="109"/>
        <w:gridCol w:w="344"/>
        <w:gridCol w:w="346"/>
        <w:gridCol w:w="213"/>
      </w:tblGrid>
      <w:tr>
        <w:trPr/>
        <w:tc>
          <w:tcPr>
            <w:tcW w:w="102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30" w:type="dxa"/>
            <w:gridSpan w:val="6"/>
            <w:tcBorders/>
            <w:shd w:fill="auto" w:val="clea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9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actuarial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2023, SJW Group expects to make required and discretionary cash contributions of up to $8,120 to the pension plans and other postretirement benefits. For the three months ended March 31, 2023, SJW Group has made no contributions to such plans.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2160"/>
        <w:rPr/>
      </w:pPr>
      <w:r>
        <w:rPr>
          <w:rFonts w:ascii="Times New Roman;sans-serif" w:hAnsi="Times New Roman;sans-serif"/>
          <w:b/>
          <w:color w:val="000000"/>
          <w:sz w:val="20"/>
        </w:rPr>
        <w:t>Note 8.</w:t>
      </w:r>
      <w:r>
        <w:rPr>
          <w:rFonts w:ascii="Times New Roman;sans-serif" w:hAnsi="Times New Roman;sans-serif"/>
          <w:b/>
          <w:color w:val="000000"/>
          <w:sz w:val="20"/>
          <w:u w:val="single"/>
        </w:rPr>
        <w:t>Equity Plans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Incentive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 SJW Group also maintains stock plans in connection with its acquisition of CTWS which are no longer granting new stock awards. In addition, shares are issued to employees under the ESPP that was approved by SJW Group stockholders. As of March 31, 2023, 160,381 shares are issuable upon the vesting of outstanding restricted stock units and deferred restricted stock units and an additional 573,558 shares are available for award issuances under the Incentive Plan.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April 26, 2023, SJW Group adopted the successor plans for the Incentive Plan and ESPP (collectively, the “Predecessor Plans”) to replace the Predecessor Plans. The Incentive Plan terminated on April 23, 2023 and ESPP will terminate on July 31, 2023. The 2023 Long-Term Incentive Plan reserves for a total of 1,142,000 shares of SJW Group’s common stock for issuance to employees, non-employee board members or the board of directors of any parent or subsidiary, consultants, and other independent advisors who provide services to the SJW Group and its subsidiaries. The 2023 Employee Stock Purchase Plan reserves for a total of 500,000 shares of SJW Group’s common stock for issuance for eligible employees to purchase common stock at a discount through accumulated payroll deductions. Remaining reserves for both of the Predecessor Plans will be terminated with the adoption of the successor plans.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0" w:after="0"/>
        <w:jc w:val="center"/>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compensation costs charged to income and proceeds from the exercise of restricted stock and similar instruments that are recorded to additional paid-in capital and common stock, by award type, are presented below for the three months ended March 31, 2023, and 2022:</w:t>
      </w:r>
    </w:p>
    <w:tbl>
      <w:tblPr>
        <w:tblW w:w="7656" w:type="dxa"/>
        <w:jc w:val="left"/>
        <w:tblInd w:w="0" w:type="dxa"/>
        <w:tblCellMar>
          <w:top w:w="28" w:type="dxa"/>
          <w:left w:w="28" w:type="dxa"/>
          <w:bottom w:w="28" w:type="dxa"/>
          <w:right w:w="28" w:type="dxa"/>
        </w:tblCellMar>
      </w:tblPr>
      <w:tblGrid>
        <w:gridCol w:w="1423"/>
        <w:gridCol w:w="1251"/>
        <w:gridCol w:w="1255"/>
        <w:gridCol w:w="109"/>
        <w:gridCol w:w="109"/>
        <w:gridCol w:w="222"/>
        <w:gridCol w:w="222"/>
        <w:gridCol w:w="430"/>
        <w:gridCol w:w="1257"/>
        <w:gridCol w:w="222"/>
        <w:gridCol w:w="109"/>
        <w:gridCol w:w="109"/>
        <w:gridCol w:w="109"/>
        <w:gridCol w:w="308"/>
        <w:gridCol w:w="308"/>
        <w:gridCol w:w="213"/>
      </w:tblGrid>
      <w:tr>
        <w:trPr/>
        <w:tc>
          <w:tcPr>
            <w:tcW w:w="1423"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6" w:type="dxa"/>
            <w:gridSpan w:val="6"/>
            <w:tcBorders/>
            <w:shd w:fill="auto" w:val="clea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9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costs charged to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9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ESPP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Restricted stock and deferred 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costs charged to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proceeds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2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Restricted Stock and Deferred Restricted Stock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SJW Group granted under the Incentive Plan 27,732 and 31,399, respectively, one year and three year service-based restricted stock awards with a weighted-average grant date fair value per unit of $77.88 and $68.37, respectively.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SJW Group granted under the Incentive Plan 31,345 and 33,621 target units, respectively, performance-based and market-based restricted stock awards granted with a weighted-average grant date fair value per unit of $80.05 and $70.35, respectively.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total unrecognized compensation costs related to restricted and deferred restricted stock plans was $7,537. This cost is expected to be recognized over a weighted-average period of 2.26 years.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Group’s recorded expenses for its ESPP were $90 and $93 for the three months ended March 31, 2023 and 2022, respectively. The total unrecognized compensation costs related to the semi-annual offering period that ends July 31, 2023, for the ESPP is approximately $133. This cost is expected to be recognized during the second and third quarters of 2023.</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2160"/>
        <w:rPr/>
      </w:pPr>
      <w:r>
        <w:rPr>
          <w:rFonts w:ascii="Times New Roman;sans-serif" w:hAnsi="Times New Roman;sans-serif"/>
          <w:b/>
          <w:color w:val="000000"/>
          <w:sz w:val="20"/>
        </w:rPr>
        <w:t>Note 9.</w:t>
      </w:r>
      <w:r>
        <w:rPr>
          <w:rFonts w:ascii="Times New Roman;sans-serif" w:hAnsi="Times New Roman;sans-serif"/>
          <w:b/>
          <w:color w:val="000000"/>
          <w:sz w:val="20"/>
          <w:u w:val="single"/>
        </w:rPr>
        <w:t>Segment and Non-Tariffed Business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 is a holding company with five subsidiaries: (i) SJWC, a water utility operation with both regulated and non-tariffed businesses, (ii) Texas Water, a regulated water and non-tariffed wastewater utility located in Canyon Lake, Texas, and its consolidated non-tariffed variable interest entity, Acequia Water Supply Corporation, (iii) SJW Land Company and its consolidated variable interest entity, 444 West Santa Clara Street, L.P., which operated commercial building rentals, (iv) SJWNE LLC, a holding company for CTWS and its subsidiaries, Connecticut Water, Maine Water, NEWUS and Chester Realty, Inc., and (v) SJWTX Holdings, Inc. which was formed for the purpose of effecting a corporate reorganization of the water utility operations in Texas. SJW Group’s reportable segments have been determined based on information used by the chief operating decision maker. SJW Group’s chief operating decision maker includes the Chairman, President and Chief Executive Officer, and his executive staff. The first segment provides water utility and utility-related services to its customers through SJW Group’s subsidiaries, SJWC, Connecticut Water, Texas Water, Maine Water, and NEWUS together referred to as “Water Utility Services”. The second segment consists of property management and investment activity conducted by SJW Land Company and Chester Realty, Inc., referred to as “Real Estate Services.”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0" w:after="0"/>
        <w:jc w:val="center"/>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tbl>
      <w:tblPr>
        <w:tblW w:w="463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69" w:type="dxa"/>
            <w:gridSpan w:val="3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63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69" w:type="dxa"/>
            <w:gridSpan w:val="3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1035" w:type="dxa"/>
        <w:jc w:val="left"/>
        <w:tblInd w:w="0" w:type="dxa"/>
        <w:tblCellMar>
          <w:top w:w="28" w:type="dxa"/>
          <w:left w:w="28" w:type="dxa"/>
          <w:bottom w:w="28" w:type="dxa"/>
          <w:right w:w="28" w:type="dxa"/>
        </w:tblCellMar>
      </w:tblPr>
      <w:tblGrid>
        <w:gridCol w:w="577"/>
        <w:gridCol w:w="296"/>
        <w:gridCol w:w="298"/>
        <w:gridCol w:w="211"/>
        <w:gridCol w:w="976"/>
        <w:gridCol w:w="109"/>
        <w:gridCol w:w="109"/>
        <w:gridCol w:w="109"/>
        <w:gridCol w:w="109"/>
        <w:gridCol w:w="340"/>
        <w:gridCol w:w="340"/>
        <w:gridCol w:w="341"/>
        <w:gridCol w:w="109"/>
        <w:gridCol w:w="109"/>
        <w:gridCol w:w="109"/>
        <w:gridCol w:w="519"/>
        <w:gridCol w:w="271"/>
        <w:gridCol w:w="231"/>
        <w:gridCol w:w="109"/>
        <w:gridCol w:w="109"/>
        <w:gridCol w:w="109"/>
        <w:gridCol w:w="360"/>
        <w:gridCol w:w="361"/>
        <w:gridCol w:w="323"/>
        <w:gridCol w:w="109"/>
        <w:gridCol w:w="109"/>
        <w:gridCol w:w="109"/>
        <w:gridCol w:w="488"/>
        <w:gridCol w:w="488"/>
        <w:gridCol w:w="281"/>
        <w:gridCol w:w="109"/>
        <w:gridCol w:w="109"/>
        <w:gridCol w:w="109"/>
        <w:gridCol w:w="360"/>
        <w:gridCol w:w="361"/>
        <w:gridCol w:w="341"/>
        <w:gridCol w:w="109"/>
        <w:gridCol w:w="109"/>
        <w:gridCol w:w="109"/>
        <w:gridCol w:w="488"/>
        <w:gridCol w:w="488"/>
        <w:gridCol w:w="225"/>
      </w:tblGrid>
      <w:tr>
        <w:trPr/>
        <w:tc>
          <w:tcPr>
            <w:tcW w:w="57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64" w:type="dxa"/>
            <w:gridSpan w:val="3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Three Months Ended March 31, 2023</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7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SJW Group</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108,867 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112,118 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25,178 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13,222 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52,104 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3,552,767 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99,731 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3,652,498 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1140" w:type="dxa"/>
        <w:jc w:val="center"/>
        <w:tblInd w:w="0" w:type="dxa"/>
        <w:tblCellMar>
          <w:top w:w="28" w:type="dxa"/>
          <w:left w:w="28" w:type="dxa"/>
          <w:bottom w:w="28" w:type="dxa"/>
          <w:right w:w="28" w:type="dxa"/>
        </w:tblCellMar>
      </w:tblPr>
      <w:tblGrid>
        <w:gridCol w:w="577"/>
        <w:gridCol w:w="296"/>
        <w:gridCol w:w="298"/>
        <w:gridCol w:w="211"/>
        <w:gridCol w:w="976"/>
        <w:gridCol w:w="109"/>
        <w:gridCol w:w="109"/>
        <w:gridCol w:w="109"/>
        <w:gridCol w:w="109"/>
        <w:gridCol w:w="340"/>
        <w:gridCol w:w="340"/>
        <w:gridCol w:w="341"/>
        <w:gridCol w:w="109"/>
        <w:gridCol w:w="109"/>
        <w:gridCol w:w="109"/>
        <w:gridCol w:w="519"/>
        <w:gridCol w:w="271"/>
        <w:gridCol w:w="231"/>
        <w:gridCol w:w="109"/>
        <w:gridCol w:w="109"/>
        <w:gridCol w:w="109"/>
        <w:gridCol w:w="360"/>
        <w:gridCol w:w="361"/>
        <w:gridCol w:w="323"/>
        <w:gridCol w:w="109"/>
        <w:gridCol w:w="109"/>
        <w:gridCol w:w="109"/>
        <w:gridCol w:w="488"/>
        <w:gridCol w:w="488"/>
        <w:gridCol w:w="281"/>
        <w:gridCol w:w="109"/>
        <w:gridCol w:w="109"/>
        <w:gridCol w:w="109"/>
        <w:gridCol w:w="413"/>
        <w:gridCol w:w="413"/>
        <w:gridCol w:w="341"/>
        <w:gridCol w:w="109"/>
        <w:gridCol w:w="109"/>
        <w:gridCol w:w="109"/>
        <w:gridCol w:w="488"/>
        <w:gridCol w:w="488"/>
        <w:gridCol w:w="225"/>
      </w:tblGrid>
      <w:tr>
        <w:trPr/>
        <w:tc>
          <w:tcPr>
            <w:tcW w:w="57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69" w:type="dxa"/>
            <w:gridSpan w:val="3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Three Months Ended March 31, 2022</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7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SJW Group</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101,451 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24,511 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44,361 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60,370 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3,403,006 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108,870 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3,511,876 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 xml:space="preserve">(1)    The “All Other” category for the three months ended March 31, 2023, includes the accounts of SJW Group, SJWNE LLC, CTWS and SJWTX Holdings, Inc. on a stand-alone basis. SJWTX Holdings, Inc. had no activity for the three months ended March 31, 2023. For the three months ended March 31, 2022, “All Other” category includes the accounts of SJW Group, SJWNE LLC and CTWS on a stand-alone basis.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2160"/>
        <w:rPr/>
      </w:pPr>
      <w:r>
        <w:rPr>
          <w:rFonts w:ascii="Times New Roman;sans-serif" w:hAnsi="Times New Roman;sans-serif"/>
          <w:b/>
          <w:color w:val="000000"/>
          <w:sz w:val="20"/>
        </w:rPr>
        <w:t>Note 10.</w:t>
      </w:r>
      <w:r>
        <w:rPr>
          <w:rFonts w:ascii="Times New Roman;sans-serif" w:hAnsi="Times New Roman;sans-serif"/>
          <w:b/>
          <w:color w:val="000000"/>
          <w:sz w:val="20"/>
          <w:u w:val="single"/>
        </w:rPr>
        <w:t>Acquisitions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January 13, 2023, Texas Water reached agreements to acquire KT Water Development Ltd. and KT Water Resource L.P. for the purchase price of $7,338 and $53,500, respectively. KT Water Development Ltd. is an investor-owned water utility providing water to approximately 1,725 people through over 570 service connections in the Rockwall Ranch subdivision in southern Comal County, Texas. KT Water Resources L.P. is a privately-held company formed to develop wholesale water supplies for the fast-growing utilities of Comal County, Texas. The transaction is expected to close in the third quarter of 2023, pending the Public Utility Commission of Texas approval of the KT Water Development Ltd. acquisition.</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 xml:space="preserve">ITEM 2.MANAGEMENT’S DISCUSSION AND ANALYSIS OF FINANCIAL CONDITION AND RESULTS OF OPERATIONS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(Dollar amounts in thousands, except per share amounts and otherwise noted)</w:t>
      </w:r>
    </w:p>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2022.</w:t>
      </w:r>
    </w:p>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w:t>
      </w:r>
    </w:p>
    <w:p>
      <w:pPr>
        <w:pStyle w:val="TextBody"/>
        <w:spacing w:before="1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General: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 is a holding company with five wholly-owned subsidiaries: San Jose Water Company (“SJWC”), SJWNE LLC, SJWTX, Inc., SJW Land Company, and SJWTX Holdings, Inc.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 is a public utility in the business of providing water service to approximately 232,000 connections that serve a population of approximately one million people in an area comprising approximately 139 square miles in the metropolitan San Jose, California area. The principal business of SJWC consists of the production, purchase, storage, purification, distribution, wholesale, and retail sale of water. SJWC provides water ser 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 has utility property including land held in fee, impounding reservoirs, diversion facilities, wells, distribution storage, and all water facilities, equipment, office buildings and other property necessary to serve its customers. Under Section 851 of the California Public Utilities Code, properties currently used and useful in providing utilities services cannot be disposed of unless California Public Utilities Commission (“CPUC”) approval is obtained.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 also has approximately 234 acres of nonutility property which has been identified as no longer used and useful in providing utility services. The majority of the properties are located in the hillside areas adjacent to SJWC’s various watershed properties.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SJWNE LLC is the holding company for Connecticut Water Service, Inc. (“CTWS”). CTWS, headquartered in Connecticut, serves as a holding company for water utility companies providing water service to approximately 140,000 connections that serve a population of approximately 458,000 people in 81 municipalities throughout Connecticut and Maine and more than 3,000 wastewater connections in Southbury, Connecticut. The subsidiaries held by CTWS that provide utility water services are The Connecticut Water Company (“Connecticut Water”) and The Maine Water Company (“Maine Water”). The remaining two CTWS subsidiaries are Chester Realty, Inc., a real estate company in Connecticut, and New England Water Utility Services, Inc., which provides contract water and sewer operations and other water related services.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SJWTX, Inc., doing business as The Texas Water Company (“Texas Water”), is a public utility in the business of providing water service to approximately 26,000 connections that serve approximately 78,000 people and approximately 900 wastewater connections. In 2022, SJWTX, Inc. filed and was approved with the State of Texas an assumed named certificate to operate under the name The Texas Water Company. Texas Water was previously doing business as Canyon Lake Water Service Company. Texas Water’s service area comprises more than 268 square miles in Bandera, Blanco, Comal, Hays, Kendall, Medina and Travis Counties in the growing region between San Antonio and Austin, Texas. Texas Water holds a 25% equity interest in Acequia Water Supply Corporation (“Acequia”). Acequia has been determined to be a variable interest entity within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of Accounting Standards Codification Topic 810 with Texas Water as the primary beneficiary. As a result, Acequia has been consolidated with Texas Water. Texas Water is undergoing a corporate reorganization to separate regulated operations from non-tariffed activities. In November 2021, SJWTX Holdings, Inc. and Texas Water Operation Services LLC (“TWOS”) were formed for the purpose of effecting a corporate reorganization of our water services organization in Texas. TWOS was created for non-tariffed operations and is wholly-owned by SJWTX Holdings, Inc.. SJWTX Holdings, Inc. is a wholly-owned subsidiary of SJW Group, incorporated to hold the investments in Texas Water and TWOS.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Land Company and Chester Realty, Inc. own undeveloped land and operate commercial buildings in Tennessee, California and Connecticut. SJW Land Company and Chester Realty, Inc. owned the following real properties during the three months ended March 31, 2023:</w:t>
      </w:r>
    </w:p>
    <w:tbl>
      <w:tblPr>
        <w:tblW w:w="10205" w:type="dxa"/>
        <w:jc w:val="left"/>
        <w:tblInd w:w="0" w:type="dxa"/>
        <w:tblCellMar>
          <w:top w:w="28" w:type="dxa"/>
          <w:left w:w="28" w:type="dxa"/>
          <w:bottom w:w="28" w:type="dxa"/>
          <w:right w:w="28" w:type="dxa"/>
        </w:tblCellMar>
      </w:tblPr>
      <w:tblGrid>
        <w:gridCol w:w="898"/>
        <w:gridCol w:w="734"/>
        <w:gridCol w:w="743"/>
        <w:gridCol w:w="109"/>
        <w:gridCol w:w="109"/>
        <w:gridCol w:w="109"/>
        <w:gridCol w:w="524"/>
        <w:gridCol w:w="524"/>
        <w:gridCol w:w="531"/>
        <w:gridCol w:w="109"/>
        <w:gridCol w:w="109"/>
        <w:gridCol w:w="109"/>
        <w:gridCol w:w="235"/>
        <w:gridCol w:w="235"/>
        <w:gridCol w:w="236"/>
        <w:gridCol w:w="109"/>
        <w:gridCol w:w="109"/>
        <w:gridCol w:w="109"/>
        <w:gridCol w:w="420"/>
        <w:gridCol w:w="420"/>
        <w:gridCol w:w="421"/>
        <w:gridCol w:w="109"/>
        <w:gridCol w:w="109"/>
        <w:gridCol w:w="109"/>
        <w:gridCol w:w="284"/>
        <w:gridCol w:w="246"/>
        <w:gridCol w:w="569"/>
        <w:gridCol w:w="228"/>
        <w:gridCol w:w="228"/>
        <w:gridCol w:w="228"/>
        <w:gridCol w:w="284"/>
        <w:gridCol w:w="237"/>
        <w:gridCol w:w="672"/>
      </w:tblGrid>
      <w:tr>
        <w:trPr/>
        <w:tc>
          <w:tcPr>
            <w:tcW w:w="89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r>
      <w:tr>
        <w:trPr/>
        <w:tc>
          <w:tcPr>
            <w:tcW w:w="2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 for Three months ended March 31, 2023 of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r>
      <w:tr>
        <w:trPr/>
        <w:tc>
          <w:tcPr>
            <w:tcW w:w="2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Footage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6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Expense</w:t>
            </w:r>
          </w:p>
        </w:tc>
      </w:tr>
      <w:tr>
        <w:trPr/>
        <w:tc>
          <w:tcPr>
            <w:tcW w:w="23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Warehouse building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Knoxville, Tennessee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building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Knoxville, Tennessee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Undeveloped land and parking lot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Knoxville, Tennessee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Undeveloped land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building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Clinton, 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building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Guilford, 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Business Strategy for Water Utility Services: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 focuses its business initiatives in three strategic areas: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(1)Regional regulated water utility operations;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(2)Regional non-tariffed water utility related services provided in accordance with the guidelines established by the CPUC in California, the Public Utilities Regulatory Authority (“PURA”) in Connecticut, the Public Utilities Commission of Texas (“PUCT”) in Texas, and the Maine Public Utilities Commission (“MPUC”) in Maine;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(3)Out-of-region water and utility related services.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pStyle w:val="TextBody"/>
        <w:spacing w:lineRule="auto" w:line="256" w:before="160" w:after="283"/>
        <w:rPr/>
      </w:pPr>
      <w:r>
        <w:rPr>
          <w:rFonts w:ascii="Times New Roman;sans-serif" w:hAnsi="Times New Roman;sans-serif"/>
          <w:b w:val="false"/>
          <w:color w:val="000000"/>
          <w:sz w:val="20"/>
        </w:rPr>
        <w:t xml:space="preserve">Please also see </w:t>
      </w:r>
      <w:hyperlink w:anchor="i5dfde4b795f848ae9c2326ead50c6135_915">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of “Notes to Condensed Consolidated Financial Statements” for SJW Group’s current acquisition activities.</w:t>
      </w:r>
    </w:p>
    <w:p>
      <w:pPr>
        <w:pStyle w:val="TextBody"/>
        <w:spacing w:lineRule="auto" w:line="288" w:before="120" w:after="283"/>
        <w:rPr>
          <w:rFonts w:ascii="Times New Roman;sans-serif" w:hAnsi="Times New Roman;sans-serif"/>
          <w:b/>
          <w:color w:val="000000"/>
          <w:sz w:val="20"/>
          <w:u w:val="single"/>
        </w:rPr>
      </w:pPr>
      <w:r>
        <w:rPr>
          <w:rFonts w:ascii="Times New Roman;sans-serif" w:hAnsi="Times New Roman;sans-serif"/>
          <w:b/>
          <w:color w:val="000000"/>
          <w:sz w:val="20"/>
          <w:u w:val="single"/>
        </w:rPr>
        <w:t>Real Estate Services: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SJW Group’s real estate investment activity is conducted through SJW Land Company and Chester Realty, Inc. As noted above, SJW Land Company owns undeveloped land and operates commercial buildings in Tennessee. Chester Realty, Inc. owns and operates land and commercial buildings in Connecticut. SJW Land Company and Chester Realty, Inc. manage income producing and other properties until such time a determination is made to reinvest proceeds from the sale of such properties.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on the accounting policies used and disclosed in our 2022 consolidated financial statements and accompanying notes that were prepared in accordance with accounting principles generally accepted in the United States of America and included as part of our annual report on Form 10-K for the year ended December 31, 2022, that was filed with the Securities and Exchange Commission on February 24, 2023.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described in Management’s Discussion and Analysis of Financial Condition and Results of Operations included in our annual report on Form 10-K for the year ended December 31, 2022. Our significant accounting policies are described in our notes to the 2022 Consolidated Financial Statements included in our annual report on Form 10-K for the year ended December 31, 2022. There have been no changes to our critical or significant accounting policies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 </w:t>
      </w:r>
    </w:p>
    <w:p>
      <w:pPr>
        <w:pStyle w:val="TextBody"/>
        <w:spacing w:lineRule="auto" w:line="288" w:before="120" w:after="283"/>
        <w:ind w:left="0" w:right="0" w:firstLine="45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Overview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Group’s consolidated net income for the three months ended March 31, 2023, was $11,530, an increase of $7,793, or approximately 209%, from $3,737 for the same period in 2022. The increase in net income was primarily driven by rate increases in California and Maine, and the delay in SJWC's 2022 General Rate Case, a decrease in depreciation and amortization primarily due to a one-time impact related to amortization on certain Cupertino concession assets in the first quarter 2022 net of increases in depreciation related to new utility plant additions, offset by a one-time gain on sale of nonutility properties of $5,450 in the first quarter 2022.</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Revenue</w:t>
      </w:r>
    </w:p>
    <w:tbl>
      <w:tblPr>
        <w:tblW w:w="5946" w:type="dxa"/>
        <w:jc w:val="left"/>
        <w:tblInd w:w="0" w:type="dxa"/>
        <w:tblCellMar>
          <w:top w:w="28" w:type="dxa"/>
          <w:left w:w="28" w:type="dxa"/>
          <w:bottom w:w="28" w:type="dxa"/>
          <w:right w:w="28" w:type="dxa"/>
        </w:tblCellMar>
      </w:tblPr>
      <w:tblGrid>
        <w:gridCol w:w="689"/>
        <w:gridCol w:w="605"/>
        <w:gridCol w:w="610"/>
        <w:gridCol w:w="109"/>
        <w:gridCol w:w="109"/>
        <w:gridCol w:w="147"/>
        <w:gridCol w:w="147"/>
        <w:gridCol w:w="378"/>
        <w:gridCol w:w="1486"/>
        <w:gridCol w:w="195"/>
        <w:gridCol w:w="144"/>
        <w:gridCol w:w="144"/>
        <w:gridCol w:w="144"/>
        <w:gridCol w:w="413"/>
        <w:gridCol w:w="413"/>
        <w:gridCol w:w="213"/>
      </w:tblGrid>
      <w:tr>
        <w:trPr/>
        <w:tc>
          <w:tcPr>
            <w:tcW w:w="68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0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53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Revenue by Segment</w:t>
            </w:r>
          </w:p>
        </w:tc>
      </w:tr>
      <w:tr>
        <w:trPr/>
        <w:tc>
          <w:tcPr>
            <w:tcW w:w="190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3"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71" w:type="dxa"/>
            <w:gridSpan w:val="6"/>
            <w:tcBorders/>
            <w:shd w:fill="auto" w:val="clea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137,296 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change in consolidated operating revenues was due to the following factors:</w:t>
      </w:r>
    </w:p>
    <w:tbl>
      <w:tblPr>
        <w:tblW w:w="7401" w:type="dxa"/>
        <w:jc w:val="left"/>
        <w:tblInd w:w="0" w:type="dxa"/>
        <w:tblCellMar>
          <w:top w:w="28" w:type="dxa"/>
          <w:left w:w="28" w:type="dxa"/>
          <w:bottom w:w="28" w:type="dxa"/>
          <w:right w:w="28" w:type="dxa"/>
        </w:tblCellMar>
      </w:tblPr>
      <w:tblGrid>
        <w:gridCol w:w="1765"/>
        <w:gridCol w:w="1549"/>
        <w:gridCol w:w="1561"/>
        <w:gridCol w:w="211"/>
        <w:gridCol w:w="721"/>
        <w:gridCol w:w="109"/>
        <w:gridCol w:w="109"/>
        <w:gridCol w:w="109"/>
        <w:gridCol w:w="109"/>
        <w:gridCol w:w="201"/>
        <w:gridCol w:w="205"/>
        <w:gridCol w:w="271"/>
        <w:gridCol w:w="109"/>
        <w:gridCol w:w="109"/>
        <w:gridCol w:w="109"/>
        <w:gridCol w:w="154"/>
      </w:tblGrid>
      <w:tr>
        <w:trPr/>
        <w:tc>
          <w:tcPr>
            <w:tcW w:w="1765"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b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75" w:type="dxa"/>
            <w:gridSpan w:val="3"/>
            <w:vMerge w:val="continue"/>
            <w:tcBorders/>
            <w:shd w:fill="auto" w:val="clear"/>
            <w:tcMar>
              <w:top w:w="0" w:type="dxa"/>
              <w:left w:w="0" w:type="dxa"/>
              <w:bottom w:w="0" w:type="dxa"/>
              <w:right w:w="0" w:type="dxa"/>
            </w:tcMar>
            <w:vAlign w:val="center"/>
          </w:tcPr>
          <w:p>
            <w:pPr>
              <w:pStyle w:val="Normal"/>
              <w:rPr/>
            </w:pPr>
            <w:r>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Consumption changes (including unbilled utility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customers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increases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Balancing and memorandum accounts: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Water Revenue Adjustment Mechanism</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Conservation Memorandum Account (“WCMA”)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regulatory mechanisms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Expense</w:t>
      </w:r>
    </w:p>
    <w:tbl>
      <w:tblPr>
        <w:tblW w:w="5940" w:type="dxa"/>
        <w:jc w:val="left"/>
        <w:tblInd w:w="0" w:type="dxa"/>
        <w:tblCellMar>
          <w:top w:w="28" w:type="dxa"/>
          <w:left w:w="28" w:type="dxa"/>
          <w:bottom w:w="28" w:type="dxa"/>
          <w:right w:w="28" w:type="dxa"/>
        </w:tblCellMar>
      </w:tblPr>
      <w:tblGrid>
        <w:gridCol w:w="689"/>
        <w:gridCol w:w="605"/>
        <w:gridCol w:w="610"/>
        <w:gridCol w:w="109"/>
        <w:gridCol w:w="109"/>
        <w:gridCol w:w="149"/>
        <w:gridCol w:w="149"/>
        <w:gridCol w:w="378"/>
        <w:gridCol w:w="1483"/>
        <w:gridCol w:w="194"/>
        <w:gridCol w:w="142"/>
        <w:gridCol w:w="142"/>
        <w:gridCol w:w="142"/>
        <w:gridCol w:w="413"/>
        <w:gridCol w:w="413"/>
        <w:gridCol w:w="213"/>
      </w:tblGrid>
      <w:tr>
        <w:trPr/>
        <w:tc>
          <w:tcPr>
            <w:tcW w:w="68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0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52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Expense by Segment</w:t>
            </w:r>
          </w:p>
        </w:tc>
      </w:tr>
      <w:tr>
        <w:trPr/>
        <w:tc>
          <w:tcPr>
            <w:tcW w:w="190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3"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65" w:type="dxa"/>
            <w:gridSpan w:val="6"/>
            <w:tcBorders/>
            <w:shd w:fill="auto" w:val="clea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change in consolidated operating expense was due to the following factors:</w:t>
      </w:r>
    </w:p>
    <w:tbl>
      <w:tblPr>
        <w:tblW w:w="10205" w:type="dxa"/>
        <w:jc w:val="left"/>
        <w:tblInd w:w="0" w:type="dxa"/>
        <w:tblCellMar>
          <w:top w:w="28" w:type="dxa"/>
          <w:left w:w="28" w:type="dxa"/>
          <w:bottom w:w="28" w:type="dxa"/>
          <w:right w:w="28" w:type="dxa"/>
        </w:tblCellMar>
      </w:tblPr>
      <w:tblGrid>
        <w:gridCol w:w="2828"/>
        <w:gridCol w:w="2441"/>
        <w:gridCol w:w="2448"/>
        <w:gridCol w:w="211"/>
        <w:gridCol w:w="681"/>
        <w:gridCol w:w="109"/>
        <w:gridCol w:w="109"/>
        <w:gridCol w:w="109"/>
        <w:gridCol w:w="109"/>
        <w:gridCol w:w="202"/>
        <w:gridCol w:w="204"/>
        <w:gridCol w:w="271"/>
        <w:gridCol w:w="109"/>
        <w:gridCol w:w="109"/>
        <w:gridCol w:w="109"/>
        <w:gridCol w:w="156"/>
      </w:tblGrid>
      <w:tr>
        <w:trPr/>
        <w:tc>
          <w:tcPr>
            <w:tcW w:w="2828" w:type="dxa"/>
            <w:tcBorders/>
            <w:shd w:fill="auto" w:val="clear"/>
            <w:vAlign w:val="center"/>
          </w:tcPr>
          <w:p>
            <w:pPr>
              <w:pStyle w:val="TableContents"/>
              <w:spacing w:before="0" w:after="283"/>
              <w:rPr>
                <w:sz w:val="4"/>
                <w:szCs w:val="4"/>
              </w:rPr>
            </w:pPr>
            <w:r>
              <w:rPr>
                <w:sz w:val="4"/>
                <w:szCs w:val="4"/>
              </w:rPr>
            </w:r>
          </w:p>
        </w:tc>
        <w:tc>
          <w:tcPr>
            <w:tcW w:w="2441" w:type="dxa"/>
            <w:tcBorders/>
            <w:shd w:fill="auto" w:val="clear"/>
            <w:vAlign w:val="center"/>
          </w:tcPr>
          <w:p>
            <w:pPr>
              <w:pStyle w:val="TableContents"/>
              <w:spacing w:before="0" w:after="283"/>
              <w:rPr>
                <w:sz w:val="4"/>
                <w:szCs w:val="4"/>
              </w:rPr>
            </w:pPr>
            <w:r>
              <w:rPr>
                <w:sz w:val="4"/>
                <w:szCs w:val="4"/>
              </w:rPr>
            </w:r>
          </w:p>
        </w:tc>
        <w:tc>
          <w:tcPr>
            <w:tcW w:w="24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b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717" w:type="dxa"/>
            <w:gridSpan w:val="3"/>
            <w:vMerge w:val="continue"/>
            <w:tcBorders/>
            <w:shd w:fill="auto" w:val="clear"/>
            <w:tcMar>
              <w:top w:w="0" w:type="dxa"/>
              <w:left w:w="0" w:type="dxa"/>
              <w:bottom w:w="0" w:type="dxa"/>
              <w:right w:w="0" w:type="dxa"/>
            </w:tcMar>
            <w:vAlign w:val="center"/>
          </w:tcPr>
          <w:p>
            <w:pPr>
              <w:pStyle w:val="Normal"/>
              <w:rPr/>
            </w:pPr>
            <w:r>
              <w:rPr/>
            </w:r>
          </w:p>
        </w:tc>
        <w:tc>
          <w:tcPr>
            <w:tcW w:w="20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production expenses:</w:t>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surface water use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usage and new customers</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 and groundwater extraction charge, energy price change and other production expenses, net</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Balancing and memorandum accounts cost recovery</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production expenses</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and memorandum account cost recovery</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nonutility properties</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1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Sources of Water Supply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water from surface run-off and diversion and the corresponding increase in purchased and pumped water increases production expenses substantially.</w:t>
      </w:r>
    </w:p>
    <w:p>
      <w:pPr>
        <w:pStyle w:val="TextBody"/>
        <w:spacing w:lineRule="auto" w:line="288" w:before="120" w:after="283"/>
        <w:rPr/>
      </w:pPr>
      <w:r>
        <w:rPr>
          <w:rFonts w:ascii="Times New Roman;sans-serif" w:hAnsi="Times New Roman;sans-serif"/>
          <w:b w:val="false"/>
          <w:color w:val="000000"/>
          <w:sz w:val="20"/>
        </w:rPr>
        <w:t>Due to many winter storms, Santa Clara County’s drought classification was changed in March 2023 from “Abnormally Dry” to “None.” In addition, the improved water conditions across the entire State of California have resulted in increased water allocations from the State Water Project (“SWP”) and the U.S Bureau of Reclamation’s Central Valley Project (“CVP”). The SWP and CVP allocations are currently 75% of contracted amounts or 24,439 million gallons, and 100% of contracted amounts or 38,906 million gallons, respectively. In April 2022, SWP allocation was</w:t>
      </w:r>
      <w:r>
        <w:rPr>
          <w:color w:val="000000"/>
          <w:highlight w:val="white"/>
        </w:rPr>
        <w:t xml:space="preserve"> </w:t>
      </w:r>
      <w:r>
        <w:rPr>
          <w:rFonts w:ascii="Times New Roman;sans-serif" w:hAnsi="Times New Roman;sans-serif"/>
          <w:b w:val="false"/>
          <w:color w:val="000000"/>
          <w:sz w:val="20"/>
          <w:highlight w:val="white"/>
        </w:rPr>
        <w:t xml:space="preserve">5% of contracted amounts or 1,629 million gallons, and CVP allocation was reduced to the Public Health and Safety limit due to an exceptionally dry beginning in 2022. </w:t>
      </w:r>
      <w:r>
        <w:rPr>
          <w:rFonts w:ascii="Times New Roman;sans-serif" w:hAnsi="Times New Roman;sans-serif"/>
          <w:b w:val="false"/>
          <w:color w:val="000000"/>
          <w:sz w:val="20"/>
        </w:rPr>
        <w:t>On April 1, 2023, Valley Water’s 10 reservoirs were 68% of capacity with 36,785 million gallons of water in storage. Valley Water’s largest reservoir, Anderson, remains drained for a dam seismic retrofit project. Valley Water also reported that the managed groundwater recharge from January to March in the Santa Clara Plain was 148% of the five-year average. The groundwater level in the Santa Clara Plain is approximately 24 feet higher than March 2022. According to Valley Water, the projected total groundwater storage at the end of 2023 is expected to be in the Normal Stage of the Water Shortage Contingency Plan.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SJWC’s Lake Elsman was 100.9% of capacity with 2,024 million gallons of water, approximately 160.7% of the five-year seasonal average. In addition, the rainfall at SJWC’s Lake Elsman was measured at 79.59 inches for the period from July 1, 2022 through March 31, 2023, which is 239.2% of the five-year average. SJWC’s Montevina Water Treatment Plant treated 1,469 million gallons of water through the first quarter, which is 238.8% of the five-year average.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SJWC’s Saratoga Water Treatment Plant treated 39 million gallons of water through the first quarter, which is 75% of the five-year average. SJWC believes that its various sources of water supply will be sufficient to meet customer demand in 2023.</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April 11, 2023, Valley Water rescinded its water shortage emergency and 15% mandatory conservation target. Valley Water also established a 15% voluntary call for conservation and retained certain watering and water waste rules. On the same day, SJWC ended its Mandatory Conservation Plan, which included drought allocations and surcharges, and lowered its drought response from Stage 3 to Stage 1. SJWC’s request to continue its WCMA and Water Conservation Expense Memorandum Account (“WCEMA”) under the voluntary call for conservation is pending before the CPUC.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also faces long-term water supply challenges. SJWC actively works with Valley Water to meet the challenges by continuing to educate customers on responsible water use practices and conducting long-range water supply planning. </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Connecticut Water’s water sources vary among the individual systems, but overall approximately 80% of the total dependable yield comes from surface water supplies and 20% from wells. In addition, Connecticut Water has water supply agreements to supplement its water supply with the South Central Connecticut Regional Water Authority and The Metropolitan District that expire 2058 and 2053, respectively.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Texas Water’s water supply consists of groundwater from wells and purchased treated and untreated raw water from local water agencies. Texas Water has long-term agreements with the Guadalupe-Blanco River Authority (“GBRA”), which expire in 2037, 2040, 2044 and 2050. The agreements, which are take-or-pay contracts, provide Texas Water with an aggregate of 7,650 acre-feet of water per year from Canyon Lake at prices that may be adjusted periodically by GBRA. Texas Water also has raw water supply agreements with the Lower Colorado River Authority and West Travis Public Utility Agency expiring in 2059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Water sources at Maine Water vary among the individual systems, but overall approximately 90% of the total dependable yield comes from surface water supplies and 10% from wells. Maine Water has a water supply agreement with the Kennebec Water District expiring in 2040.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 in sources of water supply, in million gallons, for Water Utility Services:</w:t>
      </w:r>
    </w:p>
    <w:tbl>
      <w:tblPr>
        <w:tblW w:w="9067" w:type="dxa"/>
        <w:jc w:val="left"/>
        <w:tblInd w:w="0" w:type="dxa"/>
        <w:tblCellMar>
          <w:top w:w="28" w:type="dxa"/>
          <w:left w:w="28" w:type="dxa"/>
          <w:bottom w:w="28" w:type="dxa"/>
          <w:right w:w="28" w:type="dxa"/>
        </w:tblCellMar>
      </w:tblPr>
      <w:tblGrid>
        <w:gridCol w:w="531"/>
        <w:gridCol w:w="467"/>
        <w:gridCol w:w="471"/>
        <w:gridCol w:w="109"/>
        <w:gridCol w:w="109"/>
        <w:gridCol w:w="109"/>
        <w:gridCol w:w="109"/>
        <w:gridCol w:w="109"/>
        <w:gridCol w:w="466"/>
        <w:gridCol w:w="470"/>
        <w:gridCol w:w="470"/>
        <w:gridCol w:w="470"/>
        <w:gridCol w:w="470"/>
        <w:gridCol w:w="474"/>
        <w:gridCol w:w="109"/>
        <w:gridCol w:w="109"/>
        <w:gridCol w:w="109"/>
        <w:gridCol w:w="360"/>
        <w:gridCol w:w="361"/>
        <w:gridCol w:w="281"/>
        <w:gridCol w:w="109"/>
        <w:gridCol w:w="109"/>
        <w:gridCol w:w="109"/>
        <w:gridCol w:w="499"/>
        <w:gridCol w:w="499"/>
        <w:gridCol w:w="501"/>
        <w:gridCol w:w="109"/>
        <w:gridCol w:w="109"/>
        <w:gridCol w:w="109"/>
        <w:gridCol w:w="216"/>
        <w:gridCol w:w="219"/>
        <w:gridCol w:w="316"/>
      </w:tblGrid>
      <w:tr>
        <w:trPr/>
        <w:tc>
          <w:tcPr>
            <w:tcW w:w="53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3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Change</w:t>
            </w:r>
          </w:p>
        </w:tc>
        <w:tc>
          <w:tcPr>
            <w:tcW w:w="1078" w:type="dxa"/>
            <w:gridSpan w:val="6"/>
            <w:tcBorders/>
            <w:shd w:fill="auto" w:val="clear"/>
          </w:tcPr>
          <w:p>
            <w:pPr>
              <w:pStyle w:val="TableContents"/>
              <w:spacing w:before="0" w:after="283"/>
              <w:rPr>
                <w:sz w:val="4"/>
                <w:szCs w:val="4"/>
              </w:rPr>
            </w:pPr>
            <w:r>
              <w:rPr>
                <w:sz w:val="4"/>
                <w:szCs w:val="4"/>
              </w:rPr>
            </w:r>
          </w:p>
        </w:tc>
      </w:tr>
      <w:tr>
        <w:trPr/>
        <w:tc>
          <w:tcPr>
            <w:tcW w:w="1469"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70"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0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499" w:type="dxa"/>
            <w:gridSpan w:val="3"/>
            <w:vMerge w:val="continue"/>
            <w:tcBorders/>
            <w:shd w:fill="auto" w:val="clear"/>
            <w:tcMar>
              <w:top w:w="0" w:type="dxa"/>
              <w:left w:w="0" w:type="dxa"/>
              <w:bottom w:w="0" w:type="dxa"/>
              <w:right w:w="0" w:type="dxa"/>
            </w:tcMar>
            <w:vAlign w:val="center"/>
          </w:tcPr>
          <w:p>
            <w:pPr>
              <w:pStyle w:val="Normal"/>
              <w:rPr/>
            </w:pPr>
            <w:r>
              <w:rPr/>
            </w:r>
          </w:p>
        </w:tc>
        <w:tc>
          <w:tcPr>
            <w:tcW w:w="1078" w:type="dxa"/>
            <w:gridSpan w:val="6"/>
            <w:tcBorders/>
            <w:shd w:fill="auto" w:val="clear"/>
          </w:tcPr>
          <w:p>
            <w:pPr>
              <w:pStyle w:val="TableContents"/>
              <w:spacing w:before="0" w:after="283"/>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4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water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Reclaimed water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9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8,824 </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10,314 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changes in the source of supply mix were consistent with the changes in the water production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SJWC’s unaccounted-for water on a 12-month-to-date basis for March 31, 2023, and 2022 approximated 7.5% and 7.2%, respectively, as a percentage of total production. The unaccounted-for water estimate is based on the results of past experience and the impact of flows through the system, partially offset by SJWC’s main replacements and lost water reduction programs.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CTWS’s unaccounted-for water on a 12-month-to-date basis for March 31, 2023, and 2022 approximated 13.9% for each of the respective periods, as a percentage of total production.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Water Production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water production expenses of $671 for the three months ended March 31, 2023, compared to the same period in 2022, was primarily attributable to increases in average per unit costs for purchased water, groundwater extraction, and other production expenses, offset by a decrease in customer usage and an increase in available surface water for SJWC. Effective July 1, 2022, Valley Water increased the unit price of purchased water by approximately 14% and the groundwater extraction charge by approximately 15%. </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Operating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excluding water production expenses, increased $3,734 for the three months ended March 31, 2023, compared to the same period in 2022. The increase was primarily attributable to the $5,450 gain on sale of nonutility properties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recorded in the prior year, partially offset by decreases in depreciation and amortization due to a $2,400 one-time impact related to amortization on certain Cupertino concession assets in the first quarter 2022 net of increases in depreciation related to new utility plant additions, and a decrease in maintenance expenses due to the timing of contract work and materials expenses. </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(Expense) Income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compared to the same period in 2022, the change in other (expense) income was primarily due to a true-up on prior real estate sale transactions, an increase in the return from retirement plan assets, and an increase in pension non-service cost. </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Income Taxes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compared to the same period in 2022, income tax expense increased by $11. </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effective consolidated income tax rates were 9% and 22% for the three months ended March 31, 2023 and 2022, respectively. The lower effective tax rate for the three months ended March 31, 2023, was primarily due to discrete tax items.</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Regulation and Rates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pStyle w:val="TextBody"/>
        <w:spacing w:lineRule="auto" w:line="256" w:before="160" w:after="283"/>
        <w:rPr/>
      </w:pPr>
      <w:r>
        <w:rPr>
          <w:rFonts w:ascii="Times New Roman;sans-serif" w:hAnsi="Times New Roman;sans-serif"/>
          <w:b w:val="false"/>
          <w:color w:val="000000"/>
          <w:sz w:val="20"/>
        </w:rPr>
        <w:t xml:space="preserve">Please also see </w:t>
      </w:r>
      <w:hyperlink w:anchor="i5dfde4b795f848ae9c2326ead50c6135_34">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of “Notes to Condensed Consolidated Financial Statements.”</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California Regulatory Affairs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May 3, 2021, SJWC filed Application No. 21-05-004 requesting authority to adjust its cost of capital for the period from January 1, 2022 through December 31, 2024. The request seeks a revenue increase of $6,418 or 1.61% in 2022. The application also proposes a rate of return of 8.11%, an increase from the current rate of 7.64%, a decrease in the average cost of debt rate from 6.20% to 5.48%, and a return of equity of 10.30% which is an increase from the current rate of 8.90%. In addition, the request seeks to adjust SJWC’s currently authorized capital structure of approximately 47% debt and 53% equity to approximately 45% debt and 55% equity. Intervenors in this proceeding, namely the Public Advocates Office and Water Rate Advocates for Transparency, Equity, and Sustainability, have suggested a lower return on equity while the latter has also suggested a higher cost of debt and different capital structure as part of their testimonies. If approved, new rates are expected to become effective in the third quarter of 2023.</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585 on November 10, 2022 to recover $20,554 in the Interim Rates Memorandum Account in accordance with the 2022 GRC Decision. Advice Letter No. 585 was approved with an effective date of January 1, 2023.</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SJWC filed Advice Letter No. 586 on November 18, 2022 to increase revenue requirement by $18,418 or 4% for the escalation year increase in accordance with the 2022 GRC Decision. Advice Letter No. 586 was approved with an effective date of January 1, 2023.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590 on April 6, 2023 to recover $14,196 under-collection in its Monterey-Water Revenue Adjustment Mechanism Balancing Account as of March 31, 2023. SJWC proposed that this amount be recovered via a 12-month volume surcharge. This filing is pending before the CPUC.</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592 on April 20, 2023 to continue its WCMA and WCEMA under Valley Water’s voluntary call for 15% conservation. This filing is pending before the CPUC.</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Connecticut Regulatory Affairs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January 26, 2023, Connecticut Water filed for a Water Infrastructure Conservation Adjustment (“WICA”) increase of $3,253 in annualized revenues for approximately $27,775 in completed projects. PURA approved the Company’s application on March 22, 2023. On January 25, 2023 Connecticut Water filed its 2022 WICA reconciliation with PURA. The reconciliation, approved by PURA on March 29, 2023 and effective for 12 months beginning April 1, 2023, replaced the expiring 2021 reconciliation credit of 0.02% with a credit of 0.16%. The cumulative WICA surcharge as of April 1, 2023 is 6.19%, collecting $6,544 on an annual basis.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February 27, 2023 Connecticut Water filed its 2022 Water Revenue Adjustment mechanism (“WRA”). The mechanism reconciles 2022 revenues as authorized in the Company’s most recent rate case. The 2022 WRA, as approved by PURA on March 24, 2023 and effective for 12 months beginning on April 1, 2023 imposes a 4.97% surcredit on customer bills to refund the 2022 revenue over-collection.</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120" w:after="283"/>
        <w:ind w:left="0" w:right="0" w:firstLine="45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Texas Regulatory Affairs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Texas Water has no current general rate case pending. However, it filed its application to establish a System Improvement Charge (“SIC”) with the PUCT under Docket No. 54430 on December 30, 2022. This filing will allow Texas Water to add certain utility plant additions made since 2020 to its rate base, thereby increasing revenue and avoiding the immediate need for a general rate case. The SIC is projected to increase Texas Water’s water revenue by $1,596 and sewer revenue by $29 within one year of the approval from the PUCT. The PUCT will determine the completeness of the application and sufficiency of the notices on April 11, 2023. Once the PUCT files the final order approving the SIC, Texas Water will be required to file a general rate case within four years. Texas Water will incrementally increase its SIC annually until that rate case. Texas Water expects to receive the final order during the second half of 2023. Notwithstanding the SIC filing, Texas Water will continue to file its annual adjustments for the Water Pass-through Charges (“WPC”) for Canyon Lake, Deer Creek, and Kendall West customers. All water supply cost increases are recoverable when the next annual WPC adjustment for each system is filed.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Texas Water plans to acquire a system owned by KT Water Development that provides service to approximately 570 residential connections using the fair market value process and filed rate doctrine. Texas Water filed its Sales, Transfer, and Merger application with the PUCT on January 3, 2023 under Docket No. 54530. The PUCT found the application to be administratively complete on March 7, 2023. Texas Water mailed the customer notices to all KT Water customers on March 24, 2023.</w:t>
      </w:r>
    </w:p>
    <w:p>
      <w:pPr>
        <w:pStyle w:val="TextBody"/>
        <w:spacing w:lineRule="auto" w:line="276"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Maine Regulatory Affairs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rates approved in the Biddeford Saco division by the April 5, 2022 stipulated agreement, which authorized a rate increase of $6,313, or 72.5% went into effect on July 1, 2022. The Saco River Drinking Water Resource Center began supplying the water distribution system on June 16, 2022. As part of the stipulated agreement, Maine Water agreed to file a final phase of the rate case by April 1, 2023. The third filing was submitted on March 31, 2023. The filing requested an increase in revenue requirement of $2,949, or 19.9% and requested that the increase be implemented over two years with a 12% increase effective July 1, 2023 followed by a 9% increase effective July 1, 2024 with a slight decrease in year three to reach the overall 19.9% requested.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Maine Water filed requests for general rate increases in the Camden-Rockland, Freeport, Millinocket and Oakland Divisions. On February 2, 2023, Maine Water Company received final decisions from the MPUC on four general rate cases filed in 2022. The rate increases are retroactively effective for January 1, 2023, and authorize a $692 increase in annual revenues. </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Liquidity:</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Operating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SJW Group generated cash flows from operations of approximately $50,600, compared to $45,300 for the same period in 2022.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$5,300. This increase was the result of a combination of the following factors: (1) general working capital and net income, adjusted for non-cash items, increased by $11,800, (2) an increase in collections from accounts receivable and accrued unbilled utility revenue of $3,900, and (3) an increase of $3,200 in regulatory assets primarily due to the recognition of balancing and memorandum accounts, offset by (4) payments of amounts previously invoiced and accrued including accrued production costs, decreased by $9,100, and (5) a decrease of $4,500 in other changes primarily due to prior funds received from the State of California Water and Wastewater Arrearages Payment Program.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Water Utility Services’ write-offs for uncollectible accounts represented 2% of its total revenue, increased from less than 1% as of March 31, 2022. The increase in write-offs from prior year is due to the end of state moratoriums to halt collection efforts related to the COVID pandemic. Management believes that the collection rate for its accounts receivables will gradually return to pre-pandemic levels now that service disconnections are once again allowable in order to mitigate payment delinquencies.</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Investing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SJW Group used cash flows from investing activities of approximately $55,000, compared to $49,400 for the same period in 2022. SJW Group used approximately: (1) $52,400 of cash for company-funded capital expenditures, (2) $2,700 for developer-funded capital expenditures, and (3) $200 for utility plant retirements.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Water Utility Services’ estimated capital expenditures for 2023, exclusive of capital expenditures financed by customer contributions and advances, are anticipated to be approximately $255,000. As of March 31, 2023, approximately $52,400 or 21% of the $255,000 has been invested.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Water Utility Services’ capital expenditures are incurred in connection with normal upgrading and expansion of existing facilities and to comply with environmental regulations. Over the next five years, Water Utility Services expects to incur approximately $1,350,000 in capital expenditures, which includes replacement of pipes and mains, and maintaining water systems.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Financing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2023, increased by approximately $5,300 from the same period in the prior year, primarily as a result of (1) an increase in net borrowings and repayments on long-term debt of $70,200, and (2) an increase in net proceeds from our common stock equity offerings of $41,000, offset by (3) a decrease in net borrowings and repayments on our lines of credit of $100,100, and (4) $4,400 decrease in net cash receipts from advances and contributions in aid of construction.</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Sources of Capital: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Financing Agreements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and its subsidiaries have unsecured line of credit agreements where borrowings are used for long-term capital expenditure financing, working capital, and general corporate purposes.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line of credit agreements as of March 31, 2023, are as follows:</w:t>
      </w:r>
    </w:p>
    <w:tbl>
      <w:tblPr>
        <w:tblW w:w="9736" w:type="dxa"/>
        <w:jc w:val="left"/>
        <w:tblInd w:w="0" w:type="dxa"/>
        <w:tblCellMar>
          <w:top w:w="28" w:type="dxa"/>
          <w:left w:w="28" w:type="dxa"/>
          <w:bottom w:w="28" w:type="dxa"/>
          <w:right w:w="28" w:type="dxa"/>
        </w:tblCellMar>
      </w:tblPr>
      <w:tblGrid>
        <w:gridCol w:w="1042"/>
        <w:gridCol w:w="917"/>
        <w:gridCol w:w="920"/>
        <w:gridCol w:w="559"/>
        <w:gridCol w:w="559"/>
        <w:gridCol w:w="561"/>
        <w:gridCol w:w="109"/>
        <w:gridCol w:w="109"/>
        <w:gridCol w:w="109"/>
        <w:gridCol w:w="211"/>
        <w:gridCol w:w="826"/>
        <w:gridCol w:w="109"/>
        <w:gridCol w:w="109"/>
        <w:gridCol w:w="109"/>
        <w:gridCol w:w="109"/>
        <w:gridCol w:w="564"/>
        <w:gridCol w:w="564"/>
        <w:gridCol w:w="566"/>
        <w:gridCol w:w="109"/>
        <w:gridCol w:w="109"/>
        <w:gridCol w:w="109"/>
        <w:gridCol w:w="426"/>
        <w:gridCol w:w="400"/>
        <w:gridCol w:w="531"/>
      </w:tblGrid>
      <w:tr>
        <w:trPr/>
        <w:tc>
          <w:tcPr>
            <w:tcW w:w="104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Limit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Unused Portion</w:t>
            </w:r>
          </w:p>
        </w:tc>
      </w:tr>
      <w:tr>
        <w:trPr/>
        <w:tc>
          <w:tcPr>
            <w:tcW w:w="2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Syndicated credit agreement:</w:t>
            </w:r>
          </w:p>
        </w:tc>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w:t>
            </w:r>
          </w:p>
        </w:tc>
        <w:tc>
          <w:tcPr>
            <w:tcW w:w="1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w:t>
            </w:r>
          </w:p>
        </w:tc>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5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w:t>
            </w:r>
          </w:p>
        </w:tc>
        <w:tc>
          <w:tcPr>
            <w:tcW w:w="1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Water</w:t>
            </w:r>
          </w:p>
        </w:tc>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5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syndicated credit agreement</w:t>
            </w:r>
          </w:p>
        </w:tc>
        <w:tc>
          <w:tcPr>
            <w:tcW w:w="1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 credit agreement</w:t>
            </w:r>
          </w:p>
        </w:tc>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14,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5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 credit agreement</w:t>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72,433 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277,567 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20"/>
        </w:rPr>
        <w:t xml:space="preserve">During the three months ended March 31, 2023, cost of borrowing on the lines of credit averaged </w:t>
      </w:r>
      <w:r>
        <w:rPr>
          <w:rFonts w:ascii="Times New Roman;sans-serif" w:hAnsi="Times New Roman;sans-serif"/>
          <w:b w:val="false"/>
          <w:color w:val="000000"/>
          <w:sz w:val="20"/>
          <w:highlight w:val="white"/>
        </w:rPr>
        <w:t>5.74%</w:t>
      </w:r>
      <w:r>
        <w:rPr>
          <w:color w:val="000000"/>
        </w:rPr>
        <w:t xml:space="preserve"> </w:t>
      </w:r>
      <w:r>
        <w:rPr>
          <w:rFonts w:ascii="Times New Roman;sans-serif" w:hAnsi="Times New Roman;sans-serif"/>
          <w:b w:val="false"/>
          <w:color w:val="000000"/>
          <w:sz w:val="20"/>
        </w:rPr>
        <w:t>compared to 1.64% in the same period in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March 31, 2023, SJW Group and its subsidiaries were in compliance with all covenants on their lines of credit.</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Long-term Financing Agreements</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14, 2022, SJWC entered into a note purchase agreement with certain affiliates of New York Life Insurance, Metropolitan Life Insurance, Northwestern Mutual Life Insurance, and John Hancock Life Insurance (collectively the “Purchasers”), pursuant to which the company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of the note purchase agreement occurred on January 25, 2023. </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Financing Arrangements</w:t>
      </w:r>
    </w:p>
    <w:p>
      <w:pPr>
        <w:pStyle w:val="TextBody"/>
        <w:spacing w:lineRule="auto" w:line="288" w:before="120" w:after="283"/>
        <w:rPr/>
      </w:pPr>
      <w:r>
        <w:rPr>
          <w:rFonts w:ascii="Times New Roman;sans-serif" w:hAnsi="Times New Roman;sans-serif"/>
          <w:b w:val="false"/>
          <w:color w:val="000000"/>
          <w:sz w:val="20"/>
        </w:rPr>
        <w:t xml:space="preserve">On March 1, 2023, SJW Group entered into an Amendment No. 1 to the equity distribution agreement (the “Equity Distribution Agreement”), dated November 17, 2021, between the Company and J.P. Morgan Securities LLC, Janney Montgomery Scott LLC, RBC Capital Markets, LLC and Wells Fargo Securities, LLC (each a “Sales Agent” and, collectively, the “Sales Agents”), pursuant to which the Company increased the aggregate gross sales price of shares of the Company’s common stock, $0.001 par value per share, that may be sold under the Equity Distribution Agreement from $100,000 to $240,000. </w:t>
      </w:r>
      <w:r>
        <w:rPr>
          <w:rFonts w:ascii="Times New Roman;sans-serif" w:hAnsi="Times New Roman;sans-serif"/>
          <w:b w:val="false"/>
          <w:color w:val="000000"/>
          <w:sz w:val="20"/>
          <w:highlight w:val="white"/>
        </w:rPr>
        <w:t xml:space="preserve">For the three months ended March 31, 2023, SJW Group issued and sold a total of 547,820 shares of common stock with a weighted average price of $76.10 per share and received approximately $40,997 in net proceeds under the Equity Distribution Agreement. Since the inception of the Equity Distribution Agreement, SJW Group has issued and sold 1,432,671 shares of common stock with a weighted average price of $74.46 for a total net proceeds of $104,429 and has </w:t>
      </w:r>
      <w:r>
        <w:rPr>
          <w:rFonts w:ascii="Times New Roman;sans-serif" w:hAnsi="Times New Roman;sans-serif"/>
          <w:b w:val="false"/>
          <w:color w:val="000000"/>
          <w:sz w:val="20"/>
        </w:rPr>
        <w:t xml:space="preserve">$133,323 remaining to issue from the sale of shares as of March 31, 2023 </w:t>
      </w:r>
      <w:r>
        <w:rPr>
          <w:rFonts w:ascii="Times New Roman;sans-serif" w:hAnsi="Times New Roman;sans-serif"/>
          <w:b w:val="false"/>
          <w:color w:val="000000"/>
          <w:sz w:val="20"/>
          <w:highlight w:val="white"/>
        </w:rPr>
        <w:t xml:space="preserve">under the Equity Distribution Agreement. </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Rating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2023 and 2022 activities, we will have access to the external funding sources necessary to implement our on-going capital investment programs in the future. The current Standard &amp; Poor’s Rating Service assigned company rating for SJW Group with a stable outlook is an A-, for SJWC with a stable outlook is an A, CTWS with a stable outlook is an A-, and Connecticut Water with a stable outlook is an A-.</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 </w:t>
      </w:r>
    </w:p>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has no derivative financial instruments, financial instruments with significant off-balance sheet risks, or financial instruments with concentrations of credit risk. </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CONTROLS AND PROCEDURES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internal control over financial reporting during the first fiscal quarter of 2023 that has materially affected, or is reasonably likely to materially affect, the internal controls over financial reporting of SJW Group.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the “Risk Factors” in SJW Group’s Form 10-K for the year ended December 31, 2022 and our other public filings, which could materially affect our business, financial condition or future results. There has been no material changes from risk factors previously disclosed in “Risk Factors” in SJW Group’s Form 10-K for the year ended December 31, 2022.</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Quarterly Dividend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April 26, 2023, the Board of Directors of SJW Group declared the regular quarterly dividend of $0.38 per share of common stock. The dividend will be paid on June 1, 2023, to stockholders of record as of the close of business on May 8, 2023.</w:t>
      </w:r>
    </w:p>
    <w:p>
      <w:pPr>
        <w:pStyle w:val="TextBody"/>
        <w:spacing w:lineRule="auto" w:line="288" w:before="120" w:after="283"/>
        <w:ind w:left="0" w:right="0" w:firstLine="495"/>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Information Web Sites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SJW Group posts information about the operating and financial performance of SJW Group and its subsidiaries on its web sites at www.sjwgroup.com, www.sjwater.com, www.ctwater.com, www.txwaterco.com and www.mainewater.com from time to time. The information on our web sites is not a part of and should not be considered incorporated by reference into this Form 10-Q.</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left"/>
        <w:tblInd w:w="0" w:type="dxa"/>
        <w:tblCellMar>
          <w:top w:w="28" w:type="dxa"/>
          <w:left w:w="28" w:type="dxa"/>
          <w:bottom w:w="28" w:type="dxa"/>
          <w:right w:w="28" w:type="dxa"/>
        </w:tblCellMar>
      </w:tblPr>
      <w:tblGrid>
        <w:gridCol w:w="272"/>
        <w:gridCol w:w="240"/>
        <w:gridCol w:w="241"/>
        <w:gridCol w:w="109"/>
        <w:gridCol w:w="109"/>
        <w:gridCol w:w="109"/>
        <w:gridCol w:w="2768"/>
        <w:gridCol w:w="2620"/>
        <w:gridCol w:w="3737"/>
      </w:tblGrid>
      <w:tr>
        <w:trPr/>
        <w:tc>
          <w:tcPr>
            <w:tcW w:w="27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8" w:type="dxa"/>
            <w:tcBorders/>
            <w:shd w:fill="auto" w:val="clear"/>
            <w:vAlign w:val="center"/>
          </w:tcPr>
          <w:p>
            <w:pPr>
              <w:pStyle w:val="TableContents"/>
              <w:spacing w:before="0" w:after="283"/>
              <w:rPr>
                <w:sz w:val="4"/>
                <w:szCs w:val="4"/>
              </w:rPr>
            </w:pPr>
            <w:r>
              <w:rPr>
                <w:sz w:val="4"/>
                <w:szCs w:val="4"/>
              </w:rPr>
            </w:r>
          </w:p>
        </w:tc>
        <w:tc>
          <w:tcPr>
            <w:tcW w:w="2620" w:type="dxa"/>
            <w:tcBorders/>
            <w:shd w:fill="auto" w:val="clear"/>
            <w:vAlign w:val="center"/>
          </w:tcPr>
          <w:p>
            <w:pPr>
              <w:pStyle w:val="TableContents"/>
              <w:spacing w:before="0" w:after="283"/>
              <w:rPr>
                <w:sz w:val="4"/>
                <w:szCs w:val="4"/>
              </w:rPr>
            </w:pPr>
            <w:r>
              <w:rPr>
                <w:sz w:val="4"/>
                <w:szCs w:val="4"/>
              </w:rPr>
            </w:r>
          </w:p>
        </w:tc>
        <w:tc>
          <w:tcPr>
            <w:tcW w:w="3737" w:type="dxa"/>
            <w:tcBorders/>
            <w:shd w:fill="auto" w:val="cle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jw-33123xex101.htm">
              <w:r>
                <w:rPr>
                  <w:rStyle w:val="InternetLink"/>
                </w:rPr>
                <w:t>Amendment 1, dated March 1, 2023, to the Equity Distribution</w:t>
              </w:r>
            </w:hyperlink>
            <w:hyperlink w:anchor="sjw-33123xex101.htm">
              <w:r>
                <w:rPr>
                  <w:rStyle w:val="InternetLink"/>
                </w:rPr>
                <w:t xml:space="preserve"> Agreement, dated </w:t>
              </w:r>
            </w:hyperlink>
            <w:hyperlink w:anchor="sjw-33123xex101.htm">
              <w:r>
                <w:rPr>
                  <w:rStyle w:val="InternetLink"/>
                </w:rPr>
                <w:t>November 17, 2021,</w:t>
              </w:r>
            </w:hyperlink>
            <w:hyperlink w:anchor="sjw-33123xex101.htm">
              <w:r>
                <w:rPr>
                  <w:rStyle w:val="InternetLink"/>
                </w:rPr>
                <w:t xml:space="preserve"> by and among the Company, </w:t>
              </w:r>
            </w:hyperlink>
            <w:hyperlink w:anchor="sjw-33123xex101.htm">
              <w:r>
                <w:rPr>
                  <w:rStyle w:val="InternetLink"/>
                </w:rPr>
                <w:t>J.P. Morgan Securities LLC, Janney Montgomery Scott LLC, RBC Capital Markets, LLC</w:t>
              </w:r>
            </w:hyperlink>
            <w:hyperlink w:anchor="sjw-33123xex101.htm">
              <w:r>
                <w:rPr>
                  <w:rStyle w:val="InternetLink"/>
                </w:rPr>
                <w:t xml:space="preserve"> and Wells Fargo </w:t>
              </w:r>
            </w:hyperlink>
            <w:hyperlink w:anchor="sjw-33123xex101.htm">
              <w:r>
                <w:rPr>
                  <w:rStyle w:val="InternetLink"/>
                </w:rPr>
                <w:t>Securities, LLC.</w:t>
              </w:r>
            </w:hyperlink>
            <w:hyperlink w:anchor="sjw-33123xex101.htm">
              <w:r>
                <w:rPr>
                  <w:rStyle w:val="InternetLink"/>
                </w:rPr>
                <w:t xml:space="preserve"> Incorporated by reference to Exhibit </w:t>
              </w:r>
            </w:hyperlink>
            <w:hyperlink w:anchor="sjw-33123xex101.htm">
              <w:r>
                <w:rPr>
                  <w:rStyle w:val="InternetLink"/>
                </w:rPr>
                <w:t>1.1</w:t>
              </w:r>
            </w:hyperlink>
            <w:hyperlink w:anchor="sjw-33123xex101.htm">
              <w:r>
                <w:rPr>
                  <w:rStyle w:val="InternetLink"/>
                </w:rPr>
                <w:t xml:space="preserve"> to </w:t>
              </w:r>
            </w:hyperlink>
            <w:hyperlink w:anchor="sjw-33123xex101.htm">
              <w:r>
                <w:rPr>
                  <w:rStyle w:val="InternetLink"/>
                </w:rPr>
                <w:t xml:space="preserve">the </w:t>
              </w:r>
            </w:hyperlink>
            <w:hyperlink w:anchor="sjw-33123xex101.htm">
              <w:r>
                <w:rPr>
                  <w:rStyle w:val="InternetLink"/>
                </w:rPr>
                <w:t xml:space="preserve">Form 8-K filed on </w:t>
              </w:r>
            </w:hyperlink>
            <w:hyperlink w:anchor="sjw-33123xex101.htm">
              <w:r>
                <w:rPr>
                  <w:rStyle w:val="InternetLink"/>
                </w:rPr>
                <w:t>March 2, 2023.</w:t>
              </w:r>
            </w:hyperlink>
            <w:r>
              <w:rPr>
                <w:color w:val="000000"/>
              </w:rPr>
              <w:t xml:space="preserve"> </w:t>
            </w:r>
            <w:r>
              <w:rPr>
                <w:rFonts w:ascii="Times New Roman;sans-serif" w:hAnsi="Times New Roman;sans-serif"/>
                <w:b w:val="false"/>
                <w:color w:val="000000"/>
                <w:sz w:val="20"/>
              </w:rPr>
              <w:t>(1)</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jw-33123xex311.htm">
              <w:r>
                <w:rPr>
                  <w:rStyle w:val="InternetLink"/>
                  <w:rFonts w:ascii="Times New Roman;sans-serif" w:hAnsi="Times New Roman;sans-serif"/>
                  <w:b w:val="false"/>
                  <w:color w:val="0000FF"/>
                  <w:sz w:val="20"/>
                  <w:u w:val="single"/>
                </w:rPr>
                <w:t>Certification Pursuant to Rule 13a-14(a)/15d-14(a) by Chairman, President and Chief Executive Officer.</w:t>
              </w:r>
            </w:hyperlink>
            <w:r>
              <w:rPr>
                <w:color w:val="000000"/>
              </w:rPr>
              <w:t xml:space="preserve"> </w:t>
            </w:r>
            <w:r>
              <w:rPr>
                <w:rFonts w:ascii="Times New Roman;sans-serif" w:hAnsi="Times New Roman;sans-serif"/>
                <w:b w:val="false"/>
                <w:color w:val="000000"/>
                <w:sz w:val="20"/>
              </w:rPr>
              <w:t>(1)</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jw-33123xex312.htm">
              <w:r>
                <w:rPr>
                  <w:rStyle w:val="InternetLink"/>
                  <w:rFonts w:ascii="Times New Roman;sans-serif" w:hAnsi="Times New Roman;sans-serif"/>
                  <w:b w:val="false"/>
                  <w:color w:val="0000FF"/>
                  <w:sz w:val="20"/>
                  <w:u w:val="single"/>
                </w:rPr>
                <w:t>Certification Pursuant to Rule 13a-14(a)/15d-14(a) by Chief Financial Officer and Treasurer.</w:t>
              </w:r>
            </w:hyperlink>
            <w:r>
              <w:rPr>
                <w:color w:val="000000"/>
              </w:rPr>
              <w:t xml:space="preserve"> </w:t>
            </w:r>
            <w:r>
              <w:rPr>
                <w:rFonts w:ascii="Times New Roman;sans-serif" w:hAnsi="Times New Roman;sans-serif"/>
                <w:b w:val="false"/>
                <w:color w:val="000000"/>
                <w:sz w:val="20"/>
              </w:rPr>
              <w:t>(1)</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jw-33123xex321.htm">
              <w:r>
                <w:rPr>
                  <w:rStyle w:val="InternetLink"/>
                  <w:rFonts w:ascii="Times New Roman;sans-serif" w:hAnsi="Times New Roman;sans-serif"/>
                  <w:b w:val="false"/>
                  <w:color w:val="0000FF"/>
                  <w:sz w:val="20"/>
                  <w:u w:val="single"/>
                </w:rPr>
                <w:t>Certification Pursuant to 18 U.S.C. Section 1350 by Chairman, President and Chief Executive Officer, as adopted pursuant to Section 906 of the Sarbanes-Oxley Act of 2002.</w:t>
              </w:r>
            </w:hyperlink>
            <w:r>
              <w:rPr>
                <w:color w:val="000000"/>
              </w:rPr>
              <w:t xml:space="preserve"> </w:t>
            </w:r>
            <w:r>
              <w:rPr>
                <w:rFonts w:ascii="Times New Roman;sans-serif" w:hAnsi="Times New Roman;sans-serif"/>
                <w:b w:val="false"/>
                <w:color w:val="000000"/>
                <w:sz w:val="20"/>
              </w:rPr>
              <w:t>(1)</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jw-33123xex322.htm">
              <w:r>
                <w:rPr>
                  <w:rStyle w:val="InternetLink"/>
                  <w:rFonts w:ascii="Times New Roman;sans-serif" w:hAnsi="Times New Roman;sans-serif"/>
                  <w:b w:val="false"/>
                  <w:color w:val="0000FF"/>
                  <w:sz w:val="20"/>
                  <w:u w:val="single"/>
                </w:rPr>
                <w:t>Certification Pursuant to 18 U.S.C. Section 1350 by Chief Financial Officer and Treasurer, as adopted pursuant to Section 906 of the Sarbanes-Oxley Act of 2002.</w:t>
              </w:r>
            </w:hyperlink>
            <w:r>
              <w:rPr>
                <w:color w:val="000000"/>
              </w:rPr>
              <w:t xml:space="preserve"> </w:t>
            </w:r>
            <w:r>
              <w:rPr>
                <w:rFonts w:ascii="Times New Roman;sans-serif" w:hAnsi="Times New Roman;sans-serif"/>
                <w:b w:val="false"/>
                <w:color w:val="000000"/>
                <w:sz w:val="20"/>
              </w:rPr>
              <w:t>(1)</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color w:val="000000"/>
        </w:rPr>
      </w:pPr>
      <w:r>
        <w:rPr>
          <w:color w:val="000000"/>
        </w:rPr>
        <w:t>  </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(1)Filed currently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120" w:after="283"/>
        <w:rPr>
          <w:color w:val="000000"/>
        </w:rPr>
      </w:pPr>
      <w:r>
        <w:rPr>
          <w:color w:val="000000"/>
        </w:rPr>
        <w:t> </w:t>
      </w:r>
    </w:p>
    <w:tbl>
      <w:tblPr>
        <w:tblW w:w="5980" w:type="dxa"/>
        <w:jc w:val="left"/>
        <w:tblInd w:w="0" w:type="dxa"/>
        <w:tblCellMar>
          <w:top w:w="28" w:type="dxa"/>
          <w:left w:w="28" w:type="dxa"/>
          <w:bottom w:w="28" w:type="dxa"/>
          <w:right w:w="28" w:type="dxa"/>
        </w:tblCellMar>
      </w:tblPr>
      <w:tblGrid>
        <w:gridCol w:w="260"/>
        <w:gridCol w:w="229"/>
        <w:gridCol w:w="231"/>
        <w:gridCol w:w="384"/>
        <w:gridCol w:w="384"/>
        <w:gridCol w:w="386"/>
        <w:gridCol w:w="134"/>
        <w:gridCol w:w="134"/>
        <w:gridCol w:w="136"/>
        <w:gridCol w:w="109"/>
        <w:gridCol w:w="109"/>
        <w:gridCol w:w="109"/>
        <w:gridCol w:w="987"/>
        <w:gridCol w:w="987"/>
        <w:gridCol w:w="1401"/>
      </w:tblGrid>
      <w:tr>
        <w:trPr/>
        <w:tc>
          <w:tcPr>
            <w:tcW w:w="26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SJW GROUP</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DATE:</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ANDREW F. WALTERS</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F. Walters</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 and Treasurer</w:t>
              <w:br/>
              <w:t>(Principal financial officer)</w:t>
            </w:r>
          </w:p>
        </w:tc>
      </w:tr>
    </w:tbl>
    <w:p>
      <w:pPr>
        <w:pStyle w:val="TextBody"/>
        <w:spacing w:before="12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right"/>
        <w:rPr/>
      </w:pPr>
      <w:r>
        <w:rPr/>
      </w:r>
    </w:p>
    <w:p>
      <w:pPr>
        <w:pStyle w:val="TextBody"/>
        <w:spacing w:lineRule="auto" w:line="240"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SJW GROUP</w: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AMENDMENT NO. 1 TO DISTRIBUTION AGREEMENT</w:t>
      </w:r>
    </w:p>
    <w:p>
      <w:pPr>
        <w:pStyle w:val="TextBody"/>
        <w:spacing w:lineRule="auto" w:line="240" w:before="360" w:after="360"/>
        <w:jc w:val="right"/>
        <w:rPr>
          <w:rFonts w:ascii="Times New Roman;sans-serif" w:hAnsi="Times New Roman;sans-serif"/>
          <w:b w:val="false"/>
          <w:color w:val="000000"/>
          <w:sz w:val="24"/>
        </w:rPr>
      </w:pPr>
      <w:r>
        <w:rPr>
          <w:rFonts w:ascii="Times New Roman;sans-serif" w:hAnsi="Times New Roman;sans-serif"/>
          <w:b w:val="false"/>
          <w:color w:val="000000"/>
          <w:sz w:val="24"/>
        </w:rPr>
        <w:t>March 1, 2023</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J.P. Morgan Securities LLC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383 Madison Avenue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New York 10179</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Janney Montgomery Scott LLC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1717 Arch Street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Philadelphia, Pennsylvania 19103</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RBC Capital Markets, LLC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200 Vesey Street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NY 10281</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Wells Fargo Securities, LLC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500 West 33rd Street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New York 10001</w: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lineRule="auto" w:line="240" w:before="0" w:after="240"/>
        <w:ind w:left="0" w:right="0" w:firstLine="720"/>
        <w:jc w:val="both"/>
        <w:rPr/>
      </w:pPr>
      <w:r>
        <w:rPr>
          <w:rFonts w:ascii="Times New Roman;sans-serif" w:hAnsi="Times New Roman;sans-serif"/>
          <w:b w:val="false"/>
          <w:color w:val="000000"/>
          <w:sz w:val="24"/>
        </w:rPr>
        <w:t>Reference is made to the Distribution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dated as of November 17, 2021, by and among SJW Group, a Delaware corporation, and J.P. Morgan Securities LLC, Janney Montgomery Scott LLC, RBC Capital Markets, LLC and Wells Fargo Securities, LLC. Capitalized terms used but not defined herein shall have the meanings ascribed to such terms in the Agreement. </w:t>
      </w:r>
    </w:p>
    <w:p>
      <w:pPr>
        <w:pStyle w:val="TextBody"/>
        <w:spacing w:lineRule="auto" w:line="240" w:before="0" w:after="240"/>
        <w:ind w:left="0" w:right="0" w:firstLine="720"/>
        <w:jc w:val="both"/>
        <w:rPr/>
      </w:pPr>
      <w:r>
        <w:rPr>
          <w:rFonts w:ascii="Times New Roman;sans-serif" w:hAnsi="Times New Roman;sans-serif"/>
          <w:b w:val="false"/>
          <w:color w:val="000000"/>
          <w:sz w:val="24"/>
        </w:rPr>
        <w:t>In connection with the foregoing, the parties hereto wish to amend the Agreement through this Amendment No. 1 to Distribution Agreement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to make certain changes to the Agreement with effect on and after the date hereof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SECTION 1. </w:t>
      </w:r>
      <w:r>
        <w:rPr>
          <w:rFonts w:ascii="Times New Roman;sans-serif" w:hAnsi="Times New Roman;sans-serif"/>
          <w:b w:val="false"/>
          <w:color w:val="000000"/>
          <w:sz w:val="24"/>
          <w:u w:val="single"/>
        </w:rPr>
        <w:t>Amendments to the Agreement</w:t>
      </w:r>
      <w:r>
        <w:rPr>
          <w:rFonts w:ascii="Times New Roman;sans-serif" w:hAnsi="Times New Roman;sans-serif"/>
          <w:b w:val="false"/>
          <w:color w:val="000000"/>
          <w:sz w:val="24"/>
        </w:rPr>
        <w:t>. The parties hereto agree, from and after the Effective Date, that: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The first paragraph of the Agreement is hereby amended and restated in its entirety to read as follows:</w:t>
      </w:r>
    </w:p>
    <w:p>
      <w:pPr>
        <w:pStyle w:val="TextBody"/>
        <w:spacing w:lineRule="auto" w:line="240" w:before="0" w:after="240"/>
        <w:rPr/>
      </w:pPr>
      <w:r>
        <w:rPr>
          <w:rFonts w:ascii="Times New Roman;sans-serif" w:hAnsi="Times New Roman;sans-serif"/>
          <w:b w:val="false"/>
          <w:color w:val="000000"/>
          <w:sz w:val="24"/>
        </w:rPr>
        <w:t>SJW Group,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confirms its agreement with J.P. Morgan Securities LLC (“</w:t>
      </w:r>
      <w:r>
        <w:rPr>
          <w:rFonts w:ascii="Times New Roman;sans-serif" w:hAnsi="Times New Roman;sans-serif"/>
          <w:b/>
          <w:color w:val="000000"/>
          <w:sz w:val="24"/>
        </w:rPr>
        <w:t>J.P. Morgan</w:t>
      </w:r>
      <w:r>
        <w:rPr>
          <w:color w:val="000000"/>
        </w:rPr>
        <w:t>”</w:t>
      </w:r>
      <w:r>
        <w:rPr>
          <w:rFonts w:ascii="Times New Roman;sans-serif" w:hAnsi="Times New Roman;sans-serif"/>
          <w:b w:val="false"/>
          <w:color w:val="000000"/>
          <w:sz w:val="24"/>
        </w:rPr>
        <w:t>), Janney Montgomery Scott LLC, RBC Capital Markets, LLC and Wells Fargo Securities, LLC, each as an agent and/or principal under any Terms Agreement (as defined in Section 1(a) below) (each an “</w:t>
      </w:r>
      <w:r>
        <w:rPr>
          <w:rFonts w:ascii="Times New Roman;sans-serif" w:hAnsi="Times New Roman;sans-serif"/>
          <w:b/>
          <w:color w:val="000000"/>
          <w:sz w:val="24"/>
        </w:rPr>
        <w:t>Agent</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Agents</w:t>
      </w:r>
      <w:r>
        <w:rPr>
          <w:color w:val="000000"/>
        </w:rPr>
        <w:t>”</w:t>
      </w:r>
      <w:r>
        <w:rPr>
          <w:rFonts w:ascii="Times New Roman;sans-serif" w:hAnsi="Times New Roman;sans-serif"/>
          <w:b w:val="false"/>
          <w:color w:val="000000"/>
          <w:sz w:val="24"/>
        </w:rPr>
        <w:t>), with respect to the issuance and sale from time to time by the Company, in the manner and subject to the terms and conditions described below in this Distribution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of Common Stock, $0.001 par value per share (the “</w:t>
      </w:r>
      <w:r>
        <w:rPr>
          <w:rFonts w:ascii="Times New Roman;sans-serif" w:hAnsi="Times New Roman;sans-serif"/>
          <w:b/>
          <w:color w:val="000000"/>
          <w:sz w:val="24"/>
        </w:rPr>
        <w:t>Common Stock</w:t>
      </w:r>
      <w:r>
        <w:rPr>
          <w:color w:val="000000"/>
        </w:rPr>
        <w:t>”</w:t>
      </w:r>
      <w:r>
        <w:rPr>
          <w:rFonts w:ascii="Times New Roman;sans-serif" w:hAnsi="Times New Roman;sans-serif"/>
          <w:b w:val="false"/>
          <w:color w:val="000000"/>
          <w:sz w:val="24"/>
        </w:rPr>
        <w:t>), of the Company having an aggregate Gross Sales Price (as defined in Section 2(b) below) of up to $240,000,000 (the “</w:t>
      </w:r>
      <w:r>
        <w:rPr>
          <w:rFonts w:ascii="Times New Roman;sans-serif" w:hAnsi="Times New Roman;sans-serif"/>
          <w:b/>
          <w:color w:val="000000"/>
          <w:sz w:val="24"/>
        </w:rPr>
        <w:t>Maximum Amount</w:t>
      </w:r>
      <w:r>
        <w:rPr>
          <w:color w:val="000000"/>
        </w:rPr>
        <w:t>”</w:t>
      </w:r>
      <w:r>
        <w:rPr>
          <w:rFonts w:ascii="Times New Roman;sans-serif" w:hAnsi="Times New Roman;sans-serif"/>
          <w:b w:val="false"/>
          <w:color w:val="000000"/>
          <w:sz w:val="24"/>
        </w:rPr>
        <w:t>) on the terms set forth in Section 1 of this Agreement. Such shares are hereinafter collectively referred to as the “</w:t>
      </w:r>
      <w:r>
        <w:rPr>
          <w:rFonts w:ascii="Times New Roman;sans-serif" w:hAnsi="Times New Roman;sans-serif"/>
          <w:b/>
          <w:color w:val="000000"/>
          <w:sz w:val="24"/>
        </w:rPr>
        <w:t>Shares</w:t>
      </w:r>
      <w:r>
        <w:rPr>
          <w:color w:val="000000"/>
        </w:rPr>
        <w:t xml:space="preserve">” </w:t>
      </w:r>
      <w:r>
        <w:rPr>
          <w:rFonts w:ascii="Times New Roman;sans-serif" w:hAnsi="Times New Roman;sans-serif"/>
          <w:b w:val="false"/>
          <w:color w:val="000000"/>
          <w:sz w:val="24"/>
        </w:rPr>
        <w:t>and are described in the Prospectus referred to below.</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Section 3(gg) of the Agreement is hereby amended and restated in its entirety to read as follows:</w:t>
      </w:r>
    </w:p>
    <w:p>
      <w:pPr>
        <w:pStyle w:val="TextBody"/>
        <w:spacing w:lineRule="auto" w:line="240" w:before="0" w:after="240"/>
        <w:jc w:val="both"/>
        <w:rPr/>
      </w:pPr>
      <w:r>
        <w:rPr>
          <w:rFonts w:ascii="Times New Roman;sans-serif" w:hAnsi="Times New Roman;sans-serif"/>
          <w:b w:val="false"/>
          <w:color w:val="000000"/>
          <w:sz w:val="24"/>
        </w:rPr>
        <w:t>Neither the Company nor any of its subsidiaries, directors or officers, nor, to the knowledge of the Company, any employee,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sans-serif" w:hAnsi="Times New Roman;sans-serif"/>
          <w:b/>
          <w:color w:val="000000"/>
          <w:sz w:val="24"/>
        </w:rPr>
        <w:t>OFAC</w:t>
      </w:r>
      <w:r>
        <w:rPr>
          <w:color w:val="000000"/>
        </w:rPr>
        <w:t>”</w:t>
      </w:r>
      <w:r>
        <w:rPr>
          <w:rFonts w:ascii="Times New Roman;sans-serif" w:hAnsi="Times New Roman;sans-serif"/>
          <w:b w:val="false"/>
          <w:color w:val="000000"/>
          <w:sz w:val="24"/>
        </w:rPr>
        <w:t>) or the U.S. Department of State and including, without limitation, the designation as a “</w:t>
      </w:r>
      <w:r>
        <w:rPr>
          <w:rFonts w:ascii="Times New Roman;sans-serif" w:hAnsi="Times New Roman;sans-serif"/>
          <w:b/>
          <w:color w:val="000000"/>
          <w:sz w:val="24"/>
        </w:rPr>
        <w:t>specially designated national</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blocked person</w:t>
      </w:r>
      <w:r>
        <w:rPr>
          <w:color w:val="000000"/>
        </w:rPr>
        <w:t>”</w:t>
      </w:r>
      <w:r>
        <w:rPr>
          <w:rFonts w:ascii="Times New Roman;sans-serif" w:hAnsi="Times New Roman;sans-serif"/>
          <w:b w:val="false"/>
          <w:color w:val="000000"/>
          <w:sz w:val="24"/>
        </w:rPr>
        <w:t>), the United Nations Security Council (“</w:t>
      </w:r>
      <w:r>
        <w:rPr>
          <w:rFonts w:ascii="Times New Roman;sans-serif" w:hAnsi="Times New Roman;sans-serif"/>
          <w:b/>
          <w:color w:val="000000"/>
          <w:sz w:val="24"/>
        </w:rPr>
        <w:t>UNSC</w:t>
      </w:r>
      <w:r>
        <w:rPr>
          <w:color w:val="000000"/>
        </w:rPr>
        <w:t>”</w:t>
      </w:r>
      <w:r>
        <w:rPr>
          <w:rFonts w:ascii="Times New Roman;sans-serif" w:hAnsi="Times New Roman;sans-serif"/>
          <w:b w:val="false"/>
          <w:color w:val="000000"/>
          <w:sz w:val="24"/>
        </w:rPr>
        <w:t>), the European Union, His Majesty’s Treasury (“</w:t>
      </w:r>
      <w:r>
        <w:rPr>
          <w:rFonts w:ascii="Times New Roman;sans-serif" w:hAnsi="Times New Roman;sans-serif"/>
          <w:b/>
          <w:color w:val="000000"/>
          <w:sz w:val="24"/>
        </w:rPr>
        <w:t>HMT</w:t>
      </w:r>
      <w:r>
        <w:rPr>
          <w:color w:val="000000"/>
        </w:rPr>
        <w:t>”</w:t>
      </w:r>
      <w:r>
        <w:rPr>
          <w:rFonts w:ascii="Times New Roman;sans-serif" w:hAnsi="Times New Roman;sans-serif"/>
          <w:b w:val="false"/>
          <w:color w:val="000000"/>
          <w:sz w:val="24"/>
        </w:rPr>
        <w:t>) or other relevant sanctions authority (collectively, “</w:t>
      </w:r>
      <w:r>
        <w:rPr>
          <w:rFonts w:ascii="Times New Roman;sans-serif" w:hAnsi="Times New Roman;sans-serif"/>
          <w:b/>
          <w:color w:val="000000"/>
          <w:sz w:val="24"/>
        </w:rPr>
        <w:t>Sanctions</w:t>
      </w:r>
      <w:r>
        <w:rPr>
          <w:color w:val="000000"/>
        </w:rPr>
        <w:t>”</w:t>
      </w:r>
      <w:r>
        <w:rPr>
          <w:rFonts w:ascii="Times New Roman;sans-serif" w:hAnsi="Times New Roman;sans-serif"/>
          <w:b w:val="false"/>
          <w:color w:val="000000"/>
          <w:sz w:val="24"/>
        </w:rPr>
        <w:t>), nor is the Company or any of its subsidiaries located, organized or resident in a country or territory that is the subject or target of Sanctions, including, without limitation, Crimea and the non-government controlled areas of the Zaporizhzhia and Kherson Regions of Ukraine, the so-called Donetsk People’s Republic, the so-called Luhansk People’s Republic, Cuba, Iran, North Korea and Syria (each, a “</w:t>
      </w:r>
      <w:r>
        <w:rPr>
          <w:rFonts w:ascii="Times New Roman;sans-serif" w:hAnsi="Times New Roman;sans-serif"/>
          <w:b/>
          <w:color w:val="000000"/>
          <w:sz w:val="24"/>
        </w:rPr>
        <w:t>Sanctioned Country</w:t>
      </w:r>
      <w:r>
        <w:rPr>
          <w:color w:val="000000"/>
        </w:rPr>
        <w:t>”</w:t>
      </w:r>
      <w:r>
        <w:rPr>
          <w:rFonts w:ascii="Times New Roman;sans-serif" w:hAnsi="Times New Roman;sans-serif"/>
          <w:b w:val="false"/>
          <w:color w:val="000000"/>
          <w:sz w:val="24"/>
        </w:rPr>
        <w:t xml:space="preserve">);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agent,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Section 4(l) of the Agreement is hereby amended and restated in its entirety to read as follows: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 Except as otherwise agreed between the Company and the Agents, to pay all costs, expenses, fees and taxes in connection with (i) the preparation and filing of the Registration Statement, the Prospectus, any Permitted Free Writing Prospectus, and any amendments or supplements thereto, and the printing and furnishing of copies of each thereof to the Agents and to dealers (including costs of mailing and shipment), (ii) the registration, issue and delivery of the Shares, (iii) the qualification of the Shares for offering and sale under the securities or blue sky laws of such states or other jurisdictions as the Agents may reasonably designate as aforesaid (including filing fees and the reasonable legal fees and disbursements of counsel to the Agents in connection therewith) and the printing and furnishing of copies of any blue sky surveys to the Agents, (iv) the listing of the Shares on the Exchange and any registration thereof under the Exchange Act, (v) any filing for review, and any review, of the public offering of the Shares by FINRA (including filing fees and the reasonable legal fees and disbursements of counsel to the Agents in connection therewith), (vi) the fees and disbursements of counsel to the Company and of the Company’s independent registered public accounting firm, (vii) the performance of the Company’s other obligations hereunder and under any Terms Agreement and (viii) reasonable and documented fees and out-of-pocket expenses of the Agents and their counsel in an aggregate amount not to exceed $50,000 in connection with the execution and delivery of the Amendment to this Agreement and $35,000 in connection with each subsequent Bring-Down Delivery Date (as defined in Section 6(b)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9" name="Frame2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below) in which the requirement to provide a certificate under clause (i) or (iii) of Section 6(b) are not automatically waived pursuant to Section 6(b) thereof.</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Section 10 of the Agreement is hereby amended and restated in its entirety to read as follows:</w:t>
      </w:r>
    </w:p>
    <w:p>
      <w:pPr>
        <w:pStyle w:val="TextBody"/>
        <w:spacing w:lineRule="auto" w:line="240" w:before="0" w:after="240"/>
        <w:jc w:val="both"/>
        <w:rPr/>
      </w:pP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and other communications under this Agreement and any Terms Agreement shall be in writing and shall be deemed to have been duly given if mailed or transmitted and confirmed by any standard form of communication, and shall be sufficient in all respects if delivered or sent to: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to J.P. Morgan Securities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J.P. Morgan Securities LLC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383 Madison Avenue, 7th Floor</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New York 10179</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Attention: Special Equities Group</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to Janney Montgomery Scott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Janney Montgomery Scott LLC</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1717 Arch Street</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Philadelphia, Pennsylvania 19103</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to RBC Capital Markets, LLC:</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RBC Capital Markets, LLC</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200 Vesey Street </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New York, NY 10281</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to Wells Fargo Securities, LLC:</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Wells Fargo Securities, LLC</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500 West 33rd Street</w:t>
      </w:r>
    </w:p>
    <w:p>
      <w:pPr>
        <w:pStyle w:val="TextBody"/>
        <w:spacing w:lineRule="auto" w:line="240" w:before="0" w:after="12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New York, New York 10001</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SJW Group</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110 W. Taylor Street</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San Jose, California 95110, </w:t>
      </w:r>
    </w:p>
    <w:p>
      <w:pPr>
        <w:pStyle w:val="TextBody"/>
        <w:spacing w:lineRule="auto" w:line="240" w:before="0" w:after="12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Attn: Willie Brown, email: willie.brown@sjwater.com</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Transaction Proposals shall be delivered by the Company to J.P. Morgan Securities LLC by telephone or email to Sanjeet Dewal (telephone number: (212) 622-8783; email: sanjeet.s.dewal@jpmorgan.com, to Janney Montgomery Scott LLC by telephone or email to David Lau (telephone number: (617) 557-2971, email: dlau@janney.com), to RBC Capital Markets, LLC by facsimile or email to TJ Opladen (facsimile: (212) 428-6260 and email: tj.opladen@rbccm.com) and to Wells Fargo Securities, LLC by telephone or email to Equity Syndicate Department (telephone number: (833) 690-2713, email: cmclientsupport@wellsfargo.com); and Transaction Acceptances shall be delivered by the Agents to the Company by email to Andrew Walters (andrew.walters@sjwater.com).</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Schedule A to the Agreement is hereby amended and restated in its entirety to read as follows:</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3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Authorized Company Representatives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Andrew F. Walters – Chief Financial Officer &amp; Treasurer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The first paragraph of Exhibit A of the Agreement is hereby amended and restated in its entirety to read as follows:</w:t>
      </w:r>
    </w:p>
    <w:p>
      <w:pPr>
        <w:pStyle w:val="TextBody"/>
        <w:spacing w:lineRule="auto" w:line="240" w:before="0" w:after="240"/>
        <w:jc w:val="both"/>
        <w:rPr/>
      </w:pPr>
      <w:r>
        <w:rPr>
          <w:rFonts w:ascii="Times New Roman;sans-serif" w:hAnsi="Times New Roman;sans-serif"/>
          <w:b w:val="false"/>
          <w:color w:val="000000"/>
          <w:sz w:val="24"/>
        </w:rPr>
        <w:t>SJW Group,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proposes, subject to the terms and conditions stated herein and in the Distribution Agreement dated November 17, 2021 (as amended on or prior to the date hereof, the “</w:t>
      </w:r>
      <w:r>
        <w:rPr>
          <w:rFonts w:ascii="Times New Roman;sans-serif" w:hAnsi="Times New Roman;sans-serif"/>
          <w:b/>
          <w:color w:val="000000"/>
          <w:sz w:val="24"/>
        </w:rPr>
        <w:t>Distribution Agreement</w:t>
      </w:r>
      <w:r>
        <w:rPr>
          <w:color w:val="000000"/>
        </w:rPr>
        <w:t>”</w:t>
      </w:r>
      <w:r>
        <w:rPr>
          <w:rFonts w:ascii="Times New Roman;sans-serif" w:hAnsi="Times New Roman;sans-serif"/>
          <w:b w:val="false"/>
          <w:color w:val="000000"/>
          <w:sz w:val="24"/>
        </w:rPr>
        <w:t>) among the Company, J.P. Morgan Securities LLC, RBC Capital Markets, LLC, Wells Fargo Securities LLC and Janney Montgomery Scott LLC, to issue and sell to [J.P. Morgan Securities LLC] [RBC Capital Markets, LLC] [Wells Fargo Securities, LLC] [Janney Montgomery Scott LLC] the securities specified in the Schedule hereto (the “Purchased Shares”) (the “</w:t>
      </w:r>
      <w:r>
        <w:rPr>
          <w:rFonts w:ascii="Times New Roman;sans-serif" w:hAnsi="Times New Roman;sans-serif"/>
          <w:b/>
          <w:color w:val="000000"/>
          <w:sz w:val="24"/>
        </w:rPr>
        <w:t>Designated Agent</w:t>
      </w:r>
      <w:r>
        <w:rPr>
          <w:color w:val="000000"/>
        </w:rPr>
        <w:t>”</w:t>
      </w:r>
      <w:r>
        <w:rPr>
          <w:rFonts w:ascii="Times New Roman;sans-serif" w:hAnsi="Times New Roman;sans-serif"/>
          <w:b w:val="false"/>
          <w:color w:val="000000"/>
          <w:sz w:val="24"/>
        </w:rPr>
        <w:t>). Unless otherwise defined herein, terms defined in the Distribution Agreement shall have the same meanings when used herein.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The first paragraph of Exhibit B of the Agreement is hereby amended and restated in its entirety to read as follows:</w:t>
      </w:r>
    </w:p>
    <w:p>
      <w:pPr>
        <w:pStyle w:val="TextBody"/>
        <w:spacing w:lineRule="auto" w:line="240" w:before="0" w:after="240"/>
        <w:jc w:val="both"/>
        <w:rPr/>
      </w:pPr>
      <w:r>
        <w:rPr>
          <w:rFonts w:ascii="Times New Roman;sans-serif" w:hAnsi="Times New Roman;sans-serif"/>
          <w:b w:val="false"/>
          <w:color w:val="000000"/>
          <w:sz w:val="24"/>
        </w:rPr>
        <w:t>We, Andrew F. Walters, Chief Financial Officer and Treasurer and Willie Brown, Vice President, General Counsel and Corporate Secretary of SJW Group,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do hereby certify that this certificate is signed by us in our capacities as authorized officers of the Company and not individually, pursuant to the Distribution Agreement dated November 17, 2021, among the Company, J.P. Morgan Securities LLC, RBC Capital Markets, LLC, Wells Fargo Securities LLC and Janney Montgomery Scott LLC (as amended on or prior to the date hereof,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and do hereby further certify on behalf of the Company, as follows:</w:t>
      </w:r>
    </w:p>
    <w:p>
      <w:pPr>
        <w:pStyle w:val="TextBody"/>
        <w:spacing w:lineRule="auto" w:line="240" w:before="0" w:after="240"/>
        <w:jc w:val="both"/>
        <w:rPr/>
      </w:pPr>
      <w:r>
        <w:rPr>
          <w:rFonts w:ascii="Times New Roman;sans-serif" w:hAnsi="Times New Roman;sans-serif"/>
          <w:b w:val="false"/>
          <w:color w:val="000000"/>
          <w:sz w:val="24"/>
        </w:rPr>
        <w:t xml:space="preserve">SECTION 2. </w:t>
      </w:r>
      <w:r>
        <w:rPr>
          <w:rFonts w:ascii="Times New Roman;sans-serif" w:hAnsi="Times New Roman;sans-serif"/>
          <w:b w:val="false"/>
          <w:color w:val="000000"/>
          <w:sz w:val="24"/>
          <w:u w:val="single"/>
        </w:rPr>
        <w:t>No Other Amendments; References to Agreements</w:t>
      </w:r>
      <w:r>
        <w:rPr>
          <w:rFonts w:ascii="Times New Roman;sans-serif" w:hAnsi="Times New Roman;sans-serif"/>
          <w:b w:val="false"/>
          <w:color w:val="000000"/>
          <w:sz w:val="24"/>
        </w:rPr>
        <w:t>. Except as set forth in this Amendment, all other terms and provisions of the Agreement shall continue in full force and effect. All references to the Agreement in the Agreement or in any other document executed or delivered in connection therewith shall, from the date hereof, be deemed a reference to the Agreement as amended by this Amendment. Notwithstanding anything to the contrary contained herein, this Amendment shall not have any effect on offerings or sales of the Securities prior to the Effective Date or on the terms of the Agreement and the rights and obligations of the parties thereunder, insofar as they relate to such offerings or sales, including, without limitation, the representations, warranties and agreements (including the indemnification and contribution provisions) contained in the Agreement.</w:t>
      </w:r>
    </w:p>
    <w:p>
      <w:pPr>
        <w:pStyle w:val="TextBody"/>
        <w:spacing w:lineRule="auto" w:line="240" w:before="0" w:after="240"/>
        <w:jc w:val="both"/>
        <w:rPr/>
      </w:pPr>
      <w:r>
        <w:rPr>
          <w:rFonts w:ascii="Times New Roman;sans-serif" w:hAnsi="Times New Roman;sans-serif"/>
          <w:b w:val="false"/>
          <w:color w:val="000000"/>
          <w:sz w:val="24"/>
        </w:rPr>
        <w:t xml:space="preserve">SECTION 3. </w:t>
      </w:r>
      <w:r>
        <w:rPr>
          <w:rFonts w:ascii="Times New Roman;sans-serif" w:hAnsi="Times New Roman;sans-serif"/>
          <w:b w:val="false"/>
          <w:color w:val="000000"/>
          <w:sz w:val="24"/>
          <w:u w:val="single"/>
        </w:rPr>
        <w:t>Applicable Law</w:t>
      </w:r>
      <w:r>
        <w:rPr>
          <w:rFonts w:ascii="Times New Roman;sans-serif" w:hAnsi="Times New Roman;sans-serif"/>
          <w:b w:val="false"/>
          <w:color w:val="000000"/>
          <w:sz w:val="24"/>
        </w:rPr>
        <w:t>. This Amendment will be governed by, and construed in accordance with, the laws of the State of New York.</w:t>
      </w:r>
    </w:p>
    <w:p>
      <w:pPr>
        <w:pStyle w:val="TextBody"/>
        <w:spacing w:lineRule="auto" w:line="240" w:before="0" w:after="240"/>
        <w:jc w:val="both"/>
        <w:rPr/>
      </w:pPr>
      <w:r>
        <w:rPr>
          <w:rFonts w:ascii="Times New Roman;sans-serif" w:hAnsi="Times New Roman;sans-serif"/>
          <w:b w:val="false"/>
          <w:color w:val="000000"/>
          <w:sz w:val="24"/>
        </w:rPr>
        <w:t xml:space="preserve">SECTION 4. </w:t>
      </w:r>
      <w:r>
        <w:rPr>
          <w:rFonts w:ascii="Times New Roman;sans-serif" w:hAnsi="Times New Roman;sans-serif"/>
          <w:b w:val="false"/>
          <w:color w:val="000000"/>
          <w:sz w:val="24"/>
          <w:u w:val="single"/>
        </w:rPr>
        <w:t>Effect of Headings</w:t>
      </w:r>
      <w:r>
        <w:rPr>
          <w:rFonts w:ascii="Times New Roman;sans-serif" w:hAnsi="Times New Roman;sans-serif"/>
          <w:b w:val="false"/>
          <w:color w:val="000000"/>
          <w:sz w:val="24"/>
        </w:rPr>
        <w:t>. The Section headings herein are included for convenience of reference only and are not intended to be part of, or affect the meaning or interpretation of, this Amendment or the Agreement.</w:t>
      </w:r>
    </w:p>
    <w:p>
      <w:pPr>
        <w:pStyle w:val="TextBody"/>
        <w:spacing w:lineRule="auto" w:line="240" w:before="0" w:after="240"/>
        <w:jc w:val="both"/>
        <w:rPr/>
      </w:pPr>
      <w:r>
        <w:rPr>
          <w:rFonts w:ascii="Times New Roman;sans-serif" w:hAnsi="Times New Roman;sans-serif"/>
          <w:b w:val="false"/>
          <w:color w:val="000000"/>
          <w:sz w:val="24"/>
        </w:rPr>
        <w:t xml:space="preserve">SECTION 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Amendment may be signed in counterparts (which may include counterparts delivered by any standard form of telecommunication), each of which shall be an original and all of which together shall constitute one and the same instrument. This Amendment may be delivered by any party by facsimile or other electronic transmission. The words “execution,” “signed,” “signature,” “delivery,” and words of like import in or relating to this Amendment, or any document to be signed in connection with this Amendment, shall be deemed to include electronic signatures, deliveries or the keeping of records in electronic form,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Pages Follow</w:t>
      </w:r>
      <w:r>
        <w:rPr>
          <w:rFonts w:ascii="Times New Roman;sans-serif" w:hAnsi="Times New Roman;sans-serif"/>
          <w:b w:val="false"/>
          <w:color w:val="000000"/>
          <w:sz w:val="24"/>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32" name="Frame3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foregoing is in accordance with your understanding of our agreement, please sign and return to the Company a counterpart hereof, whereupon this instrument, along with all counterparts, will become a binding agreement by and among the parties hereto in accordance with its terms.</w:t>
      </w:r>
    </w:p>
    <w:p>
      <w:pPr>
        <w:pStyle w:val="TextBody"/>
        <w:spacing w:lineRule="auto" w:line="240" w:before="0" w:after="360"/>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spacing w:before="0" w:after="240"/>
        <w:rPr/>
      </w:pPr>
      <w:r>
        <w:rPr/>
      </w:r>
    </w:p>
    <w:p>
      <w:pPr>
        <w:pStyle w:val="TextBody"/>
        <w:spacing w:lineRule="auto" w:line="240" w:before="0" w:after="360"/>
        <w:rPr>
          <w:rFonts w:ascii="Times New Roman;sans-serif" w:hAnsi="Times New Roman;sans-serif"/>
          <w:b/>
          <w:color w:val="000000"/>
          <w:sz w:val="24"/>
        </w:rPr>
      </w:pPr>
      <w:r>
        <w:rPr>
          <w:rFonts w:ascii="Times New Roman;sans-serif" w:hAnsi="Times New Roman;sans-serif"/>
          <w:b/>
          <w:color w:val="000000"/>
          <w:sz w:val="24"/>
        </w:rPr>
        <w:t>SJW GROUP</w:t>
      </w:r>
    </w:p>
    <w:p>
      <w:pPr>
        <w:pStyle w:val="TextBody"/>
        <w:spacing w:lineRule="auto" w:line="240" w:before="0" w:after="240"/>
        <w:rPr>
          <w:color w:val="000000"/>
        </w:rPr>
      </w:pPr>
      <w:r>
        <w:rPr>
          <w:color w:val="000000"/>
        </w:rPr>
        <w:t>    </w:t>
      </w:r>
    </w:p>
    <w:p>
      <w:pPr>
        <w:pStyle w:val="TextBody"/>
        <w:spacing w:lineRule="auto" w:line="240" w:before="0" w:after="480"/>
        <w:ind w:left="0" w:right="0" w:hanging="432"/>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Andrew Walters    </w:t>
      </w:r>
      <w:r>
        <w:rPr>
          <w:rFonts w:ascii="Times New Roman;sans-serif" w:hAnsi="Times New Roman;sans-serif"/>
          <w:b w:val="false"/>
          <w:color w:val="000000"/>
          <w:sz w:val="24"/>
        </w:rPr>
        <w:br/>
        <w:t>Name: Andrew F. Walters</w:t>
        <w:br/>
        <w:t>Title: Chief Financial Officer and Treasurer</w:t>
      </w:r>
    </w:p>
    <w:p>
      <w:pPr>
        <w:pStyle w:val="TextBody"/>
        <w:spacing w:before="0" w:after="240"/>
        <w:rPr/>
      </w:pPr>
      <w:r>
        <w:rPr/>
      </w:r>
    </w:p>
    <w:p>
      <w:pPr>
        <w:pStyle w:val="TextBody"/>
        <w:spacing w:before="0" w:after="240"/>
        <w:ind w:left="0" w:right="0" w:hanging="432"/>
        <w:rPr/>
      </w:pPr>
      <w:r>
        <w:rPr/>
      </w:r>
    </w:p>
    <w:p>
      <w:pPr>
        <w:pStyle w:val="TextBody"/>
        <w:spacing w:before="960" w:after="48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Amendment No. 1 to Distribution Agreement</w:t>
                            </w:r>
                            <w:r>
                              <w:rPr>
                                <w:rFonts w:ascii="Times New Roman;sans-serif" w:hAnsi="Times New Roman;sans-serif"/>
                                <w:b w:val="false"/>
                                <w:color w:val="000000"/>
                                <w:sz w:val="20"/>
                              </w:rPr>
                              <w:t>]</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Amendment No. 1 to Distribution Agreement</w:t>
                      </w:r>
                      <w:r>
                        <w:rPr>
                          <w:rFonts w:ascii="Times New Roman;sans-serif" w:hAnsi="Times New Roman;sans-serif"/>
                          <w:b w:val="false"/>
                          <w:color w:val="000000"/>
                          <w:sz w:val="20"/>
                        </w:rPr>
                        <w:t>]</w:t>
                      </w:r>
                    </w:p>
                    <w:p>
                      <w:pPr>
                        <w:pStyle w:val="TextBody"/>
                        <w:spacing w:before="0" w:after="0"/>
                        <w:rPr/>
                      </w:pPr>
                      <w:r>
                        <w:rPr/>
                      </w:r>
                    </w:p>
                  </w:txbxContent>
                </v:textbox>
              </v:rect>
            </w:pict>
          </mc:Fallback>
        </mc:AlternateContent>
      </w:r>
    </w:p>
    <w:p>
      <w:pPr>
        <w:pStyle w:val="TextBody"/>
        <w:spacing w:before="0" w:after="480"/>
        <w:rPr/>
      </w:pPr>
      <w:r>
        <w:rPr/>
      </w:r>
    </w:p>
    <w:p>
      <w:pPr>
        <w:pStyle w:val="TextBody"/>
        <w:spacing w:lineRule="auto" w:line="240" w:before="960" w:after="480"/>
        <w:rPr>
          <w:rFonts w:ascii="Times New Roman;sans-serif" w:hAnsi="Times New Roman;sans-serif"/>
          <w:b w:val="false"/>
          <w:color w:val="000000"/>
          <w:sz w:val="24"/>
        </w:rPr>
      </w:pPr>
      <w:r>
        <w:rPr>
          <w:rFonts w:ascii="Times New Roman;sans-serif" w:hAnsi="Times New Roman;sans-serif"/>
          <w:b w:val="false"/>
          <w:color w:val="000000"/>
          <w:sz w:val="24"/>
        </w:rPr>
        <w:t>CONFIRMED AND ACCEPTED, as of the date first above written:</w: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J.P. MORGAN SECURITIES LLC</w:t>
      </w:r>
    </w:p>
    <w:p>
      <w:pPr>
        <w:pStyle w:val="TextBody"/>
        <w:spacing w:lineRule="auto" w:line="240" w:before="0" w:after="24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Signed</w:t>
      </w:r>
      <w:r>
        <w:rPr>
          <w:color w:val="000000"/>
          <w:u w:val="single"/>
        </w:rPr>
        <w:t>    </w:t>
      </w:r>
      <w:r>
        <w:rPr>
          <w:rFonts w:ascii="Times New Roman;sans-serif" w:hAnsi="Times New Roman;sans-serif"/>
          <w:b w:val="false"/>
          <w:color w:val="000000"/>
          <w:sz w:val="20"/>
        </w:rPr>
        <w:br/>
        <w:t>    </w:t>
      </w:r>
      <w:r>
        <w:rPr>
          <w:rFonts w:ascii="Times New Roman;sans-serif" w:hAnsi="Times New Roman;sans-serif"/>
          <w:b w:val="false"/>
          <w:color w:val="000000"/>
          <w:sz w:val="24"/>
        </w:rPr>
        <w:t>Authorized Signatory</w: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JANNEY MONTGOMERY SCOTT LLC</w:t>
      </w:r>
    </w:p>
    <w:p>
      <w:pPr>
        <w:pStyle w:val="TextBody"/>
        <w:spacing w:lineRule="auto" w:line="240" w:before="0" w:after="24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Signed    </w:t>
      </w:r>
      <w:r>
        <w:rPr>
          <w:rFonts w:ascii="Times New Roman;sans-serif" w:hAnsi="Times New Roman;sans-serif"/>
          <w:b w:val="false"/>
          <w:color w:val="000000"/>
          <w:sz w:val="20"/>
        </w:rPr>
        <w:br/>
        <w:t>    </w:t>
      </w:r>
      <w:r>
        <w:rPr>
          <w:rFonts w:ascii="Times New Roman;sans-serif" w:hAnsi="Times New Roman;sans-serif"/>
          <w:b w:val="false"/>
          <w:color w:val="000000"/>
          <w:sz w:val="24"/>
        </w:rPr>
        <w:t>Authorized Signatory</w: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RBC CAPITAL MARKETS, LLC</w:t>
      </w:r>
    </w:p>
    <w:p>
      <w:pPr>
        <w:pStyle w:val="TextBody"/>
        <w:spacing w:lineRule="auto" w:line="240" w:before="0" w:after="24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Signed    </w:t>
      </w:r>
      <w:r>
        <w:rPr>
          <w:rFonts w:ascii="Times New Roman;sans-serif" w:hAnsi="Times New Roman;sans-serif"/>
          <w:b w:val="false"/>
          <w:color w:val="000000"/>
          <w:sz w:val="20"/>
        </w:rPr>
        <w:br/>
        <w:t>    </w:t>
      </w:r>
      <w:r>
        <w:rPr>
          <w:rFonts w:ascii="Times New Roman;sans-serif" w:hAnsi="Times New Roman;sans-serif"/>
          <w:b w:val="false"/>
          <w:color w:val="000000"/>
          <w:sz w:val="24"/>
        </w:rPr>
        <w:t>Authorized Signatory</w:t>
      </w:r>
    </w:p>
    <w:p>
      <w:pPr>
        <w:pStyle w:val="TextBody"/>
        <w:spacing w:lineRule="auto" w:line="240" w:before="0" w:after="240"/>
        <w:rPr>
          <w:rFonts w:ascii="Times New Roman;sans-serif" w:hAnsi="Times New Roman;sans-serif"/>
          <w:b/>
          <w:color w:val="000000"/>
          <w:sz w:val="24"/>
        </w:rPr>
      </w:pPr>
      <w:r>
        <w:rPr>
          <w:rFonts w:ascii="Times New Roman;sans-serif" w:hAnsi="Times New Roman;sans-serif"/>
          <w:b/>
          <w:color w:val="000000"/>
          <w:sz w:val="24"/>
        </w:rPr>
        <w:t>WELLS FARGO SECURITIES, LLC</w:t>
      </w:r>
    </w:p>
    <w:p>
      <w:pPr>
        <w:pStyle w:val="TextBody"/>
        <w:spacing w:lineRule="auto" w:line="240" w:before="0" w:after="24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Signed    </w:t>
      </w:r>
      <w:r>
        <w:rPr>
          <w:rFonts w:ascii="Times New Roman;sans-serif" w:hAnsi="Times New Roman;sans-serif"/>
          <w:b w:val="false"/>
          <w:color w:val="000000"/>
          <w:sz w:val="20"/>
        </w:rPr>
        <w:br/>
        <w:t>    </w:t>
      </w:r>
      <w:r>
        <w:rPr>
          <w:rFonts w:ascii="Times New Roman;sans-serif" w:hAnsi="Times New Roman;sans-serif"/>
          <w:b w:val="false"/>
          <w:color w:val="000000"/>
          <w:sz w:val="24"/>
        </w:rPr>
        <w:t>Authorized Signatory</w:t>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Amendment No. 1 to Distribution Agreement</w:t>
                            </w:r>
                            <w:r>
                              <w:rPr>
                                <w:rFonts w:ascii="Times New Roman;sans-serif" w:hAnsi="Times New Roman;sans-serif"/>
                                <w:b w:val="false"/>
                                <w:color w:val="000000"/>
                                <w:sz w:val="20"/>
                              </w:rPr>
                              <w:t>]</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Amendment No. 1 to Distribution Agreement</w:t>
                      </w:r>
                      <w:r>
                        <w:rPr>
                          <w:rFonts w:ascii="Times New Roman;sans-serif" w:hAnsi="Times New Roman;sans-serif"/>
                          <w:b w:val="false"/>
                          <w:color w:val="000000"/>
                          <w:sz w:val="20"/>
                        </w:rPr>
                        <w:t>]</w:t>
                      </w:r>
                    </w:p>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31.1 </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Eric W. Thornburg, certify that: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SJW Group (the “registrant”);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before="0" w:after="0"/>
        <w:rPr/>
      </w:pPr>
      <w:r>
        <w:rPr/>
      </w:r>
    </w:p>
    <w:tbl>
      <w:tblPr>
        <w:tblW w:w="5789" w:type="dxa"/>
        <w:jc w:val="center"/>
        <w:tblInd w:w="0" w:type="dxa"/>
        <w:tblCellMar>
          <w:top w:w="28" w:type="dxa"/>
          <w:left w:w="28" w:type="dxa"/>
          <w:bottom w:w="28" w:type="dxa"/>
          <w:right w:w="28" w:type="dxa"/>
        </w:tblCellMar>
      </w:tblPr>
      <w:tblGrid>
        <w:gridCol w:w="200"/>
        <w:gridCol w:w="177"/>
        <w:gridCol w:w="178"/>
        <w:gridCol w:w="379"/>
        <w:gridCol w:w="379"/>
        <w:gridCol w:w="381"/>
        <w:gridCol w:w="1197"/>
        <w:gridCol w:w="1197"/>
        <w:gridCol w:w="170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 THORNBURG</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 Thornburg</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before="0" w:after="0"/>
        <w:jc w:val="center"/>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31.2 </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F. Walters, certify that: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SJW Group (the “registrant”);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lineRule="auto" w:line="288" w:before="0" w:after="0"/>
        <w:rPr>
          <w:color w:val="000000"/>
        </w:rPr>
      </w:pPr>
      <w:r>
        <w:rPr>
          <w:color w:val="000000"/>
        </w:rPr>
        <w:t> </w:t>
      </w:r>
    </w:p>
    <w:tbl>
      <w:tblPr>
        <w:tblW w:w="4843" w:type="dxa"/>
        <w:jc w:val="center"/>
        <w:tblInd w:w="0" w:type="dxa"/>
        <w:tblCellMar>
          <w:top w:w="28" w:type="dxa"/>
          <w:left w:w="28" w:type="dxa"/>
          <w:bottom w:w="28" w:type="dxa"/>
          <w:right w:w="28" w:type="dxa"/>
        </w:tblCellMar>
      </w:tblPr>
      <w:tblGrid>
        <w:gridCol w:w="200"/>
        <w:gridCol w:w="177"/>
        <w:gridCol w:w="178"/>
        <w:gridCol w:w="379"/>
        <w:gridCol w:w="379"/>
        <w:gridCol w:w="381"/>
        <w:gridCol w:w="922"/>
        <w:gridCol w:w="922"/>
        <w:gridCol w:w="130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ANDREWS F. WALTERS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F. Walters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32.1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SJW Group (the “Company”) on Form 10-Q for the quarter ended March 31, 2023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spacing w:lineRule="auto" w:line="288" w:before="0" w:after="0"/>
        <w:rPr>
          <w:color w:val="000000"/>
        </w:rPr>
      </w:pPr>
      <w:r>
        <w:rPr>
          <w:color w:val="000000"/>
        </w:rPr>
        <w:t> </w:t>
      </w:r>
    </w:p>
    <w:tbl>
      <w:tblPr>
        <w:tblW w:w="4436" w:type="dxa"/>
        <w:jc w:val="center"/>
        <w:tblInd w:w="0" w:type="dxa"/>
        <w:tblCellMar>
          <w:top w:w="28" w:type="dxa"/>
          <w:left w:w="28" w:type="dxa"/>
          <w:bottom w:w="28" w:type="dxa"/>
          <w:right w:w="28" w:type="dxa"/>
        </w:tblCellMar>
      </w:tblPr>
      <w:tblGrid>
        <w:gridCol w:w="1470"/>
        <w:gridCol w:w="1295"/>
        <w:gridCol w:w="1299"/>
        <w:gridCol w:w="109"/>
        <w:gridCol w:w="109"/>
        <w:gridCol w:w="154"/>
      </w:tblGrid>
      <w:tr>
        <w:trPr/>
        <w:tc>
          <w:tcPr>
            <w:tcW w:w="147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 THORNBURG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 Thornburg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32.2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SJW Group (the “Company”) on Form 10-Q for the quarter ended March 31, 2023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spacing w:lineRule="auto" w:line="288" w:before="0" w:after="0"/>
        <w:rPr>
          <w:color w:val="000000"/>
        </w:rPr>
      </w:pPr>
      <w:r>
        <w:rPr>
          <w:color w:val="000000"/>
        </w:rPr>
        <w:t> </w:t>
      </w:r>
    </w:p>
    <w:tbl>
      <w:tblPr>
        <w:tblW w:w="3492" w:type="dxa"/>
        <w:jc w:val="center"/>
        <w:tblInd w:w="0" w:type="dxa"/>
        <w:tblCellMar>
          <w:top w:w="28" w:type="dxa"/>
          <w:left w:w="28" w:type="dxa"/>
          <w:bottom w:w="28" w:type="dxa"/>
          <w:right w:w="28" w:type="dxa"/>
        </w:tblCellMar>
      </w:tblPr>
      <w:tblGrid>
        <w:gridCol w:w="1129"/>
        <w:gridCol w:w="994"/>
        <w:gridCol w:w="997"/>
        <w:gridCol w:w="109"/>
        <w:gridCol w:w="109"/>
        <w:gridCol w:w="154"/>
      </w:tblGrid>
      <w:tr>
        <w:trPr/>
        <w:tc>
          <w:tcPr>
            <w:tcW w:w="112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F. WALTERS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F. Walters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16137</Words>
  <CharactersWithSpaces>105599</CharactersWithSpaces>
  <Paragraphs>1643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