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77456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A Kristen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 W. TAYLOR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H2O AMERICA</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HTO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96"/>
        <w:spacing w:after="0"/>
        <w:rPr>
          <w:sz w:val="20"/>
          <w:szCs w:val="20"/>
          <w:color w:val="auto"/>
        </w:rPr>
      </w:pPr>
      <w:r>
        <w:rPr>
          <w:rFonts w:ascii="Times New Roman" w:cs="Times New Roman" w:eastAsia="Times New Roman" w:hAnsi="Times New Roman"/>
          <w:sz w:val="17"/>
          <w:szCs w:val="17"/>
          <w:color w:val="0000FF"/>
        </w:rPr>
        <w:t>Chief Administrative Officer</w:t>
      </w:r>
    </w:p>
    <w:p>
      <w:pPr>
        <w:spacing w:after="0" w:line="31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95110</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7"/>
          </w:tcPr>
          <w:p>
            <w:pPr>
              <w:ind w:left="18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14,565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06/02/2026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139</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18,160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9,040 shares of Common Stock and 5,525 shares of the Common Stock underlying RSUs which will vest and become issuable in accordance with their terms.</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139 shares subject to deferred stock units ("DSUs") granted to the reporting person pursuant to dividend equivalent rights ("DERs") accrued on outstanding DSUs granted by Connecticut Water Service, Inc., a wholly owned subsidiary of the Issuer. DERs accrue when and as dividends are paid on the Common Stock underlying the awards and will vest and be settled in accordance with the same terms as the DSUs to which they relate.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Willie Brown, Attorney-in-</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06/03/2026</w:t>
            </w:r>
          </w:p>
        </w:tc>
        <w:tc>
          <w:tcPr>
            <w:tcW w:w="0" w:type="dxa"/>
            <w:vAlign w:val="bottom"/>
          </w:tcPr>
          <w:p>
            <w:pPr>
              <w:spacing w:after="0"/>
              <w:rPr>
                <w:sz w:val="1"/>
                <w:szCs w:val="1"/>
                <w:color w:val="auto"/>
              </w:rPr>
            </w:pPr>
          </w:p>
        </w:tc>
      </w:tr>
      <w:tr>
        <w:trPr>
          <w:trHeight w:val="84"/>
        </w:trPr>
        <w:tc>
          <w:tcPr>
            <w:tcW w:w="18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Fact for Kristen A. Johnson</w:t>
            </w:r>
          </w:p>
        </w:tc>
        <w:tc>
          <w:tcPr>
            <w:tcW w:w="2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8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3291" TargetMode="External"/><Relationship Id="rId14" Type="http://schemas.openxmlformats.org/officeDocument/2006/relationships/hyperlink" Target="http://www.sec.gov/cgi-bin/browse-edgar?action=getcompany&amp;CIK=0000766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2026-06-03T16:10:50Z</dcterms:created>
  <dcterms:modified xsi:type="dcterms:W3CDTF">2026-06-03T16:10:50Z</dcterms:modified>
</cp:coreProperties>
</file>