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2199.xml.htm"/>
      <w:bookmarkStart w:id="1" w:name="kswkform4_17833721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Walters Andrew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 TAYLOR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H2O AMERICA</w:t>
              </w:r>
            </w:hyperlink>
            <w:r>
              <w:rPr/>
              <w:t xml:space="preserve"> [ </w:t>
            </w:r>
            <w:r>
              <w:rPr>
                <w:rFonts w:ascii="Times;serif" w:hAnsi="Times;serif"/>
                <w:color w:val="0000FF"/>
                <w:sz w:val="24"/>
                <w:shd w:fill="FFFFFF" w:val="clear"/>
              </w:rPr>
              <w:t>HTO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374</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60.74</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26,461</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374 shares of the issuer's common stock (Common Stock) withheld in satisfaction of applicable withholding taxes upon the vesting of certain shares of Common Stock that became issuable on July 1, 2026 pursuant to the terms of the Restricted Stock Unit Issuance Agreement between the reporting person and the issuer dated July 1, 2025. The shares underlying such restricted stock units (RSUs) were previously reported as Table I securities at the time the RSUs were granted. Accordingly, the issuance of such shares is not a reportable transaction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15,235 shares of Common Stock and 11,226 shares of the Common Stock underlying RSUs which will vest and become issuable in accordance with their terms.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Willie Brown Attorney-in-Fact for Andrew F. Walters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8003" TargetMode="External"/><Relationship Id="rId5" Type="http://schemas.openxmlformats.org/officeDocument/2006/relationships/hyperlink" Target="http://www.sec.gov/cgi-bin/browse-edgar?action=getcompany&amp;CIK=0000766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3715</Characters>
  <CharactersWithSpaces>4343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