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2025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80" w:after="283"/>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001-8966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SJW GROUP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317"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884"/>
        <w:gridCol w:w="884"/>
        <w:gridCol w:w="1261"/>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77-0066628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110 West Taylor Street, San Jose, 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95110</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(408) 279-7800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SJW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333333"/>
        </w:rPr>
        <w:t xml:space="preserve">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Large accelerated filer  </w:t>
      </w:r>
      <w:r>
        <w:rPr>
          <w:color w:val="000000"/>
        </w:rPr>
        <w:t>☒                </w:t>
      </w:r>
      <w:r>
        <w:rPr>
          <w:rFonts w:ascii="Times New Roman;sans-serif" w:hAnsi="Times New Roman;sans-serif"/>
          <w:b w:val="false"/>
          <w:color w:val="000000"/>
          <w:sz w:val="20"/>
        </w:rPr>
        <w:t>Non-accelerated filer  </w:t>
      </w: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Accelerated filer  </w:t>
      </w:r>
      <w:r>
        <w:rPr>
          <w:color w:val="000000"/>
        </w:rPr>
        <w:t>☐                </w:t>
      </w:r>
      <w:r>
        <w:rPr>
          <w:rFonts w:ascii="Times New Roman;sans-serif" w:hAnsi="Times New Roman;sans-serif"/>
          <w:b w:val="false"/>
          <w:color w:val="000000"/>
          <w:sz w:val="20"/>
        </w:rPr>
        <w:t>Smaller reporting company  </w:t>
      </w:r>
      <w:r>
        <w:rPr>
          <w:color w:val="000000"/>
        </w:rPr>
        <w:t xml:space="preserve">☐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22, 2025, there were 34,182,947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04"/>
        <w:gridCol w:w="353"/>
        <w:gridCol w:w="353"/>
        <w:gridCol w:w="2767"/>
        <w:gridCol w:w="2767"/>
        <w:gridCol w:w="2820"/>
        <w:gridCol w:w="235"/>
        <w:gridCol w:w="207"/>
        <w:gridCol w:w="299"/>
      </w:tblGrid>
      <w:tr>
        <w:trPr/>
        <w:tc>
          <w:tcPr>
            <w:tcW w:w="40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46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
              <w:r>
                <w:rPr>
                  <w:rStyle w:val="InternetLink"/>
                  <w:rFonts w:ascii="Times New Roman;sans-serif" w:hAnsi="Times New Roman;sans-serif"/>
                  <w:b w:val="false"/>
                  <w:color w:val="0000FF"/>
                  <w:sz w:val="20"/>
                  <w:u w:val="single"/>
                </w:rPr>
                <w:t>Forward-Looking Statements</w:t>
              </w:r>
            </w:hyperlink>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23cfdb6952044062875645e492651271_10">
              <w:r>
                <w:rPr>
                  <w:rStyle w:val="InternetLink"/>
                  <w:rFonts w:ascii="Times New Roman;sans-serif" w:hAnsi="Times New Roman;sans-serif"/>
                  <w:b w:val="false"/>
                  <w:color w:val="0000FF"/>
                  <w:sz w:val="20"/>
                  <w:u w:val="single"/>
                </w:rPr>
                <w:t>3</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3">
              <w:r>
                <w:rPr>
                  <w:rStyle w:val="InternetLink"/>
                  <w:rFonts w:ascii="Times New Roman;sans-serif" w:hAnsi="Times New Roman;sans-serif"/>
                  <w:b/>
                  <w:color w:val="0000FF"/>
                  <w:sz w:val="20"/>
                  <w:u w:val="single"/>
                </w:rPr>
                <w:t>PART I</w:t>
              </w:r>
            </w:hyperlink>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6">
              <w:r>
                <w:rPr>
                  <w:rStyle w:val="InternetLink"/>
                  <w:rFonts w:ascii="Times New Roman;sans-serif" w:hAnsi="Times New Roman;sans-serif"/>
                  <w:b/>
                  <w:color w:val="0000FF"/>
                  <w:sz w:val="20"/>
                  <w:u w:val="single"/>
                </w:rPr>
                <w:t>FINANCIAL INFORMATION</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3">
              <w:r>
                <w:rPr>
                  <w:rStyle w:val="InternetLink"/>
                  <w:rFonts w:ascii="Times New Roman;sans-serif" w:hAnsi="Times New Roman;sans-serif"/>
                  <w:b/>
                  <w:color w:val="0000FF"/>
                  <w:sz w:val="20"/>
                  <w:u w:val="single"/>
                </w:rPr>
                <w:t>4</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6">
              <w:r>
                <w:rPr>
                  <w:rStyle w:val="InternetLink"/>
                  <w:rFonts w:ascii="Times New Roman;sans-serif" w:hAnsi="Times New Roman;sans-serif"/>
                  <w:b w:val="false"/>
                  <w:color w:val="0000FF"/>
                  <w:sz w:val="20"/>
                  <w:u w:val="single"/>
                </w:rPr>
                <w:t>Item 1.</w:t>
              </w:r>
            </w:hyperlink>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6">
              <w:r>
                <w:rPr>
                  <w:rStyle w:val="InternetLink"/>
                  <w:rFonts w:ascii="Times New Roman;sans-serif" w:hAnsi="Times New Roman;sans-serif"/>
                  <w:b w:val="false"/>
                  <w:color w:val="0000FF"/>
                  <w:sz w:val="20"/>
                  <w:u w:val="single"/>
                </w:rPr>
                <w:t>Financial Statements</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6">
              <w:r>
                <w:rPr>
                  <w:rStyle w:val="InternetLink"/>
                  <w:rFonts w:ascii="Times New Roman;sans-serif" w:hAnsi="Times New Roman;sans-serif"/>
                  <w:b w:val="false"/>
                  <w:color w:val="0000FF"/>
                  <w:sz w:val="20"/>
                  <w:u w:val="single"/>
                </w:rPr>
                <w:t>4</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9">
              <w:r>
                <w:rPr>
                  <w:rStyle w:val="InternetLink"/>
                  <w:rFonts w:ascii="Times New Roman;sans-serif" w:hAnsi="Times New Roman;sans-serif"/>
                  <w:b w:val="false"/>
                  <w:color w:val="000080"/>
                  <w:sz w:val="20"/>
                  <w:u w:val="single"/>
                </w:rPr>
                <w:t>Condensed Consolidated Statements of Comprehensive Income (unaudited) For the Three</w:t>
              </w:r>
            </w:hyperlink>
            <w:hyperlink w:anchor="i23cfdb6952044062875645e492651271_19">
              <w:r>
                <w:rPr>
                  <w:rStyle w:val="InternetLink"/>
                  <w:rFonts w:ascii="Times New Roman;sans-serif" w:hAnsi="Times New Roman;sans-serif"/>
                  <w:b w:val="false"/>
                  <w:color w:val="000080"/>
                  <w:sz w:val="20"/>
                  <w:u w:val="single"/>
                </w:rPr>
                <w:t xml:space="preserve"> Months Ended </w:t>
              </w:r>
            </w:hyperlink>
            <w:hyperlink w:anchor="i23cfdb6952044062875645e492651271_19">
              <w:r>
                <w:rPr>
                  <w:rStyle w:val="InternetLink"/>
                  <w:rFonts w:ascii="Times New Roman;sans-serif" w:hAnsi="Times New Roman;sans-serif"/>
                  <w:b w:val="false"/>
                  <w:color w:val="000080"/>
                  <w:sz w:val="20"/>
                  <w:u w:val="single"/>
                </w:rPr>
                <w:t>March</w:t>
              </w:r>
            </w:hyperlink>
            <w:hyperlink w:anchor="i23cfdb6952044062875645e492651271_19">
              <w:r>
                <w:rPr>
                  <w:rStyle w:val="InternetLink"/>
                  <w:rFonts w:ascii="Times New Roman;sans-serif" w:hAnsi="Times New Roman;sans-serif"/>
                  <w:b w:val="false"/>
                  <w:color w:val="000080"/>
                  <w:sz w:val="20"/>
                  <w:u w:val="single"/>
                </w:rPr>
                <w:t xml:space="preserve"> 3</w:t>
              </w:r>
            </w:hyperlink>
            <w:hyperlink w:anchor="i23cfdb6952044062875645e492651271_19">
              <w:r>
                <w:rPr>
                  <w:rStyle w:val="InternetLink"/>
                  <w:rFonts w:ascii="Times New Roman;sans-serif" w:hAnsi="Times New Roman;sans-serif"/>
                  <w:b w:val="false"/>
                  <w:color w:val="000080"/>
                  <w:sz w:val="20"/>
                  <w:u w:val="single"/>
                </w:rPr>
                <w:t>1</w:t>
              </w:r>
            </w:hyperlink>
            <w:hyperlink w:anchor="i23cfdb6952044062875645e492651271_19">
              <w:r>
                <w:rPr>
                  <w:rStyle w:val="InternetLink"/>
                  <w:rFonts w:ascii="Times New Roman;sans-serif" w:hAnsi="Times New Roman;sans-serif"/>
                  <w:b w:val="false"/>
                  <w:color w:val="000080"/>
                  <w:sz w:val="20"/>
                  <w:u w:val="single"/>
                </w:rPr>
                <w:t>, 202</w:t>
              </w:r>
            </w:hyperlink>
            <w:hyperlink w:anchor="i23cfdb6952044062875645e492651271_19">
              <w:r>
                <w:rPr>
                  <w:rStyle w:val="InternetLink"/>
                  <w:rFonts w:ascii="Times New Roman;sans-serif" w:hAnsi="Times New Roman;sans-serif"/>
                  <w:b w:val="false"/>
                  <w:color w:val="000080"/>
                  <w:sz w:val="20"/>
                  <w:u w:val="single"/>
                </w:rPr>
                <w:t>5</w:t>
              </w:r>
            </w:hyperlink>
            <w:hyperlink w:anchor="i23cfdb6952044062875645e492651271_19">
              <w:r>
                <w:rPr>
                  <w:rStyle w:val="InternetLink"/>
                  <w:rFonts w:ascii="Times New Roman;sans-serif" w:hAnsi="Times New Roman;sans-serif"/>
                  <w:b w:val="false"/>
                  <w:color w:val="000080"/>
                  <w:sz w:val="20"/>
                  <w:u w:val="single"/>
                </w:rPr>
                <w:t xml:space="preserve"> and 202</w:t>
              </w:r>
            </w:hyperlink>
            <w:hyperlink w:anchor="i23cfdb6952044062875645e492651271_19">
              <w:r>
                <w:rPr>
                  <w:rStyle w:val="InternetLink"/>
                  <w:rFonts w:ascii="Times New Roman;sans-serif" w:hAnsi="Times New Roman;sans-serif"/>
                  <w:b w:val="false"/>
                  <w:color w:val="000080"/>
                  <w:sz w:val="20"/>
                  <w:u w:val="single"/>
                </w:rPr>
                <w:t>4</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9">
              <w:r>
                <w:rPr>
                  <w:rStyle w:val="InternetLink"/>
                  <w:rFonts w:ascii="Times New Roman;sans-serif" w:hAnsi="Times New Roman;sans-serif"/>
                  <w:b w:val="false"/>
                  <w:color w:val="0000FF"/>
                  <w:sz w:val="20"/>
                  <w:u w:val="single"/>
                </w:rPr>
                <w:t>4</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22">
              <w:r>
                <w:rPr>
                  <w:rStyle w:val="InternetLink"/>
                  <w:rFonts w:ascii="Times New Roman;sans-serif" w:hAnsi="Times New Roman;sans-serif"/>
                  <w:b w:val="false"/>
                  <w:color w:val="000080"/>
                  <w:sz w:val="20"/>
                  <w:u w:val="single"/>
                </w:rPr>
                <w:t xml:space="preserve">Condensed Consolidated Balance Sheets (unaudited) as of </w:t>
              </w:r>
            </w:hyperlink>
            <w:hyperlink w:anchor="i23cfdb6952044062875645e492651271_22">
              <w:r>
                <w:rPr>
                  <w:rStyle w:val="InternetLink"/>
                  <w:rFonts w:ascii="Times New Roman;sans-serif" w:hAnsi="Times New Roman;sans-serif"/>
                  <w:b w:val="false"/>
                  <w:color w:val="000080"/>
                  <w:sz w:val="20"/>
                  <w:u w:val="single"/>
                </w:rPr>
                <w:t>March</w:t>
              </w:r>
            </w:hyperlink>
            <w:hyperlink w:anchor="i23cfdb6952044062875645e492651271_22">
              <w:r>
                <w:rPr>
                  <w:rStyle w:val="InternetLink"/>
                  <w:rFonts w:ascii="Times New Roman;sans-serif" w:hAnsi="Times New Roman;sans-serif"/>
                  <w:b w:val="false"/>
                  <w:color w:val="000080"/>
                  <w:sz w:val="20"/>
                  <w:u w:val="single"/>
                </w:rPr>
                <w:t xml:space="preserve"> 3</w:t>
              </w:r>
            </w:hyperlink>
            <w:hyperlink w:anchor="i23cfdb6952044062875645e492651271_22">
              <w:r>
                <w:rPr>
                  <w:rStyle w:val="InternetLink"/>
                  <w:rFonts w:ascii="Times New Roman;sans-serif" w:hAnsi="Times New Roman;sans-serif"/>
                  <w:b w:val="false"/>
                  <w:color w:val="000080"/>
                  <w:sz w:val="20"/>
                  <w:u w:val="single"/>
                </w:rPr>
                <w:t>1</w:t>
              </w:r>
            </w:hyperlink>
            <w:hyperlink w:anchor="i23cfdb6952044062875645e492651271_22">
              <w:r>
                <w:rPr>
                  <w:rStyle w:val="InternetLink"/>
                  <w:rFonts w:ascii="Times New Roman;sans-serif" w:hAnsi="Times New Roman;sans-serif"/>
                  <w:b w:val="false"/>
                  <w:color w:val="000080"/>
                  <w:sz w:val="20"/>
                  <w:u w:val="single"/>
                </w:rPr>
                <w:t>, 202</w:t>
              </w:r>
            </w:hyperlink>
            <w:hyperlink w:anchor="i23cfdb6952044062875645e492651271_22">
              <w:r>
                <w:rPr>
                  <w:rStyle w:val="InternetLink"/>
                  <w:rFonts w:ascii="Times New Roman;sans-serif" w:hAnsi="Times New Roman;sans-serif"/>
                  <w:b w:val="false"/>
                  <w:color w:val="000080"/>
                  <w:sz w:val="20"/>
                  <w:u w:val="single"/>
                </w:rPr>
                <w:t>5</w:t>
              </w:r>
            </w:hyperlink>
            <w:hyperlink w:anchor="i23cfdb6952044062875645e492651271_22">
              <w:r>
                <w:rPr>
                  <w:rStyle w:val="InternetLink"/>
                  <w:rFonts w:ascii="Times New Roman;sans-serif" w:hAnsi="Times New Roman;sans-serif"/>
                  <w:b w:val="false"/>
                  <w:color w:val="000080"/>
                  <w:sz w:val="20"/>
                  <w:u w:val="single"/>
                </w:rPr>
                <w:t xml:space="preserve"> and December 31, 202</w:t>
              </w:r>
            </w:hyperlink>
            <w:hyperlink w:anchor="i23cfdb6952044062875645e492651271_22">
              <w:r>
                <w:rPr>
                  <w:rStyle w:val="InternetLink"/>
                  <w:rFonts w:ascii="Times New Roman;sans-serif" w:hAnsi="Times New Roman;sans-serif"/>
                  <w:b w:val="false"/>
                  <w:color w:val="000080"/>
                  <w:sz w:val="20"/>
                  <w:u w:val="single"/>
                </w:rPr>
                <w:t>4</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22">
              <w:r>
                <w:rPr>
                  <w:rStyle w:val="InternetLink"/>
                  <w:rFonts w:ascii="Times New Roman;sans-serif" w:hAnsi="Times New Roman;sans-serif"/>
                  <w:b w:val="false"/>
                  <w:color w:val="0000FF"/>
                  <w:sz w:val="20"/>
                  <w:u w:val="single"/>
                </w:rPr>
                <w:t>5</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25">
              <w:r>
                <w:rPr>
                  <w:rStyle w:val="InternetLink"/>
                  <w:rFonts w:ascii="Times New Roman;sans-serif" w:hAnsi="Times New Roman;sans-serif"/>
                  <w:b w:val="false"/>
                  <w:color w:val="000080"/>
                  <w:sz w:val="20"/>
                  <w:u w:val="single"/>
                </w:rPr>
                <w:t>Condensed Consolidated Statements of Changes in Stockholders’ Equity (unaudited) For the Three</w:t>
              </w:r>
            </w:hyperlink>
            <w:hyperlink w:anchor="i23cfdb6952044062875645e492651271_25">
              <w:r>
                <w:rPr>
                  <w:rStyle w:val="InternetLink"/>
                  <w:rFonts w:ascii="Times New Roman;sans-serif" w:hAnsi="Times New Roman;sans-serif"/>
                  <w:b w:val="false"/>
                  <w:color w:val="000080"/>
                  <w:sz w:val="20"/>
                  <w:u w:val="single"/>
                </w:rPr>
                <w:t xml:space="preserve"> </w:t>
              </w:r>
            </w:hyperlink>
            <w:hyperlink w:anchor="i23cfdb6952044062875645e492651271_25">
              <w:r>
                <w:rPr>
                  <w:rStyle w:val="InternetLink"/>
                  <w:rFonts w:ascii="Times New Roman;sans-serif" w:hAnsi="Times New Roman;sans-serif"/>
                  <w:b w:val="false"/>
                  <w:color w:val="000080"/>
                  <w:sz w:val="20"/>
                  <w:u w:val="single"/>
                </w:rPr>
                <w:t xml:space="preserve">Months Ended </w:t>
              </w:r>
            </w:hyperlink>
            <w:hyperlink w:anchor="i23cfdb6952044062875645e492651271_25">
              <w:r>
                <w:rPr>
                  <w:rStyle w:val="InternetLink"/>
                  <w:rFonts w:ascii="Times New Roman;sans-serif" w:hAnsi="Times New Roman;sans-serif"/>
                  <w:b w:val="false"/>
                  <w:color w:val="000080"/>
                  <w:sz w:val="20"/>
                  <w:u w:val="single"/>
                </w:rPr>
                <w:t>March</w:t>
              </w:r>
            </w:hyperlink>
            <w:hyperlink w:anchor="i23cfdb6952044062875645e492651271_25">
              <w:r>
                <w:rPr>
                  <w:rStyle w:val="InternetLink"/>
                  <w:rFonts w:ascii="Times New Roman;sans-serif" w:hAnsi="Times New Roman;sans-serif"/>
                  <w:b w:val="false"/>
                  <w:color w:val="000080"/>
                  <w:sz w:val="20"/>
                  <w:u w:val="single"/>
                </w:rPr>
                <w:t xml:space="preserve"> 3</w:t>
              </w:r>
            </w:hyperlink>
            <w:hyperlink w:anchor="i23cfdb6952044062875645e492651271_25">
              <w:r>
                <w:rPr>
                  <w:rStyle w:val="InternetLink"/>
                  <w:rFonts w:ascii="Times New Roman;sans-serif" w:hAnsi="Times New Roman;sans-serif"/>
                  <w:b w:val="false"/>
                  <w:color w:val="000080"/>
                  <w:sz w:val="20"/>
                  <w:u w:val="single"/>
                </w:rPr>
                <w:t>1</w:t>
              </w:r>
            </w:hyperlink>
            <w:hyperlink w:anchor="i23cfdb6952044062875645e492651271_25">
              <w:r>
                <w:rPr>
                  <w:rStyle w:val="InternetLink"/>
                  <w:rFonts w:ascii="Times New Roman;sans-serif" w:hAnsi="Times New Roman;sans-serif"/>
                  <w:b w:val="false"/>
                  <w:color w:val="000080"/>
                  <w:sz w:val="20"/>
                  <w:u w:val="single"/>
                </w:rPr>
                <w:t>, 202</w:t>
              </w:r>
            </w:hyperlink>
            <w:hyperlink w:anchor="i23cfdb6952044062875645e492651271_25">
              <w:r>
                <w:rPr>
                  <w:rStyle w:val="InternetLink"/>
                  <w:rFonts w:ascii="Times New Roman;sans-serif" w:hAnsi="Times New Roman;sans-serif"/>
                  <w:b w:val="false"/>
                  <w:color w:val="000080"/>
                  <w:sz w:val="20"/>
                  <w:u w:val="single"/>
                </w:rPr>
                <w:t>5</w:t>
              </w:r>
            </w:hyperlink>
            <w:hyperlink w:anchor="i23cfdb6952044062875645e492651271_25">
              <w:r>
                <w:rPr>
                  <w:rStyle w:val="InternetLink"/>
                  <w:rFonts w:ascii="Times New Roman;sans-serif" w:hAnsi="Times New Roman;sans-serif"/>
                  <w:b w:val="false"/>
                  <w:color w:val="000080"/>
                  <w:sz w:val="20"/>
                  <w:u w:val="single"/>
                </w:rPr>
                <w:t xml:space="preserve"> and 202</w:t>
              </w:r>
            </w:hyperlink>
            <w:hyperlink w:anchor="i23cfdb6952044062875645e492651271_25">
              <w:r>
                <w:rPr>
                  <w:rStyle w:val="InternetLink"/>
                  <w:rFonts w:ascii="Times New Roman;sans-serif" w:hAnsi="Times New Roman;sans-serif"/>
                  <w:b w:val="false"/>
                  <w:color w:val="000080"/>
                  <w:sz w:val="20"/>
                  <w:u w:val="single"/>
                </w:rPr>
                <w:t>4</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25">
              <w:r>
                <w:rPr>
                  <w:rStyle w:val="InternetLink"/>
                  <w:rFonts w:ascii="Times New Roman;sans-serif" w:hAnsi="Times New Roman;sans-serif"/>
                  <w:b w:val="false"/>
                  <w:color w:val="0000FF"/>
                  <w:sz w:val="20"/>
                  <w:u w:val="single"/>
                </w:rPr>
                <w:t>7</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28">
              <w:r>
                <w:rPr>
                  <w:rStyle w:val="InternetLink"/>
                  <w:rFonts w:ascii="Times New Roman;sans-serif" w:hAnsi="Times New Roman;sans-serif"/>
                  <w:b w:val="false"/>
                  <w:color w:val="000080"/>
                  <w:sz w:val="20"/>
                  <w:u w:val="single"/>
                </w:rPr>
                <w:t xml:space="preserve">Condensed Consolidated Statements of Cash Flows (unaudited) For the </w:t>
              </w:r>
            </w:hyperlink>
            <w:hyperlink w:anchor="i23cfdb6952044062875645e492651271_28">
              <w:r>
                <w:rPr>
                  <w:rStyle w:val="InternetLink"/>
                  <w:rFonts w:ascii="Times New Roman;sans-serif" w:hAnsi="Times New Roman;sans-serif"/>
                  <w:b w:val="false"/>
                  <w:color w:val="000080"/>
                  <w:sz w:val="20"/>
                  <w:u w:val="single"/>
                </w:rPr>
                <w:t>Three</w:t>
              </w:r>
            </w:hyperlink>
            <w:hyperlink w:anchor="i23cfdb6952044062875645e492651271_28">
              <w:r>
                <w:rPr>
                  <w:rStyle w:val="InternetLink"/>
                  <w:rFonts w:ascii="Times New Roman;sans-serif" w:hAnsi="Times New Roman;sans-serif"/>
                  <w:b w:val="false"/>
                  <w:color w:val="000080"/>
                  <w:sz w:val="20"/>
                  <w:u w:val="single"/>
                </w:rPr>
                <w:t xml:space="preserve"> Months Ended </w:t>
              </w:r>
            </w:hyperlink>
            <w:hyperlink w:anchor="i23cfdb6952044062875645e492651271_28">
              <w:r>
                <w:rPr>
                  <w:rStyle w:val="InternetLink"/>
                  <w:rFonts w:ascii="Times New Roman;sans-serif" w:hAnsi="Times New Roman;sans-serif"/>
                  <w:b w:val="false"/>
                  <w:color w:val="000080"/>
                  <w:sz w:val="20"/>
                  <w:u w:val="single"/>
                </w:rPr>
                <w:t>March</w:t>
              </w:r>
            </w:hyperlink>
            <w:hyperlink w:anchor="i23cfdb6952044062875645e492651271_28">
              <w:r>
                <w:rPr>
                  <w:rStyle w:val="InternetLink"/>
                  <w:rFonts w:ascii="Times New Roman;sans-serif" w:hAnsi="Times New Roman;sans-serif"/>
                  <w:b w:val="false"/>
                  <w:color w:val="000080"/>
                  <w:sz w:val="20"/>
                  <w:u w:val="single"/>
                </w:rPr>
                <w:t xml:space="preserve"> 3</w:t>
              </w:r>
            </w:hyperlink>
            <w:hyperlink w:anchor="i23cfdb6952044062875645e492651271_28">
              <w:r>
                <w:rPr>
                  <w:rStyle w:val="InternetLink"/>
                  <w:rFonts w:ascii="Times New Roman;sans-serif" w:hAnsi="Times New Roman;sans-serif"/>
                  <w:b w:val="false"/>
                  <w:color w:val="000080"/>
                  <w:sz w:val="20"/>
                  <w:u w:val="single"/>
                </w:rPr>
                <w:t>1</w:t>
              </w:r>
            </w:hyperlink>
            <w:hyperlink w:anchor="i23cfdb6952044062875645e492651271_28">
              <w:r>
                <w:rPr>
                  <w:rStyle w:val="InternetLink"/>
                  <w:rFonts w:ascii="Times New Roman;sans-serif" w:hAnsi="Times New Roman;sans-serif"/>
                  <w:b w:val="false"/>
                  <w:color w:val="000080"/>
                  <w:sz w:val="20"/>
                  <w:u w:val="single"/>
                </w:rPr>
                <w:t>, 202</w:t>
              </w:r>
            </w:hyperlink>
            <w:hyperlink w:anchor="i23cfdb6952044062875645e492651271_28">
              <w:r>
                <w:rPr>
                  <w:rStyle w:val="InternetLink"/>
                  <w:rFonts w:ascii="Times New Roman;sans-serif" w:hAnsi="Times New Roman;sans-serif"/>
                  <w:b w:val="false"/>
                  <w:color w:val="000080"/>
                  <w:sz w:val="20"/>
                  <w:u w:val="single"/>
                </w:rPr>
                <w:t>5</w:t>
              </w:r>
            </w:hyperlink>
            <w:hyperlink w:anchor="i23cfdb6952044062875645e492651271_28">
              <w:r>
                <w:rPr>
                  <w:rStyle w:val="InternetLink"/>
                  <w:rFonts w:ascii="Times New Roman;sans-serif" w:hAnsi="Times New Roman;sans-serif"/>
                  <w:b w:val="false"/>
                  <w:color w:val="000080"/>
                  <w:sz w:val="20"/>
                  <w:u w:val="single"/>
                </w:rPr>
                <w:t xml:space="preserve"> and 202</w:t>
              </w:r>
            </w:hyperlink>
            <w:hyperlink w:anchor="i23cfdb6952044062875645e492651271_28">
              <w:r>
                <w:rPr>
                  <w:rStyle w:val="InternetLink"/>
                  <w:rFonts w:ascii="Times New Roman;sans-serif" w:hAnsi="Times New Roman;sans-serif"/>
                  <w:b w:val="false"/>
                  <w:color w:val="000080"/>
                  <w:sz w:val="20"/>
                  <w:u w:val="single"/>
                </w:rPr>
                <w:t>4</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28">
              <w:r>
                <w:rPr>
                  <w:rStyle w:val="InternetLink"/>
                  <w:rFonts w:ascii="Times New Roman;sans-serif" w:hAnsi="Times New Roman;sans-serif"/>
                  <w:b w:val="false"/>
                  <w:color w:val="0000FF"/>
                  <w:sz w:val="20"/>
                  <w:u w:val="single"/>
                </w:rPr>
                <w:t>8</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31">
              <w:r>
                <w:rPr>
                  <w:rStyle w:val="InternetLink"/>
                  <w:rFonts w:ascii="Times New Roman;sans-serif" w:hAnsi="Times New Roman;sans-serif"/>
                  <w:b w:val="false"/>
                  <w:color w:val="0000FF"/>
                  <w:sz w:val="20"/>
                  <w:u w:val="single"/>
                </w:rPr>
                <w:t>Notes to Unaudited Condensed Consolidated Financial Statements</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31">
              <w:r>
                <w:rPr>
                  <w:rStyle w:val="InternetLink"/>
                  <w:rFonts w:ascii="Times New Roman;sans-serif" w:hAnsi="Times New Roman;sans-serif"/>
                  <w:b w:val="false"/>
                  <w:color w:val="0000FF"/>
                  <w:sz w:val="20"/>
                  <w:u w:val="single"/>
                </w:rPr>
                <w:t>9</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64">
              <w:r>
                <w:rPr>
                  <w:rStyle w:val="InternetLink"/>
                  <w:rFonts w:ascii="Times New Roman;sans-serif" w:hAnsi="Times New Roman;sans-serif"/>
                  <w:b w:val="false"/>
                  <w:color w:val="0000FF"/>
                  <w:sz w:val="20"/>
                  <w:u w:val="single"/>
                </w:rPr>
                <w:t>Item 2.</w:t>
              </w:r>
            </w:hyperlink>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64">
              <w:r>
                <w:rPr>
                  <w:rStyle w:val="InternetLink"/>
                  <w:rFonts w:ascii="Times New Roman;sans-serif" w:hAnsi="Times New Roman;sans-serif"/>
                  <w:b w:val="false"/>
                  <w:color w:val="0000FF"/>
                  <w:sz w:val="20"/>
                  <w:u w:val="single"/>
                </w:rPr>
                <w:t>17</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88">
              <w:r>
                <w:rPr>
                  <w:rStyle w:val="InternetLink"/>
                  <w:rFonts w:ascii="Times New Roman;sans-serif" w:hAnsi="Times New Roman;sans-serif"/>
                  <w:b w:val="false"/>
                  <w:color w:val="0000FF"/>
                  <w:sz w:val="20"/>
                  <w:u w:val="single"/>
                </w:rPr>
                <w:t>Item 3.</w:t>
              </w:r>
            </w:hyperlink>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88">
              <w:r>
                <w:rPr>
                  <w:rStyle w:val="InternetLink"/>
                  <w:rFonts w:ascii="Times New Roman;sans-serif" w:hAnsi="Times New Roman;sans-serif"/>
                  <w:b w:val="false"/>
                  <w:color w:val="0000FF"/>
                  <w:sz w:val="20"/>
                  <w:u w:val="single"/>
                </w:rPr>
                <w:t>Quantitative and Qualitative Disclosures About Market Risk</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88">
              <w:r>
                <w:rPr>
                  <w:rStyle w:val="InternetLink"/>
                  <w:rFonts w:ascii="Times New Roman;sans-serif" w:hAnsi="Times New Roman;sans-serif"/>
                  <w:b w:val="false"/>
                  <w:color w:val="0000FF"/>
                  <w:sz w:val="20"/>
                  <w:u w:val="single"/>
                </w:rPr>
                <w:t>25</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91">
              <w:r>
                <w:rPr>
                  <w:rStyle w:val="InternetLink"/>
                  <w:rFonts w:ascii="Times New Roman;sans-serif" w:hAnsi="Times New Roman;sans-serif"/>
                  <w:b w:val="false"/>
                  <w:color w:val="0000FF"/>
                  <w:sz w:val="20"/>
                  <w:u w:val="single"/>
                </w:rPr>
                <w:t>Item 4</w:t>
              </w:r>
            </w:hyperlink>
            <w:r>
              <w:rPr>
                <w:rFonts w:ascii="Times New Roman;sans-serif" w:hAnsi="Times New Roman;sans-serif"/>
                <w:b w:val="false"/>
                <w:color w:val="000000"/>
                <w:sz w:val="20"/>
              </w:rPr>
              <w:t>.</w:t>
            </w:r>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91">
              <w:r>
                <w:rPr>
                  <w:rStyle w:val="InternetLink"/>
                  <w:rFonts w:ascii="Times New Roman;sans-serif" w:hAnsi="Times New Roman;sans-serif"/>
                  <w:b w:val="false"/>
                  <w:color w:val="0000FF"/>
                  <w:sz w:val="20"/>
                  <w:u w:val="single"/>
                </w:rPr>
                <w:t>Controls and Procedures</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91">
              <w:r>
                <w:rPr>
                  <w:rStyle w:val="InternetLink"/>
                  <w:rFonts w:ascii="Times New Roman;sans-serif" w:hAnsi="Times New Roman;sans-serif"/>
                  <w:b w:val="false"/>
                  <w:color w:val="0000FF"/>
                  <w:sz w:val="20"/>
                  <w:u w:val="single"/>
                </w:rPr>
                <w:t>25</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94">
              <w:r>
                <w:rPr>
                  <w:rStyle w:val="InternetLink"/>
                  <w:rFonts w:ascii="Times New Roman;sans-serif" w:hAnsi="Times New Roman;sans-serif"/>
                  <w:b/>
                  <w:color w:val="0000FF"/>
                  <w:sz w:val="20"/>
                  <w:u w:val="single"/>
                </w:rPr>
                <w:t>PART II</w:t>
              </w:r>
            </w:hyperlink>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94">
              <w:r>
                <w:rPr>
                  <w:rStyle w:val="InternetLink"/>
                  <w:rFonts w:ascii="Times New Roman;sans-serif" w:hAnsi="Times New Roman;sans-serif"/>
                  <w:b/>
                  <w:color w:val="0000FF"/>
                  <w:sz w:val="20"/>
                  <w:u w:val="single"/>
                </w:rPr>
                <w:t>OTHER INFORMATION</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94">
              <w:r>
                <w:rPr>
                  <w:rStyle w:val="InternetLink"/>
                  <w:rFonts w:ascii="Times New Roman;sans-serif" w:hAnsi="Times New Roman;sans-serif"/>
                  <w:b/>
                  <w:color w:val="0000FF"/>
                  <w:sz w:val="20"/>
                  <w:u w:val="single"/>
                </w:rPr>
                <w:t>26</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97">
              <w:r>
                <w:rPr>
                  <w:rStyle w:val="InternetLink"/>
                  <w:rFonts w:ascii="Times New Roman;sans-serif" w:hAnsi="Times New Roman;sans-serif"/>
                  <w:b w:val="false"/>
                  <w:color w:val="0000FF"/>
                  <w:sz w:val="20"/>
                  <w:u w:val="single"/>
                </w:rPr>
                <w:t>Item 1.</w:t>
              </w:r>
            </w:hyperlink>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97">
              <w:r>
                <w:rPr>
                  <w:rStyle w:val="InternetLink"/>
                  <w:rFonts w:ascii="Times New Roman;sans-serif" w:hAnsi="Times New Roman;sans-serif"/>
                  <w:b w:val="false"/>
                  <w:color w:val="0000FF"/>
                  <w:sz w:val="20"/>
                  <w:u w:val="single"/>
                </w:rPr>
                <w:t>Legal Proceedings</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97">
              <w:r>
                <w:rPr>
                  <w:rStyle w:val="InternetLink"/>
                  <w:rFonts w:ascii="Times New Roman;sans-serif" w:hAnsi="Times New Roman;sans-serif"/>
                  <w:b w:val="false"/>
                  <w:color w:val="0000FF"/>
                  <w:sz w:val="20"/>
                  <w:u w:val="single"/>
                </w:rPr>
                <w:t>26</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0">
              <w:r>
                <w:rPr>
                  <w:rStyle w:val="InternetLink"/>
                  <w:rFonts w:ascii="Times New Roman;sans-serif" w:hAnsi="Times New Roman;sans-serif"/>
                  <w:b w:val="false"/>
                  <w:color w:val="0000FF"/>
                  <w:sz w:val="20"/>
                  <w:u w:val="single"/>
                </w:rPr>
                <w:t>Item 1A.</w:t>
              </w:r>
            </w:hyperlink>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0">
              <w:r>
                <w:rPr>
                  <w:rStyle w:val="InternetLink"/>
                  <w:rFonts w:ascii="Times New Roman;sans-serif" w:hAnsi="Times New Roman;sans-serif"/>
                  <w:b w:val="false"/>
                  <w:color w:val="0000FF"/>
                  <w:sz w:val="20"/>
                  <w:u w:val="single"/>
                </w:rPr>
                <w:t>Risk Factors</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00">
              <w:r>
                <w:rPr>
                  <w:rStyle w:val="InternetLink"/>
                  <w:rFonts w:ascii="Times New Roman;sans-serif" w:hAnsi="Times New Roman;sans-serif"/>
                  <w:b w:val="false"/>
                  <w:color w:val="0000FF"/>
                  <w:sz w:val="20"/>
                  <w:u w:val="single"/>
                </w:rPr>
                <w:t>26</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3">
              <w:r>
                <w:rPr>
                  <w:rStyle w:val="InternetLink"/>
                  <w:rFonts w:ascii="Times New Roman;sans-serif" w:hAnsi="Times New Roman;sans-serif"/>
                  <w:b w:val="false"/>
                  <w:color w:val="0000FF"/>
                  <w:sz w:val="20"/>
                  <w:u w:val="single"/>
                </w:rPr>
                <w:t>Item 2.</w:t>
              </w:r>
            </w:hyperlink>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3">
              <w:r>
                <w:rPr>
                  <w:rStyle w:val="InternetLink"/>
                  <w:rFonts w:ascii="Times New Roman;sans-serif" w:hAnsi="Times New Roman;sans-serif"/>
                  <w:b w:val="false"/>
                  <w:color w:val="0000FF"/>
                  <w:sz w:val="20"/>
                  <w:u w:val="single"/>
                </w:rPr>
                <w:t>Unregistered Sales of Equity Securities and Use of Proceeds</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03">
              <w:r>
                <w:rPr>
                  <w:rStyle w:val="InternetLink"/>
                  <w:rFonts w:ascii="Times New Roman;sans-serif" w:hAnsi="Times New Roman;sans-serif"/>
                  <w:b w:val="false"/>
                  <w:color w:val="0000FF"/>
                  <w:sz w:val="20"/>
                  <w:u w:val="single"/>
                </w:rPr>
                <w:t>26</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6">
              <w:r>
                <w:rPr>
                  <w:rStyle w:val="InternetLink"/>
                  <w:rFonts w:ascii="Times New Roman;sans-serif" w:hAnsi="Times New Roman;sans-serif"/>
                  <w:b w:val="false"/>
                  <w:color w:val="0000FF"/>
                  <w:sz w:val="20"/>
                  <w:u w:val="single"/>
                </w:rPr>
                <w:t>Item 3.</w:t>
              </w:r>
            </w:hyperlink>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6">
              <w:r>
                <w:rPr>
                  <w:rStyle w:val="InternetLink"/>
                  <w:rFonts w:ascii="Times New Roman;sans-serif" w:hAnsi="Times New Roman;sans-serif"/>
                  <w:b w:val="false"/>
                  <w:color w:val="0000FF"/>
                  <w:sz w:val="20"/>
                  <w:u w:val="single"/>
                </w:rPr>
                <w:t>Defaults Upon Senior Securities</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06">
              <w:r>
                <w:rPr>
                  <w:rStyle w:val="InternetLink"/>
                  <w:rFonts w:ascii="Times New Roman;sans-serif" w:hAnsi="Times New Roman;sans-serif"/>
                  <w:b w:val="false"/>
                  <w:color w:val="0000FF"/>
                  <w:sz w:val="20"/>
                  <w:u w:val="single"/>
                </w:rPr>
                <w:t>26</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9">
              <w:r>
                <w:rPr>
                  <w:rStyle w:val="InternetLink"/>
                  <w:rFonts w:ascii="Times New Roman;sans-serif" w:hAnsi="Times New Roman;sans-serif"/>
                  <w:b w:val="false"/>
                  <w:color w:val="0000FF"/>
                  <w:sz w:val="20"/>
                  <w:u w:val="single"/>
                </w:rPr>
                <w:t>Item 4.</w:t>
              </w:r>
            </w:hyperlink>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09">
              <w:r>
                <w:rPr>
                  <w:rStyle w:val="InternetLink"/>
                  <w:rFonts w:ascii="Times New Roman;sans-serif" w:hAnsi="Times New Roman;sans-serif"/>
                  <w:b w:val="false"/>
                  <w:color w:val="0000FF"/>
                  <w:sz w:val="20"/>
                  <w:u w:val="single"/>
                </w:rPr>
                <w:t>Mine Safety Disclosures</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09">
              <w:r>
                <w:rPr>
                  <w:rStyle w:val="InternetLink"/>
                  <w:rFonts w:ascii="Times New Roman;sans-serif" w:hAnsi="Times New Roman;sans-serif"/>
                  <w:b w:val="false"/>
                  <w:color w:val="0000FF"/>
                  <w:sz w:val="20"/>
                  <w:u w:val="single"/>
                </w:rPr>
                <w:t>26</w:t>
              </w:r>
            </w:hyperlink>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12">
              <w:r>
                <w:rPr>
                  <w:rStyle w:val="InternetLink"/>
                  <w:rFonts w:ascii="Times New Roman;sans-serif" w:hAnsi="Times New Roman;sans-serif"/>
                  <w:b w:val="false"/>
                  <w:color w:val="0000FF"/>
                  <w:sz w:val="20"/>
                  <w:u w:val="single"/>
                </w:rPr>
                <w:t>Item 5.</w:t>
              </w:r>
            </w:hyperlink>
          </w:p>
        </w:tc>
        <w:tc>
          <w:tcPr>
            <w:tcW w:w="8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12">
              <w:r>
                <w:rPr>
                  <w:rStyle w:val="InternetLink"/>
                  <w:rFonts w:ascii="Times New Roman;sans-serif" w:hAnsi="Times New Roman;sans-serif"/>
                  <w:b w:val="false"/>
                  <w:color w:val="0000FF"/>
                  <w:sz w:val="20"/>
                  <w:u w:val="single"/>
                </w:rPr>
                <w:t>Other Information</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12">
              <w:r>
                <w:rPr>
                  <w:rStyle w:val="InternetLink"/>
                  <w:rFonts w:ascii="Times New Roman;sans-serif" w:hAnsi="Times New Roman;sans-serif"/>
                  <w:b w:val="false"/>
                  <w:color w:val="0000FF"/>
                  <w:sz w:val="20"/>
                  <w:u w:val="single"/>
                </w:rPr>
                <w:t>26</w:t>
              </w:r>
            </w:hyperlink>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15">
              <w:r>
                <w:rPr>
                  <w:rStyle w:val="InternetLink"/>
                  <w:rFonts w:ascii="Times New Roman;sans-serif" w:hAnsi="Times New Roman;sans-serif"/>
                  <w:b w:val="false"/>
                  <w:color w:val="0000FF"/>
                  <w:sz w:val="20"/>
                  <w:u w:val="single"/>
                </w:rPr>
                <w:t>Item 6.</w:t>
              </w:r>
            </w:hyperlink>
          </w:p>
        </w:tc>
        <w:tc>
          <w:tcPr>
            <w:tcW w:w="8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15">
              <w:r>
                <w:rPr>
                  <w:rStyle w:val="InternetLink"/>
                  <w:rFonts w:ascii="Times New Roman;sans-serif" w:hAnsi="Times New Roman;sans-serif"/>
                  <w:b w:val="false"/>
                  <w:color w:val="0000FF"/>
                  <w:sz w:val="20"/>
                  <w:u w:val="single"/>
                </w:rPr>
                <w:t>Exhibits</w:t>
              </w:r>
            </w:hyperlink>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15">
              <w:r>
                <w:rPr>
                  <w:rStyle w:val="InternetLink"/>
                  <w:rFonts w:ascii="Times New Roman;sans-serif" w:hAnsi="Times New Roman;sans-serif"/>
                  <w:b w:val="false"/>
                  <w:color w:val="0000FF"/>
                  <w:sz w:val="20"/>
                  <w:u w:val="single"/>
                </w:rPr>
                <w:t>27</w:t>
              </w:r>
            </w:hyperlink>
          </w:p>
        </w:tc>
      </w:tr>
      <w:tr>
        <w:trPr/>
        <w:tc>
          <w:tcPr>
            <w:tcW w:w="946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3cfdb6952044062875645e492651271_118">
              <w:r>
                <w:rPr>
                  <w:rStyle w:val="InternetLink"/>
                  <w:rFonts w:ascii="Times New Roman;sans-serif" w:hAnsi="Times New Roman;sans-serif"/>
                  <w:b w:val="false"/>
                  <w:color w:val="0000FF"/>
                  <w:sz w:val="20"/>
                  <w:u w:val="single"/>
                </w:rPr>
                <w:t>Signatures</w:t>
              </w:r>
            </w:hyperlink>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3cfdb6952044062875645e492651271_118">
              <w:r>
                <w:rPr>
                  <w:rStyle w:val="InternetLink"/>
                  <w:rFonts w:ascii="Times New Roman;sans-serif" w:hAnsi="Times New Roman;sans-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1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accuracy of such statements is subject to a number of risks, uncertainties and assumptions including, but not limited to, the following factors: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effect of water, utility, environmental and other governmental policies and regulations, including regulatory actions concerning rates, authorized return on equity, authorized capital structures, capital expenditures, per- and polyfluoroalkyl substances (“PFAS”) and other decisions;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changes in demand for water and other services;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unanticipated weather conditions and changes in seasonality including those affecting water supply and customer usage;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effect of the impacts of climate change;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unexpected costs, charges or expenses;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our ability to successfully evaluate investments in new business and growth initiatives;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contamination of our water supplies and damage or failure of our water equipment and infrastructure;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risk of work stoppages, strikes and other labor-related actions;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catastrophic events such as fires, earthquakes, explosions, floods, ice storms, tornadoes, hurricanes, terrorist acts, physical attacks, cyber-attacks, epidemic, or other similar occurrences;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changes in general economic, political, business and financial market conditions;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legislative and general market and economic developments.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uncertainties and other factors may cause the actual results, performance or achievements of SJW Group to be materially different from any future results, performance or achievements expressed or implied by such forward-looking statements.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we undertake no obligation to publicly update or revise any forward-looking statement, whether as a result of new information, future events or otherwise, except as required by law.</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8023" w:type="dxa"/>
        <w:jc w:val="left"/>
        <w:tblInd w:w="0" w:type="dxa"/>
        <w:tblLayout w:type="fixed"/>
        <w:tblCellMar>
          <w:top w:w="28" w:type="dxa"/>
          <w:left w:w="28" w:type="dxa"/>
          <w:bottom w:w="28" w:type="dxa"/>
          <w:right w:w="28" w:type="dxa"/>
        </w:tblCellMar>
      </w:tblPr>
      <w:tblGrid>
        <w:gridCol w:w="1587"/>
        <w:gridCol w:w="1390"/>
        <w:gridCol w:w="1403"/>
        <w:gridCol w:w="276"/>
        <w:gridCol w:w="1081"/>
        <w:gridCol w:w="142"/>
        <w:gridCol w:w="142"/>
        <w:gridCol w:w="142"/>
        <w:gridCol w:w="142"/>
        <w:gridCol w:w="540"/>
        <w:gridCol w:w="541"/>
        <w:gridCol w:w="156"/>
        <w:gridCol w:w="109"/>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Expenses: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 extraction charges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production expenses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expenses</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non-service credit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Basic</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Diluted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Dividends per share</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Basic</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33,778,792 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32,076,720 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Diluted</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33,868,565 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32,144,579 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37"/>
        <w:gridCol w:w="2267"/>
        <w:gridCol w:w="2266"/>
        <w:gridCol w:w="211"/>
        <w:gridCol w:w="976"/>
        <w:gridCol w:w="109"/>
        <w:gridCol w:w="109"/>
        <w:gridCol w:w="109"/>
        <w:gridCol w:w="109"/>
        <w:gridCol w:w="487"/>
        <w:gridCol w:w="489"/>
        <w:gridCol w:w="436"/>
      </w:tblGrid>
      <w:tr>
        <w:trPr/>
        <w:tc>
          <w:tcPr>
            <w:tcW w:w="263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4,249,314 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179,486 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4,525,061 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1,036,450 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3,488,611 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Nonutility properties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nonutility properties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Customers, net of allowances for credit losses of $1,149 and $1,172 on March 31,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regulatory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190,714 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977,768 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4,658,309 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0"/>
        <w:gridCol w:w="2280"/>
        <w:gridCol w:w="2291"/>
        <w:gridCol w:w="211"/>
        <w:gridCol w:w="976"/>
        <w:gridCol w:w="109"/>
        <w:gridCol w:w="109"/>
        <w:gridCol w:w="109"/>
        <w:gridCol w:w="109"/>
        <w:gridCol w:w="488"/>
        <w:gridCol w:w="488"/>
        <w:gridCol w:w="415"/>
      </w:tblGrid>
      <w:tr>
        <w:trPr/>
        <w:tc>
          <w:tcPr>
            <w:tcW w:w="262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authorized 70,000,000 shares; issued and outstanding shares 34,182,785 on March 31, 2025 and 33,629,169 on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827,796 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537,184 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1,366,974 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1,706,904 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3,073,878 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regulatory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261,173 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Advances for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155,397 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Contributions in aid of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340,738 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Regulatory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483,719 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capitalization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4,658,309 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left"/>
        <w:rPr/>
      </w:pPr>
      <w:r>
        <w:rPr/>
      </w:r>
    </w:p>
    <w:tbl>
      <w:tblPr>
        <w:tblW w:w="10412" w:type="dxa"/>
        <w:jc w:val="left"/>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33,629,169 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537,184 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1,366,974 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($0.42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34,182,785 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855,759 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539,584 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1,397,337 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10412" w:type="dxa"/>
        <w:jc w:val="center"/>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32,023,004 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736,191 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1,233,397 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 net of tax of $163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($0.40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March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32,201,216 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744,621 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494,249 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1,240,251 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760"/>
        <w:gridCol w:w="2368"/>
        <w:gridCol w:w="2376"/>
        <w:gridCol w:w="271"/>
        <w:gridCol w:w="895"/>
        <w:gridCol w:w="150"/>
        <w:gridCol w:w="150"/>
        <w:gridCol w:w="150"/>
        <w:gridCol w:w="150"/>
        <w:gridCol w:w="354"/>
        <w:gridCol w:w="356"/>
        <w:gridCol w:w="225"/>
      </w:tblGrid>
      <w:tr>
        <w:trPr/>
        <w:tc>
          <w:tcPr>
            <w:tcW w:w="276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equity funds used during construction</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accrued unbilled utility revenue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current liabilities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groundwater extraction charges, purchased water and power</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and payable, and other accrued taxes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benefits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assets and liabilities excluding cost of removal, income tax temporary differences and postretirement benefits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utility plant:</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Company-funded</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(77,461)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(68,879)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in aid of construction</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to retire utility plant, net of salvage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(84,759)</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(74,273)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3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Borrowings from lines of credit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lines of credit</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borrowings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Receipts of advances and contributions in aid of construction</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Refunds of advances for construction</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beginning of period</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Cash paid (refunded) during the period for:</w:t>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net of amounts capitalized</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activities:</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payables for additions to utility plant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property installed by developers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1.General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accompanying unaudited condensed consolidated financial statements reflect all adjustments (consisting only of normal, recurring adjustments) necessary for a fair presentation of the results for the interim periods.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(“SEC”). The Notes to Consolidated Financial Statements in SJW Group’s 2024 Annual Report on Form 10-K, filed with the SEC on February 28, 2025, should be read in conjunction with the accompanying unaudited condensed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that conducts its business through the following wholly owned subsidiaries: San Jose Water Company (“SJWC”), SJWTX Holdings, Inc., SJW Land Company, SJWNE LLC, and National Water Utility Service, LLC (“National Water Utility”). SJWTX Holdings, Inc., is a holding company for its wholly owned subsidiaries, SJWTX, Inc., doing business as The Texas Water Company (“TWC”), Texas Water Operation Services, LLC, (“TWOS”) and Texas Water Resources, LLC (“TWR”). SJWNE LLC is the holding company for Connecticut Water Service, Inc. (“CTWS”) whose wholly owned subsidiaries are The Connecticut Water Company (“CWC”), The Maine Water Company (“MWC”), New England Water Utility Services, Inc. (“NEWUS”), and Chester Realty, Inc.</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Group’s revenue components are as follows: </w:t>
      </w:r>
    </w:p>
    <w:tbl>
      <w:tblPr>
        <w:tblW w:w="9687" w:type="dxa"/>
        <w:jc w:val="left"/>
        <w:tblInd w:w="0" w:type="dxa"/>
        <w:tblLayout w:type="fixed"/>
        <w:tblCellMar>
          <w:top w:w="28" w:type="dxa"/>
          <w:left w:w="28" w:type="dxa"/>
          <w:bottom w:w="28" w:type="dxa"/>
          <w:right w:w="28" w:type="dxa"/>
        </w:tblCellMar>
      </w:tblPr>
      <w:tblGrid>
        <w:gridCol w:w="2280"/>
        <w:gridCol w:w="2003"/>
        <w:gridCol w:w="2016"/>
        <w:gridCol w:w="276"/>
        <w:gridCol w:w="1081"/>
        <w:gridCol w:w="142"/>
        <w:gridCol w:w="142"/>
        <w:gridCol w:w="142"/>
        <w:gridCol w:w="142"/>
        <w:gridCol w:w="413"/>
        <w:gridCol w:w="413"/>
        <w:gridCol w:w="156"/>
        <w:gridCol w:w="109"/>
        <w:gridCol w:w="109"/>
        <w:gridCol w:w="109"/>
        <w:gridCol w:w="154"/>
      </w:tblGrid>
      <w:tr>
        <w:trPr/>
        <w:tc>
          <w:tcPr>
            <w:tcW w:w="2280"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revenue programs,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balancing and memorandum accounts and regulatory mechanisms, net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Nonutility Properties </w:t>
      </w:r>
    </w:p>
    <w:p>
      <w:pPr>
        <w:pStyle w:val="TextBody"/>
        <w:bidi w:val="0"/>
        <w:spacing w:lineRule="auto" w:line="288" w:before="120" w:after="283"/>
        <w:jc w:val="left"/>
        <w:rPr/>
      </w:pPr>
      <w:r>
        <w:rPr>
          <w:rFonts w:ascii="Times New Roman;sans-serif" w:hAnsi="Times New Roman;sans-serif"/>
          <w:b w:val="false"/>
          <w:color w:val="000000"/>
          <w:sz w:val="20"/>
        </w:rPr>
        <w:t>The major components of nonutility properties as of March 31, 2025 and December 31, 2024, are as follows:</w:t>
      </w:r>
      <w:r>
        <w:rPr>
          <w:color w:val="000000"/>
        </w:rPr>
        <w:t> </w:t>
      </w:r>
    </w:p>
    <w:tbl>
      <w:tblPr>
        <w:tblW w:w="5087" w:type="dxa"/>
        <w:jc w:val="left"/>
        <w:tblInd w:w="0" w:type="dxa"/>
        <w:tblLayout w:type="fixed"/>
        <w:tblCellMar>
          <w:top w:w="28" w:type="dxa"/>
          <w:left w:w="28" w:type="dxa"/>
          <w:bottom w:w="28" w:type="dxa"/>
          <w:right w:w="28" w:type="dxa"/>
        </w:tblCellMar>
      </w:tblPr>
      <w:tblGrid>
        <w:gridCol w:w="972"/>
        <w:gridCol w:w="852"/>
        <w:gridCol w:w="860"/>
        <w:gridCol w:w="211"/>
        <w:gridCol w:w="616"/>
        <w:gridCol w:w="109"/>
        <w:gridCol w:w="109"/>
        <w:gridCol w:w="109"/>
        <w:gridCol w:w="109"/>
        <w:gridCol w:w="334"/>
        <w:gridCol w:w="334"/>
        <w:gridCol w:w="472"/>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Fair Value Measurement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instruments are not measured at fair value on SJW Group’s condensed consolidated balance sheets as of March 31, 2025, but require disclosure of their fair values: cash and cash equivalents, accounts receivable and accounts payable. The estimated fair value of such instruments as of March 31, 2025 approximates their carrying value as reported on the condensed consolidated balance sheets. There have been no changes in valuation techniques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2025. The fair value of these instruments would be categorized as Level 2 in the fair value hierarchy, with the exception of cash and cash equivalents, which would be categorized as Level 1.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SJW Group’s long-term debt was $1,507,329 and $1,490,024 as of March 31, 2025 and December 31, 2024, respectively, and was determined using a discounted cash flow analysis, based on the current rates for similar financial instruments of the same duration and creditworthiness of the company. Of the total fair value of long-term debt at March 31, 2025 and December 31, 2024, $1,490,464 and $1,473,393, respectively, would be categorized as Level 2 in the fair value hierarchy and $16,865 and $16,631, respectively, would be categorized as Level 3 in the fair value hierarchy.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$2,763 and $2,812 as of March 31, 2025 and December 31, 2024, respectively, and are categorized as Level 1 in the fair value hierarchy.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and shares potentially issuable under SJW Group’s employee stock purchase plans. For the three months ended March 31, 2025 and 2024, 37,791 and 12,221 anti-dilutive restricted common stock units were excluded from the diluted earnings per share calculation, respectively.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recently issued accounting standards that have not yet been adopted by the company as of March 31, 2025 are as follows:</w:t>
      </w:r>
    </w:p>
    <w:tbl>
      <w:tblPr>
        <w:tblW w:w="10205" w:type="dxa"/>
        <w:jc w:val="left"/>
        <w:tblInd w:w="0" w:type="dxa"/>
        <w:tblLayout w:type="fixed"/>
        <w:tblCellMar>
          <w:top w:w="28" w:type="dxa"/>
          <w:left w:w="28" w:type="dxa"/>
          <w:bottom w:w="28" w:type="dxa"/>
          <w:right w:w="28" w:type="dxa"/>
        </w:tblCellMar>
      </w:tblPr>
      <w:tblGrid>
        <w:gridCol w:w="650"/>
        <w:gridCol w:w="496"/>
        <w:gridCol w:w="498"/>
        <w:gridCol w:w="109"/>
        <w:gridCol w:w="109"/>
        <w:gridCol w:w="109"/>
        <w:gridCol w:w="1037"/>
        <w:gridCol w:w="1037"/>
        <w:gridCol w:w="1046"/>
        <w:gridCol w:w="109"/>
        <w:gridCol w:w="109"/>
        <w:gridCol w:w="109"/>
        <w:gridCol w:w="535"/>
        <w:gridCol w:w="462"/>
        <w:gridCol w:w="463"/>
        <w:gridCol w:w="109"/>
        <w:gridCol w:w="109"/>
        <w:gridCol w:w="109"/>
        <w:gridCol w:w="421"/>
        <w:gridCol w:w="421"/>
        <w:gridCol w:w="425"/>
        <w:gridCol w:w="109"/>
        <w:gridCol w:w="109"/>
        <w:gridCol w:w="109"/>
        <w:gridCol w:w="409"/>
        <w:gridCol w:w="409"/>
        <w:gridCol w:w="588"/>
      </w:tblGrid>
      <w:tr>
        <w:trPr/>
        <w:tc>
          <w:tcPr>
            <w:tcW w:w="6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on the Condensed Consolidated Financial Statements</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Standards Update (“ASU”) 2023-09 “Improvements to Income Tax Disclosures”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will adopt the ASU beginning with its annual financial statements for the year ending December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Prospective, with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currently evaluating the requirements of ASU 2023-09.</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2024-03 “Disaggregation of Income Statement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ASU requires disclosure, in the notes to the financial statements, of specified information about certain costs and expenses. The ASU requires disclosure of purchases of inventory, employee compensation, depreciation, and intangible asset amortization in interim and annual reporting periods. Further, other amounts already required to be disclosed in accordance with current U.S. GAAP would be included in the same disclosure as the other disaggregation requirements. Additionally, the ASU requires qualitative descriptions of amounts remaining in relevant expense captions that are not separately disaggregated quantitatively as well as disclosure of selling expenses in annual periods and an entity’s definition of 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ASU is effective for SJW Group for its annual financial statements for the year ending December 31, 2027 and for interim reporting periods for the year ending December 31, 2028.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currently evaluating the requirements of ASU 2024-03.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2.Regulatory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and liabilities are comprised of the following as of March 31, 2025 and December 31, 2024:</w:t>
      </w:r>
    </w:p>
    <w:tbl>
      <w:tblPr>
        <w:tblW w:w="8740" w:type="dxa"/>
        <w:jc w:val="left"/>
        <w:tblInd w:w="0" w:type="dxa"/>
        <w:tblLayout w:type="fixed"/>
        <w:tblCellMar>
          <w:top w:w="28" w:type="dxa"/>
          <w:left w:w="28" w:type="dxa"/>
          <w:bottom w:w="28" w:type="dxa"/>
          <w:right w:w="28" w:type="dxa"/>
        </w:tblCellMar>
      </w:tblPr>
      <w:tblGrid>
        <w:gridCol w:w="2031"/>
        <w:gridCol w:w="1786"/>
        <w:gridCol w:w="1793"/>
        <w:gridCol w:w="232"/>
        <w:gridCol w:w="908"/>
        <w:gridCol w:w="119"/>
        <w:gridCol w:w="109"/>
        <w:gridCol w:w="109"/>
        <w:gridCol w:w="109"/>
        <w:gridCol w:w="452"/>
        <w:gridCol w:w="452"/>
        <w:gridCol w:w="640"/>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temporary differences (a) (p)</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Monterey Water Revenue Adjustment Mechanism (“MWRAM”) (b)</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debt premium (c) (p)</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costs (d) (p)</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adjustment mechanisms (e) (p)</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Assistance Program (“CAP”) balancing account (f)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general rate case interim memorandum account (h)</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pensions and other postretirement benefits (g) (p)</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(j)</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242,227 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regulatory assets (k)</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 less current portion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224,055 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removal (l)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benefits due to customers (m)</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84,128 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pensions and other postretirement benefits (g)</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supply costs (i)</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costs (d)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adjustment mechanisms (e)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494,530 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484,841 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regulatory liabilities (o)</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liabilities, less current portion</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493,957 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483,719 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6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 </w:t>
      </w:r>
    </w:p>
    <w:p>
      <w:pPr>
        <w:pStyle w:val="TextBody"/>
        <w:bidi w:val="0"/>
        <w:spacing w:lineRule="auto" w:line="26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(b)MWRAM is described in the following section.</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(c)Consists of debt fair value adjustments recognized through purchase accounting for the completed merger with CTWS in 2019.</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(d)Includes deferrals of pension and other postretirement benefit expense and cost of accrued benefits for vacation, and group health insurance.</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(e)Primarily relates to Water Rate Adjustment mechanism (“WRA”). WRA and Water Conservation Memorandum Account (“WCMA”) are described in the following section. </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(f)Represents costs associated with SJWC’s CAP.</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(g)Represents actuarial losses and gains and prior service cost that have not yet been recognized as components of net periodic benefit cost for certain pension and other postretirement benefit plans.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(h)Represents the difference between revenues collected in interim rates in effect as of January 1, 2022 and revenues that would result from rates authorized in SJWC’s 2022 general rate case retroactive to January 1, 2022.</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(i)Reflects primarily SJWC’s Full Cost Balancing Account (“FCBA”), which tracks differences in actual water supply costs compared to amounts assumed in base rates, including applicable changes and variations in costs and quantities that affect the overall mix of the water supply.</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(j)Other includes other balancing and memorandum accounts and regulatory mechanisms, deferred costs for certain information technology activities, asset retirement obligations, tank painting, well reconditioning and rate case expenses.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(k)Primarily relates to SJWC’s balancing and memorandum account surcharge in accordance with Decision No. 24-12-077 and the current portion of CWC’s deferred well redevelopment and rate case costs.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(l)Represents amounts collected in rates from customers for estimated costs to retire assets at the end of their expected useful lives before the costs are incurred.</w:t>
      </w:r>
    </w:p>
    <w:p>
      <w:pPr>
        <w:pStyle w:val="TextBody"/>
        <w:bidi w:val="0"/>
        <w:spacing w:lineRule="auto" w:line="288" w:before="0" w:after="0"/>
        <w:ind w:left="0" w:right="0" w:hanging="720"/>
        <w:jc w:val="left"/>
        <w:rPr/>
      </w:pPr>
      <w:r>
        <w:rPr>
          <w:rFonts w:ascii="Times New Roman;sans-serif" w:hAnsi="Times New Roman;sans-serif"/>
          <w:b w:val="false"/>
          <w:color w:val="000000"/>
          <w:sz w:val="16"/>
        </w:rPr>
        <w:t xml:space="preserve">(m)On December 22, 2017, the Tax Cuts and Jobs Act of 2017 (the </w:t>
      </w:r>
      <w:r>
        <w:rPr>
          <w:color w:val="000000"/>
        </w:rPr>
        <w:t>“</w:t>
      </w:r>
      <w:r>
        <w:rPr>
          <w:rFonts w:ascii="Times New Roman;sans-serif" w:hAnsi="Times New Roman;sans-serif"/>
          <w:b w:val="false"/>
          <w:color w:val="000000"/>
          <w:sz w:val="16"/>
        </w:rPr>
        <w:t xml:space="preserve">Tax Act”) was signed into law. The Tax Act included a reduction in the federal income tax rate from 35% to 21%. The rate reduction was effective on January 1, 2018 and resulted in a regulatory liability for the excess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taxes. The benefit of amortization of excess deferred income taxes flows back to the customers under current normalization rules and agreed upon methods with the commissions. </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(n)Other includes accrued tank painting costs and other regulatory mechanisms.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(o)Primarily relates to the current portion of WRA.</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(p)Generally, not earning a return either by interest on the regulatory asset or as a component of rate base at the allowed rate of return.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has established balancing accounts for the purpose of tracking the under-collection or over-collection associated with expense changes and the revenue authorized by the CPUC to offset those expense changes. SJWC has been authorized for the use of the FCBA to track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reductions,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 On December 19, 2024, the CPUC issued General Rate Case Decision No. 24-12-077, which approved a recovery of $15,792 in balancing and memorandum accounts from customers through a 12-month surcharge effective January 1,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3.Capitalization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2024, SJW Group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The Equity Distribution Agreement replaced the previous agreement that ended in 2024. For the three months ended March 31, 2025, SJW Group issued and sold a total of 495,900 shares of common stock with a weighted average price of $53.87 per share and received $26,545 in net proceeds under the Equity Distribution Agreement. Since the inception of the Equity Distribution Agreement, SJW Group has issued and sold 871,413 shares of common stock at a weighted average price of $54.56 for a total net proceeds of $46,713 and has $152,460 of aggregate gross sales price of shares remaining to issue under the Equity Distribution Agreement as of March 31, 2025.</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4.Lines of Credit and Long-Term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contractual obligations and commitments include senior notes, bank term loans, revenue bonds, state revolving fund loans and other obligations.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Lines of Credit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short-term borrowings outstanding at March 31, 2025, was 5.47%, compared to 6.08% at December 31,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unused portion of the lines of credit was $197,410.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15, 2025, CTWS extended the maturity date on its $40,000 credit agreement from May 15, 2025 to August 13,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2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for the three months ended March 31, 2025 and 2024 was $3,471 and $2,231, respectively. The effective consolidated income tax rates were 17% and 16% for the three months ended March 31, 2025 and 2024, respectively. The increase in income tax expense for the three months ended March 31, 2025 was primarily due to a higher pre-tax income. SJW Group had unrecognized tax benefits, before the impact of deductions of state taxes, excluding interest and penalties, of $3,838 and $3,707 as of March 31, 2025 and December 31, 2024, respectively. SJW Group currently does not expect uncertain tax positions to change significantly over the next 12 months, except in the case of a lapse of the statute of limitations.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6.Commitments and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and its subsidiaries are subject to ordinary routine litigation incidental to its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CWC, a subsidiary of SJW Group, was named as a defendant in a putative class action lawsuit alleging that the water provided by CWC contained contaminants. The case is currently pending in the State of Connecticut Superior Court. CWC intends to vigorously defend itself in this lawsuit. SJW Group is unable to provide a reasonable estimate of loss, if any, at this time.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Multi-District Litigation (“MDL”) that commenced on December 7, 2018, in the United States District Court for the District of South Carolina. MWC has submitted timely claims as a settlement class member.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On November 22, 2024, the MDL court approved settlements involving defendants Tyco Fire Products LP, Chemgaurd, Inc., and BASF Corporation. SJW Group is entitled to a portion of the settlements and is monitoring and evaluating the ongoing litigation and settlement activity with the PFAS manufacturers for potential impacts to the various claims that these utility subsidiaries have asserted.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7.Benefit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costs for the defined benefit plans and other postretirement benefits for the three months ended March 31, 2025 and 2024 are as follows:</w:t>
      </w:r>
    </w:p>
    <w:tbl>
      <w:tblPr>
        <w:tblW w:w="7391" w:type="dxa"/>
        <w:jc w:val="left"/>
        <w:tblInd w:w="0" w:type="dxa"/>
        <w:tblLayout w:type="fixed"/>
        <w:tblCellMar>
          <w:top w:w="28" w:type="dxa"/>
          <w:left w:w="28" w:type="dxa"/>
          <w:bottom w:w="28" w:type="dxa"/>
          <w:right w:w="28" w:type="dxa"/>
        </w:tblCellMar>
      </w:tblPr>
      <w:tblGrid>
        <w:gridCol w:w="1117"/>
        <w:gridCol w:w="982"/>
        <w:gridCol w:w="990"/>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(gain) loss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2025, SJW Group expects to make required and discretionary cash contributions of up to $6,113 to the pension plans and other postretirement benefits. For the three months ended March 31, 2025, SJW Group has made $1,477 contributions to such plans.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8.Equity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 (“ESPP”). As of March 31, 2025, 231,971 shares are issuable upon the vesting of outstanding restricted stock units and deferred restricted stock units and an additional 931,045 shares are available for award issuances under the long-term incentive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compensation costs charged to income, by award type, and proceeds from the ESPP, are presented below for the three months ended March 31, 2025 and 2024:</w:t>
      </w:r>
    </w:p>
    <w:tbl>
      <w:tblPr>
        <w:tblW w:w="7491" w:type="dxa"/>
        <w:jc w:val="left"/>
        <w:tblInd w:w="0" w:type="dxa"/>
        <w:tblLayout w:type="fixed"/>
        <w:tblCellMar>
          <w:top w:w="28" w:type="dxa"/>
          <w:left w:w="28" w:type="dxa"/>
          <w:bottom w:w="28" w:type="dxa"/>
          <w:right w:w="28" w:type="dxa"/>
        </w:tblCellMar>
      </w:tblPr>
      <w:tblGrid>
        <w:gridCol w:w="1423"/>
        <w:gridCol w:w="1251"/>
        <w:gridCol w:w="1255"/>
        <w:gridCol w:w="312"/>
        <w:gridCol w:w="912"/>
        <w:gridCol w:w="161"/>
        <w:gridCol w:w="161"/>
        <w:gridCol w:w="161"/>
        <w:gridCol w:w="161"/>
        <w:gridCol w:w="308"/>
        <w:gridCol w:w="308"/>
        <w:gridCol w:w="161"/>
        <w:gridCol w:w="109"/>
        <w:gridCol w:w="109"/>
        <w:gridCol w:w="109"/>
        <w:gridCol w:w="109"/>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costs charged to income:</w:t>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ESPP</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Restricted stock and deferred restricted stock</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costs charged to income</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proceeds</w:t>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Restricted Stock and Deferred 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SJW Group granted 46,405 and 37,520, respectively, of three-year service-based restricted stock awards with a weighted average grant date fair value per unit of $44.17 and $61.10,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SJW Group granted 56,646 and 44,433 target units, respectively, of performance-based and market-based restricted stock awards with a weighted-average grant date fair value per unit of $51.87 and $53.69,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total unrecognized compensation costs related to restricted and deferred restricted stock plans was $8,981. This cost is expected to be recognized over a weighted average period of 2.18 years.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2160"/>
        <w:jc w:val="left"/>
        <w:rPr>
          <w:rFonts w:ascii="Times New Roman;sans-serif" w:hAnsi="Times New Roman;sans-serif"/>
          <w:b/>
          <w:color w:val="000000"/>
          <w:sz w:val="20"/>
        </w:rPr>
      </w:pPr>
      <w:r>
        <w:rPr>
          <w:rFonts w:ascii="Times New Roman;sans-serif" w:hAnsi="Times New Roman;sans-serif"/>
          <w:b/>
          <w:color w:val="000000"/>
          <w:sz w:val="20"/>
        </w:rPr>
        <w:t>Note 9.Segment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single reportable segment provides water utility and utility-related services to its customers through SJW Group’s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SJW Land Company and Chester Realty, Inc., contract water and sewer operations and other water-related services provided by NEWUS and are referred to as “Other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operating segments have been determined based on information used by the chief operating decision maker. SJW Group’s chief operating decision maker (“CODM”) includes the Chairman, President, and Chief Executive Officer; the Chief Financial Officer and Treasurer; the Chief Operating Officer; the Senior Vice President and Chief Administrative Officer; and the Vice President and General Counsel. However, ultimate decision-making authority rests with the Chairman, President, and Chief Executive Officer. The CODM reviews financial information presented on a consolidated basis that is accompanied by certain disaggregated information about operating revenue, expenses, net income, and total assets. The CODM uses the net income to assess the financial performance of the segments and allocate resources (including employees, financial, or capital resources) in the budgeting and forecasting process.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allocated assets, such as goodwill, revenue and expenses have been included in the reportable segment amounts. Certain corporate costs and expenses are not allocated to Water Utility Services or Other Services and are shown separately to reconcile to the applicable consolidated amounts. As previously disclosed, SJW Group updated its segment presentation in the fourth quarter of 2024. Accordingly, prior period information has been recast to conform with the current period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information relating to SJW Group's reportable segment and other business activities:</w:t>
      </w:r>
    </w:p>
    <w:tbl>
      <w:tblPr>
        <w:tblW w:w="10205" w:type="dxa"/>
        <w:jc w:val="left"/>
        <w:tblInd w:w="0" w:type="dxa"/>
        <w:tblLayout w:type="fixed"/>
        <w:tblCellMar>
          <w:top w:w="28" w:type="dxa"/>
          <w:left w:w="28" w:type="dxa"/>
          <w:bottom w:w="28" w:type="dxa"/>
          <w:right w:w="28" w:type="dxa"/>
        </w:tblCellMar>
      </w:tblPr>
      <w:tblGrid>
        <w:gridCol w:w="1292"/>
        <w:gridCol w:w="1077"/>
        <w:gridCol w:w="1056"/>
        <w:gridCol w:w="281"/>
        <w:gridCol w:w="1106"/>
        <w:gridCol w:w="144"/>
        <w:gridCol w:w="113"/>
        <w:gridCol w:w="113"/>
        <w:gridCol w:w="113"/>
        <w:gridCol w:w="446"/>
        <w:gridCol w:w="397"/>
        <w:gridCol w:w="399"/>
        <w:gridCol w:w="113"/>
        <w:gridCol w:w="113"/>
        <w:gridCol w:w="113"/>
        <w:gridCol w:w="568"/>
        <w:gridCol w:w="568"/>
        <w:gridCol w:w="569"/>
        <w:gridCol w:w="113"/>
        <w:gridCol w:w="113"/>
        <w:gridCol w:w="113"/>
        <w:gridCol w:w="413"/>
        <w:gridCol w:w="413"/>
        <w:gridCol w:w="459"/>
      </w:tblGrid>
      <w:tr>
        <w:trPr/>
        <w:tc>
          <w:tcPr>
            <w:tcW w:w="129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8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2025</w:t>
            </w:r>
          </w:p>
        </w:tc>
      </w:tr>
      <w:tr>
        <w:trPr/>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Reportable Segment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Services (1)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Unallocated Corporate (2)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167,599 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expenses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27,760 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28,282 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18,272 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(3)</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16,551 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84,345 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2"/>
        <w:gridCol w:w="1077"/>
        <w:gridCol w:w="1056"/>
        <w:gridCol w:w="281"/>
        <w:gridCol w:w="1106"/>
        <w:gridCol w:w="144"/>
        <w:gridCol w:w="113"/>
        <w:gridCol w:w="113"/>
        <w:gridCol w:w="113"/>
        <w:gridCol w:w="446"/>
        <w:gridCol w:w="397"/>
        <w:gridCol w:w="399"/>
        <w:gridCol w:w="113"/>
        <w:gridCol w:w="113"/>
        <w:gridCol w:w="113"/>
        <w:gridCol w:w="568"/>
        <w:gridCol w:w="568"/>
        <w:gridCol w:w="569"/>
        <w:gridCol w:w="113"/>
        <w:gridCol w:w="113"/>
        <w:gridCol w:w="113"/>
        <w:gridCol w:w="413"/>
        <w:gridCol w:w="413"/>
        <w:gridCol w:w="459"/>
      </w:tblGrid>
      <w:tr>
        <w:trPr/>
        <w:tc>
          <w:tcPr>
            <w:tcW w:w="129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8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 2024</w:t>
            </w:r>
          </w:p>
        </w:tc>
      </w:tr>
      <w:tr>
        <w:trPr/>
        <w:tc>
          <w:tcPr>
            <w:tcW w:w="3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Reportable Segment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Services (1)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Unallocated Corporate (2)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expenses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(3)</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___________________________________</w:t>
      </w:r>
      <w:r>
        <w:rPr>
          <w:color w:val="000000"/>
        </w:rPr>
        <w:t xml:space="preserve"> </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The “Other Services” category includes the accounts of SJW Land Co, Chester Reality, Inc., SJWC’s Cupertino service concession arrangement operations, TWOS, TWR, and NEWUS, on a stand-alone basis.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(2)    The “Unallocated Corporate” category includes the accounts of SJW Group, SJWNE LLC, SJWTX Holdings, Inc., CTWS, NWU on a stand-alone basis.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(3)    Primarily comprised of pension non-service credit (cost) and items of miscellaneous non-operating income (expense).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SJW Group’s assets for the Water Utility Services reportable segment and all other are as follows as of:</w:t>
      </w:r>
    </w:p>
    <w:tbl>
      <w:tblPr>
        <w:tblW w:w="6854" w:type="dxa"/>
        <w:jc w:val="left"/>
        <w:tblInd w:w="0" w:type="dxa"/>
        <w:tblLayout w:type="fixed"/>
        <w:tblCellMar>
          <w:top w:w="28" w:type="dxa"/>
          <w:left w:w="28" w:type="dxa"/>
          <w:bottom w:w="28" w:type="dxa"/>
          <w:right w:w="28" w:type="dxa"/>
        </w:tblCellMar>
      </w:tblPr>
      <w:tblGrid>
        <w:gridCol w:w="1308"/>
        <w:gridCol w:w="1150"/>
        <w:gridCol w:w="1157"/>
        <w:gridCol w:w="211"/>
        <w:gridCol w:w="976"/>
        <w:gridCol w:w="109"/>
        <w:gridCol w:w="109"/>
        <w:gridCol w:w="109"/>
        <w:gridCol w:w="109"/>
        <w:gridCol w:w="488"/>
        <w:gridCol w:w="488"/>
        <w:gridCol w:w="640"/>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 (reportable segment)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4,567,182 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4,658,309 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2.MANAGEMENT’S DISCUSSION AND ANALYSIS OF FINANCIAL CONDITION AND RESULTS OF OPERATIONS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(Dollar amounts in thousands, except per share amounts and where otherwise noted)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2024.</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SJW Group’s Annual Report on Form 10-K for the year ended December 31, 2024 under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is a holding company whose primary business involves ownership of public utilities that provide water and wastewater services, including the production, purchase, storage, purification, distribution, wholesale and retail sale of water. The water utility business of SJW Group is conducted through the following wholly owned subsidiaries: San Jose Water Company (“SJWC”), The Connecticut Water Company (“CWC”), The Maine Water Company (“MWC”), SJWTX, Inc. doing business as The Texas Water Company (“TWC”). These subsidiaries provide water service to approximately 404,000 connections and wastewater service to approximately 4,000 connections and serve a combined population of over 1.6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 </w:t>
      </w:r>
    </w:p>
    <w:p>
      <w:pPr>
        <w:pStyle w:val="TextBody"/>
        <w:bidi w:val="0"/>
        <w:spacing w:lineRule="auto" w:line="288" w:before="120" w:after="283"/>
        <w:jc w:val="left"/>
        <w:rPr/>
      </w:pPr>
      <w:r>
        <w:rPr>
          <w:rFonts w:ascii="Times New Roman;sans-serif" w:hAnsi="Times New Roman;sans-serif"/>
          <w:b w:val="false"/>
          <w:color w:val="000000"/>
          <w:sz w:val="20"/>
        </w:rPr>
        <w:t xml:space="preserve">Together, </w:t>
      </w:r>
      <w:r>
        <w:rPr>
          <w:rFonts w:ascii="Times New Roman;sans-serif" w:hAnsi="Times New Roman;sans-serif"/>
          <w:b w:val="false"/>
          <w:color w:val="000000"/>
          <w:sz w:val="20"/>
          <w:shd w:fill="FFFFFF" w:val="clear"/>
        </w:rPr>
        <w:t xml:space="preserve">SJWC, excluding the City of Cupertino (“Cupertino”) service concession arrangement operations, CWC, MWC and TWC </w:t>
      </w:r>
      <w:r>
        <w:rPr>
          <w:rFonts w:ascii="Times New Roman;sans-serif" w:hAnsi="Times New Roman;sans-serif"/>
          <w:b w:val="false"/>
          <w:color w:val="000000"/>
          <w:sz w:val="20"/>
        </w:rPr>
        <w:t>are referred to as “Water Utility Services,” which is our single reportable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business activities that are not separately reportable segments are SJWC’s Cupertino service concession arrangement operations, Texas Water Operation Services, LLC (“TWOS”), Texas Water Resources, LLC (“TWR”), New England Water Utility Services, Inc. (“NEWUS”), SJW Land Company and Chester Realty, Inc. and are collectively referred to as “Other Services.”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Business Strategy for Water Utility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focuses its business initiatives in three strategic areas: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(1)Investing in regional regulated water utility operations to support the health, safety and quality of life of our customers;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(2)Regional non-tariffed water utility-related services provided in accordance with the guidelines established by applicable state public utility commissions;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(3)Out-of-region water and utility-related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SJW Group updated its segment presentation in the fourth quarter of 2024. Accordingly, prior period information has been recast to conform with the current period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on the accounting estimates used and disclosed in our 2024 consolidated financial statements and accompanying notes that were prepared in accordance with accounting principles generally accepted in the United States of America and included as part of our Annual Report on Form 10-K for the year ended December 31, 2024, that was filed with the Securities and Exchange Commission on February 28,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in Management’s Discussion and Analysis of Financial Condition and Results of Operations included in our Annual Report on Form 10-K for the year ended December 31, 2024. Our significant accounting policies are described in the notes to the 2024 consolidated financial statements included in our Annual Report on Form 10-K for the year ended December 31, 2024. There have been no changes to critical accounting estimates or significant accounting policies during the three months ended March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1 of “Notes to Unaudited Condensed Consolidated Financial Statements” for a discussion of new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 </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consolidated net income for the three months ended March 31, 2025 was $16,551, an increase of $4,852, or 41%, from $11,699 for the same period in 2024. The increase in net income for the three months ended March 31, 2025 was primarily driven by rate increases in California and Connecticut. These factors were offset by higher water production expenses and increased other operating expenses as discussed below.</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has a single reportable segment, referred to as “Water Utility Services”. All other business activities not separately reportable are included in “Other Services.” Operating revenue for the Water Utility Services reportable segment and Other Services was as follows:</w:t>
      </w:r>
    </w:p>
    <w:tbl>
      <w:tblPr>
        <w:tblW w:w="5495" w:type="dxa"/>
        <w:jc w:val="left"/>
        <w:tblInd w:w="0" w:type="dxa"/>
        <w:tblLayout w:type="fixed"/>
        <w:tblCellMar>
          <w:top w:w="28" w:type="dxa"/>
          <w:left w:w="28" w:type="dxa"/>
          <w:bottom w:w="28" w:type="dxa"/>
          <w:right w:w="28" w:type="dxa"/>
        </w:tblCellMar>
      </w:tblPr>
      <w:tblGrid>
        <w:gridCol w:w="749"/>
        <w:gridCol w:w="658"/>
        <w:gridCol w:w="663"/>
        <w:gridCol w:w="281"/>
        <w:gridCol w:w="1101"/>
        <w:gridCol w:w="145"/>
        <w:gridCol w:w="145"/>
        <w:gridCol w:w="145"/>
        <w:gridCol w:w="145"/>
        <w:gridCol w:w="413"/>
        <w:gridCol w:w="413"/>
        <w:gridCol w:w="156"/>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Revenue by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2070" w:type="dxa"/>
            <w:gridSpan w:val="3"/>
            <w:vMerge w:val="continue"/>
            <w:tcBorders/>
            <w:tcMar>
              <w:top w:w="0" w:type="dxa"/>
              <w:left w:w="0" w:type="dxa"/>
              <w:bottom w:w="0" w:type="dxa"/>
              <w:right w:w="0" w:type="dxa"/>
            </w:tcMar>
            <w:vAlign w:val="center"/>
          </w:tcPr>
          <w:p>
            <w:pPr>
              <w:pStyle w:val="Normal"/>
              <w:bidi w:val="0"/>
              <w:jc w:val="left"/>
              <w:rPr/>
            </w:pPr>
            <w:r>
              <w:rPr/>
            </w:r>
          </w:p>
        </w:tc>
        <w:tc>
          <w:tcPr>
            <w:tcW w:w="2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165,156 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167,599 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revenue was due to the following factors:</w:t>
      </w:r>
    </w:p>
    <w:tbl>
      <w:tblPr>
        <w:tblW w:w="5436" w:type="dxa"/>
        <w:jc w:val="left"/>
        <w:tblInd w:w="0" w:type="dxa"/>
        <w:tblLayout w:type="fixed"/>
        <w:tblCellMar>
          <w:top w:w="28" w:type="dxa"/>
          <w:left w:w="28" w:type="dxa"/>
          <w:bottom w:w="28" w:type="dxa"/>
          <w:right w:w="28" w:type="dxa"/>
        </w:tblCellMar>
      </w:tblPr>
      <w:tblGrid>
        <w:gridCol w:w="1054"/>
        <w:gridCol w:w="924"/>
        <w:gridCol w:w="932"/>
        <w:gridCol w:w="211"/>
        <w:gridCol w:w="721"/>
        <w:gridCol w:w="109"/>
        <w:gridCol w:w="109"/>
        <w:gridCol w:w="109"/>
        <w:gridCol w:w="109"/>
        <w:gridCol w:w="203"/>
        <w:gridCol w:w="203"/>
        <w:gridCol w:w="271"/>
        <w:gridCol w:w="109"/>
        <w:gridCol w:w="109"/>
        <w:gridCol w:w="109"/>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481" w:type="dxa"/>
            <w:gridSpan w:val="4"/>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Consumption changes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Rate increases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Pass-through water costs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 other increases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Regulatory mechanisms</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Consists of rate increases specifically associated with changes in the water supply costs that are passed through to customers.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(2)    Primarily associated with general rate cases and related annual escalation adjustments, infrastructure surcharges, and cost of capital adjustments.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(3)    Excludes portion attributable to rate increases, which are shown in the rate increase lines above.</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is summarized below:</w:t>
      </w:r>
    </w:p>
    <w:tbl>
      <w:tblPr>
        <w:tblW w:w="5364" w:type="dxa"/>
        <w:jc w:val="left"/>
        <w:tblInd w:w="0" w:type="dxa"/>
        <w:tblLayout w:type="fixed"/>
        <w:tblCellMar>
          <w:top w:w="28" w:type="dxa"/>
          <w:left w:w="28" w:type="dxa"/>
          <w:bottom w:w="28" w:type="dxa"/>
          <w:right w:w="28" w:type="dxa"/>
        </w:tblCellMar>
      </w:tblPr>
      <w:tblGrid>
        <w:gridCol w:w="711"/>
        <w:gridCol w:w="624"/>
        <w:gridCol w:w="629"/>
        <w:gridCol w:w="277"/>
        <w:gridCol w:w="1088"/>
        <w:gridCol w:w="143"/>
        <w:gridCol w:w="143"/>
        <w:gridCol w:w="143"/>
        <w:gridCol w:w="143"/>
        <w:gridCol w:w="413"/>
        <w:gridCol w:w="413"/>
        <w:gridCol w:w="156"/>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Expense by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128,980 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expense was due to the following factors:</w:t>
      </w:r>
    </w:p>
    <w:tbl>
      <w:tblPr>
        <w:tblW w:w="10205" w:type="dxa"/>
        <w:jc w:val="left"/>
        <w:tblInd w:w="0" w:type="dxa"/>
        <w:tblLayout w:type="fixed"/>
        <w:tblCellMar>
          <w:top w:w="28" w:type="dxa"/>
          <w:left w:w="28" w:type="dxa"/>
          <w:bottom w:w="28" w:type="dxa"/>
          <w:right w:w="28" w:type="dxa"/>
        </w:tblCellMar>
      </w:tblPr>
      <w:tblGrid>
        <w:gridCol w:w="2815"/>
        <w:gridCol w:w="2428"/>
        <w:gridCol w:w="2434"/>
        <w:gridCol w:w="211"/>
        <w:gridCol w:w="721"/>
        <w:gridCol w:w="109"/>
        <w:gridCol w:w="109"/>
        <w:gridCol w:w="109"/>
        <w:gridCol w:w="109"/>
        <w:gridCol w:w="203"/>
        <w:gridCol w:w="203"/>
        <w:gridCol w:w="271"/>
        <w:gridCol w:w="109"/>
        <w:gridCol w:w="109"/>
        <w:gridCol w:w="109"/>
        <w:gridCol w:w="156"/>
      </w:tblGrid>
      <w:tr>
        <w:trPr/>
        <w:tc>
          <w:tcPr>
            <w:tcW w:w="2815"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483" w:type="dxa"/>
            <w:gridSpan w:val="4"/>
            <w:tcBorders/>
          </w:tcPr>
          <w:p>
            <w:pPr>
              <w:pStyle w:val="TableContents"/>
              <w:bidi w:val="0"/>
              <w:spacing w:before="0" w:after="283"/>
              <w:jc w:val="left"/>
              <w:rPr>
                <w:sz w:val="4"/>
                <w:szCs w:val="4"/>
              </w:rPr>
            </w:pPr>
            <w:r>
              <w:rPr>
                <w:sz w:val="4"/>
                <w:szCs w:val="4"/>
              </w:rPr>
            </w:r>
          </w:p>
        </w:tc>
      </w:tr>
      <w:tr>
        <w:trPr/>
        <w:tc>
          <w:tcPr>
            <w:tcW w:w="767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production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surface water use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usage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new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 and groundwater extraction charge, energy price change and other production expenses,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Balancing and memorandum account cost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production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operating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Sources of Water Supply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SJWC’s water supply consists of groundwater from wells, surface water from watershed run-off and diversion, reclaimed water, and imported water purchased from Santa Clara Valley Water District (“Valley Water”) under the terms of a master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tracked in SJWC’s Full Cost Balancing Account (“FCBA”) authorized by the California Public Utilities Commission (“CPUC”) for cost recovery.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water conditions remained positive across the State of California. As a result, the California Department of Water Resources (“DWR”) announced an increase in the State Water Project allocation from 35% to 40% of contract amount for 2025 and the U.S. Bureau of Reclamation kept the Central Valley Project allocation at 75%. On April 1, 2025, Valley Water’s 10 reservoirs were 89% of restricted capacity, with 18.1 billion gallons of water in storage. Valley Water’s largest reservoir, Anderson, remained drained for a dam seismic retrofit project. Valley Water also reported that the managed groundwater recharge from January 2025 to March 2025 in the Santa Clara Plain was 72% of the five-year average. The groundwater level in the Santa Clara Plain is approximately 15 feet lower than March 2024. According to Valley Water, the projected total groundwater storage at the end of 2025 is expected to be in the Normal Stage of the Water Shortage Contingency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SJWC’s Lake Elsman was 100% of capacity with 2.0 billion gallons of water, 159.2% of the five-year seasonal average. In addition, the rainfall at SJWC’s Lake Elsman was measured at 37.34 inches for the period from July 1, 2024 through March 31, 2025, which is 90.7% of the five-year average. SJWC’s Montevina Water Treatment Plant treated 0.7 billion gallons of water for the first quarter of 2025, which is 96.1% of the five-year average. SJWC’s Saratoga Water Treatment Plant was granted approval by the Division of Drinking Water to resume operation in the first quarter of 2025 but provided no meaningful production while going through startup activities. SJWC believes that its various sources of water supply will be sufficient to meet customer demand in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faces long-term water supply challenges. SJWC actively works with Valley Water to meet these challenges by continuing to educate customers on responsible water use practices and conducting long-range water supply planning. Valley Water’s 15% voluntary call for conservation and certain watering and water waste rules established in 2023, are still in place for 2025. The call for continued conservation is due to a major storage reservoir currently offline for seismic retrofits.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CWC’s water sources vary among the individual systems, but overall, approximately 60% of the total dependable yield comes from surface water supplies and 40% from wells. In addition, CWC has water supply agreements to supplement its water supply with the South Central Connecticut Regional Water Authority and The Metropolitan District that expire in 2058 and 2053, respectively. CWC believes that it will be able to meet customer demand for 2025 with its existing water supply which consists of groundwater from wells, surface water in reservoirs and purchased water treated by neighboring water utilities.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TWC’s water supply consists of groundwater from wells and purchased treated and untreated raw water from local water agencies. TWC has long-term agreements with the Guadalupe-Blanco River Authority (“GBRA”), which expire in 2037, 2040, 2044 and 2050. The agreements, which are take-or-pay contracts, provide TWC with an aggregate of approximately 7,602 acre-feet of water per year from Canyon Lake at prices that may be adjusted periodically by GBRA. TWC also has raw water supply agreements with the Lower Colorado River Authority and West Travis County Public Utility Agency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TWC also owns eight wells and the associated water rights of KT Water Resources, LLC. These wells have been projected to yield at least 6,000 acre-feet per year. Development of the KT Water System continues. TWC expects to meet customer demand for 2025 with TWC’s water supply which consists of groundwater from wells, surface water and purchased treated and raw water from the GBRA, based on current conditions.</w:t>
      </w:r>
    </w:p>
    <w:p>
      <w:pPr>
        <w:pStyle w:val="TextBody"/>
        <w:bidi w:val="0"/>
        <w:spacing w:lineRule="auto" w:line="288" w:before="120" w:after="283"/>
        <w:jc w:val="left"/>
        <w:rPr/>
      </w:pPr>
      <w:r>
        <w:rPr>
          <w:rFonts w:ascii="Times New Roman;sans-serif" w:hAnsi="Times New Roman;sans-serif"/>
          <w:b w:val="false"/>
          <w:color w:val="000000"/>
          <w:sz w:val="20"/>
        </w:rPr>
        <w:t xml:space="preserve">The Texas service area is currently experiencing drought conditions </w:t>
      </w:r>
      <w:r>
        <w:rPr>
          <w:rFonts w:ascii="Times New Roman;sans-serif" w:hAnsi="Times New Roman;sans-serif"/>
          <w:b w:val="false"/>
          <w:color w:val="212121"/>
          <w:sz w:val="20"/>
        </w:rPr>
        <w:t>that result in water usage restrictions for customers</w:t>
      </w:r>
      <w:r>
        <w:rPr>
          <w:rFonts w:ascii="Times New Roman;sans-serif" w:hAnsi="Times New Roman;sans-serif"/>
          <w:b w:val="false"/>
          <w:color w:val="000000"/>
          <w:sz w:val="20"/>
        </w:rPr>
        <w:t xml:space="preserve">. </w:t>
      </w:r>
      <w:r>
        <w:rPr>
          <w:rFonts w:ascii="Times New Roman;sans-serif" w:hAnsi="Times New Roman;sans-serif"/>
          <w:b w:val="false"/>
          <w:color w:val="212121"/>
          <w:sz w:val="20"/>
        </w:rPr>
        <w:t xml:space="preserve">Significant future capital investment of transmission main and storage facilities in addition to developing additional supply sources is planned for 2025 and beyond.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sources at MWC vary among the individual systems, but overall, approximately 90% of the total dependable yield comes from surface water supplies and 10% from wells. MWC has a water supply agreement with the Kennebec Water District expiring in 2040. MWC believes that it will be able to meet customer demand for 2025 with its existing water supply which consists of groundwater from wells, surface water in reservoirs and purchased water treated by neighboring water utilities.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 in sources of water supply:</w:t>
      </w:r>
    </w:p>
    <w:tbl>
      <w:tblPr>
        <w:tblW w:w="7727" w:type="dxa"/>
        <w:jc w:val="left"/>
        <w:tblInd w:w="0" w:type="dxa"/>
        <w:tblLayout w:type="fixed"/>
        <w:tblCellMar>
          <w:top w:w="28" w:type="dxa"/>
          <w:left w:w="28" w:type="dxa"/>
          <w:bottom w:w="28" w:type="dxa"/>
          <w:right w:w="28" w:type="dxa"/>
        </w:tblCellMar>
      </w:tblPr>
      <w:tblGrid>
        <w:gridCol w:w="531"/>
        <w:gridCol w:w="467"/>
        <w:gridCol w:w="471"/>
        <w:gridCol w:w="261"/>
        <w:gridCol w:w="261"/>
        <w:gridCol w:w="261"/>
        <w:gridCol w:w="261"/>
        <w:gridCol w:w="261"/>
        <w:gridCol w:w="261"/>
        <w:gridCol w:w="261"/>
        <w:gridCol w:w="261"/>
        <w:gridCol w:w="261"/>
        <w:gridCol w:w="109"/>
        <w:gridCol w:w="109"/>
        <w:gridCol w:w="109"/>
        <w:gridCol w:w="279"/>
        <w:gridCol w:w="279"/>
        <w:gridCol w:w="281"/>
        <w:gridCol w:w="109"/>
        <w:gridCol w:w="109"/>
        <w:gridCol w:w="109"/>
        <w:gridCol w:w="333"/>
        <w:gridCol w:w="333"/>
        <w:gridCol w:w="833"/>
        <w:gridCol w:w="109"/>
        <w:gridCol w:w="109"/>
        <w:gridCol w:w="109"/>
        <w:gridCol w:w="109"/>
        <w:gridCol w:w="109"/>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(billion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water</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Reclaimed water</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source of supply mix were consistent with the changes in the water production expenses.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Water Production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water production expenses of $7,173 for the three months ended March 31, 2025, compared to the same period in 2024, was primarily attributable to increases in average per unit costs for purchased water and groundwater extraction, decreases in availability of surface water, and increases in production volume, offset by decreases resulting from regulatory adjustments through SJWC’s FCBA. Effective July 1, 2024, Valley Water increased the unit price of purchased water by approximately 12% and the groundwater extraction charge by approximately 13% for SJWC.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excluding water production expenses, increased $3,061 for the three months ended March 31, 2025, compared to the same period in 2024. The increase was primarily attributable to increases in expenses related to general and administrative expenses for customer credit losses and insurance costs and an increase in maintenance costs.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(Expense)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compared to the same period in 2024, the change in other (expense) income was primarily due to lower income from certain service and other activities and higher interest expense on long-term debt offset by increases in pension non-service credit.</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compared to the same period in 2024, income tax expense increased $1,240. The effective consolidated income tax rates were 17% and 16% for the three months ended March 31, 2025 and 2024, respectively. The increase in income tax expense for the three months ended March 31, 2025 was primarily due to a higher pre-tax income.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Regulation and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pStyle w:val="TextBody"/>
        <w:bidi w:val="0"/>
        <w:spacing w:lineRule="auto" w:line="256" w:before="160" w:after="283"/>
        <w:jc w:val="left"/>
        <w:rPr/>
      </w:pPr>
      <w:r>
        <w:rPr>
          <w:rFonts w:ascii="Times New Roman;sans-serif" w:hAnsi="Times New Roman;sans-serif"/>
          <w:b w:val="false"/>
          <w:color w:val="000000"/>
          <w:sz w:val="20"/>
        </w:rPr>
        <w:t xml:space="preserve">Please also see </w:t>
      </w:r>
      <w:hyperlink w:anchor="i23cfdb6952044062875645e492651271_37">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of “Notes to Condensed Consolidated Financial Statements.”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California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 2024, SJWC filed General Rate Case Application No. 24-01-001 with the CPUC to increase rates charged for water service by $55,196 or 11.11% in 2025, by $22,041 or 3.99% in 2026, and by $25,809 or 4.49% in 2027. The application proposed a $540,000 three-year capital budget and includes requests to recover $23,462 from balancing and memorandum accounts, further alignment between actual and authorized usage, and a shift to greater revenue collection in the service charge. On December 19, 2024, the CPUC approved a final decision, Decision No. 24-12-077, for rate increases of $21,318 or 3.91% in 2025, $14,432 or 2.55% in 2026, and $17,373 or 2.98% in 2027. The decision also provides a three-year capital budget of $450,000 and recovery of $15,792 in balancing and memorandum accounts.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18, 2024, SJWC, along with three other California water utilities, filed a joint request for a one-year deferment on the cost of capital filings which would otherwise be due on May 1, 2025. Postponing the filing a year alleviates administrative processing costs on the utilities as well as the CPUC staff and provides relief for both CPUC and utility resources already strained by numerous other proceedings. The request was conditioned on leaving the current Water Cost of Capital Mechanism in place such that any adjustments will be made to the respective utilities’ cost of capital during the one-year deferment based on the mechanism. The request was approved on January 14,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613 on December 20, 2024, to increase the authorized revenue requirement by $21,318, or 3.91%, and implement new water rates and recover $15,792 in balancing and memorandum accounts in accordance with Decision No. 24-12-077. This filing was approved with an effective date of January 1, 2025.</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Connecticut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28, 2025, CWC filed for a Water Infrastructure Conservation Adjustment (“WICA”) increase of $1,600 in annualized revenues for $15,700 in completed projects. On March 26, 2025, PURA approved the filing in its entirety. The cumulative WICA surcharge as of April 1, 2025, is 4.90%, collecting $6,000 on an annual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2025, CWC filed its 2024 Water Rate Adjustment mechanism (“WRA”). The mechanism reconciles 2024 revenues as authorized in the CWC’s most recent rate case as well as provides for recovery of certain amounts of executive compensation as the result of the achievement of performance metrics as prescribed by PURA. The 2024 WRA surcharge of 3.62%, approved by PURA on March 26, 2025, is effective for 12 months beginning April 1,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6, 2025, CWC submitted an application requesting that PURA approve the issuance of $19,402 in Drinking Water State Revolving Fund Loans that the Company proposes to use to fund three projects pertaining to: (1) the interconnection of the Green Springs Water System in Madison, Connecticut with the Guilford Water System; (2) a facility for centralized treatment of raw water from certain wells in CWC’s Gallup System in Plainfield, Connecticut; and (3) a Lead Service Line Identification Program. PURA issued a proposed final decision on April 11, 2025 approving the Company’s request. A final decision is forthcoming.</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Texas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TWC has no current general rate case pending. However, it filed its application to establish a System Improvement Charge (“SIC”) with the Public Utilities Commission of Texas (“PUCT”) under Docket No. 54430 on December 30, 2022. SIC filings are used to include certain utility plant additions made since 2020, thereby increasing revenue and avoiding the immediate need for a general rate case. TWC’s SIC application included capital investment that improves its water and wastewater systems to better serve its customers. On March 21, 2024, the PUCT filed the final order approving TWC’s request to implement its SIC which applies to certain customers. As a result of this final order, TWC increased its annual water rates by $1,574 and its annual sewer rates by $28 on an annual basis. On September 12, 2024, TWC filed its application to amend its SIC with the PUCT under Docket No. 56974. Its amended SIC will apply to all customers and seeks to increase its annual water revenue by $3,915 and its annual sewer revenue by $195, in addition to the original SIC filed with the PUCT under Docket No. 54430 on December 30, 2022. On October 14, 2024, the PUCT notified TWC that the filing was administratively complete in order to establish a procedural schedule. TWC expects to receive the final approval from the PUCT in the second quarter of 2025. Additionally, TWC is required to file a general rate case on or before March 21, 2028. Notwithstanding any SIC filing, TWC will continue to file its annual adjustments for the Water Pass-through Charges (“WPC”) for Canyon Lake, Deer Creek, Kendall West, Clear Water Estates, and Saddleridge customers. All water supply cost increases are recoverable when the next annual WPC adjustment for each system is filed.</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Maine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25, 2024, MWC filed an application with MPUC to adjust customer rates in the Camden Rockland division. The proposal requested an increase in annual revenues of approximately $1,057, or 15.9%, over current authorized revenues. A decision is expected in the second quarter of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31, 2024, MWC filed for a unified tariff across its 10 separate rate divisions. A decision in this case is expected in the fourth quarter of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2025, MWC filed a Water Infrastructure Surcharge in both the Oakland and Biddeford Saco divisions. The combined requested surcharge is 3.00% or $547. A decision is expected in the second quarter of 2025.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SJW Group generated cash flows from operations of $43,181, compared to $51,216 for the same period in 2024.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decreased by $8,035 for the three months ended March 31, 2025 from the same period in the prior year. This decrease was the result of a combination of the following factors: (1) a decrease of $6,631 attributable to changes in payments related to accounts payable and other current liabilities, (2) a decrease attributable to accounts receivable and accrued unbilled utility revenue of $6,555, (3) a decrease of $6,330 attributable to changes in regulatory assets and liabilities,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lower surcharge collections on balancing and memorandum accounts, offset by (4) general working capital and net income, adjusted for non-cash items and tax accruals, increased by $6,014, and (5) an increase of $5,467 attributable to changes in payments of amounts previously invoiced and accrued for production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Water Utility Services’ write-offs for credit losses represented less than 1% of its total revenue, unchanged from March 31, 2024. Management believes that the collection rate will continue to improve for its accounts receivables as service disconnections return to normal operations.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2025, increased by $10,486 from the same period in the prior year, primarily as a result of (1) an increase in company-funded capital expenditures of $8,582, (2) an increase for developer-funded capital expenditures of $2,252, offset by a (3) decrease of $348 in utility plant retirement and other costs.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for the three months ended March 31, 2025 increased by $36,284 from the same period in the prior year, primarily as a result of (1) an increase attributable to lower repayments on long-term debt of $39,900, (2) an increase in net proceeds from our common stock equity offerings of $19,539, (3) an increase in cash receipts of advances and contributions in aid of construction of $7,553, offset by (4) a decrease in proceeds of $25,000 from the issuance of long-term debt and (5) a decrease in net borrowings on the lines of credit of $4,899. </w:t>
      </w:r>
    </w:p>
    <w:p>
      <w:pPr>
        <w:pStyle w:val="TextBody"/>
        <w:bidi w:val="0"/>
        <w:spacing w:lineRule="auto" w:line="288" w:before="160" w:after="283"/>
        <w:ind w:left="0" w:right="0" w:firstLine="630"/>
        <w:jc w:val="left"/>
        <w:rPr>
          <w:rFonts w:ascii="Times New Roman;sans-serif" w:hAnsi="Times New Roman;sans-serif"/>
          <w:b/>
          <w:color w:val="000000"/>
          <w:sz w:val="20"/>
        </w:rPr>
      </w:pPr>
      <w:r>
        <w:rPr>
          <w:rFonts w:ascii="Times New Roman;sans-serif" w:hAnsi="Times New Roman;sans-serif"/>
          <w:b/>
          <w:color w:val="000000"/>
          <w:sz w:val="20"/>
        </w:rPr>
        <w:t>Budgeted Capital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Water Utility Services’ estimated utility capital expenditures for 2025, exclusive of capital expenditures financed by customer contributions and advances, are anticipated to be approximately $451,000. The budgeted capital expenditures exclude capitalizable costs of $22,000 budgeted in 2025 that are associated with cloud-based computing arrangements. As of March 31, 2025, $77,461, or 17%, of the $451,000 has been invested.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 capital expenditures are incurred in connection with normal upgrading and expansion of existing facilities and to comply with environmental regulations. Over the next five years, Water Utility Services expects to incur approximately $1,900,000 in capital expenditures, which includes replacement of pipes and mains, maintaining water systems, and installing approximately $300,000 in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these capital expenditures, Water Utility Services expects to incur approximately $105,000 over the next five years, including $22,000 in 2025, in capitalizable costs associated with cloud-based computing arrangements. For the three months ended March 31, 2025, Water Utility Services’ incurred $756 in cloud-based computing expenses.</w:t>
      </w:r>
    </w:p>
    <w:p>
      <w:pPr>
        <w:pStyle w:val="TextBody"/>
        <w:bidi w:val="0"/>
        <w:spacing w:before="120" w:after="283"/>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Sources of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and its subsidiaries have unsecured line of credit agreements where borrowings are used to refinance existing debt, for working capital, and for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line of credit agreements as of March 31, 2025 are as follows:</w:t>
      </w:r>
    </w:p>
    <w:tbl>
      <w:tblPr>
        <w:tblW w:w="9571" w:type="dxa"/>
        <w:jc w:val="left"/>
        <w:tblInd w:w="0" w:type="dxa"/>
        <w:tblLayout w:type="fixed"/>
        <w:tblCellMar>
          <w:top w:w="28" w:type="dxa"/>
          <w:left w:w="28" w:type="dxa"/>
          <w:bottom w:w="28" w:type="dxa"/>
          <w:right w:w="28" w:type="dxa"/>
        </w:tblCellMar>
      </w:tblPr>
      <w:tblGrid>
        <w:gridCol w:w="1042"/>
        <w:gridCol w:w="917"/>
        <w:gridCol w:w="920"/>
        <w:gridCol w:w="504"/>
        <w:gridCol w:w="504"/>
        <w:gridCol w:w="506"/>
        <w:gridCol w:w="109"/>
        <w:gridCol w:w="109"/>
        <w:gridCol w:w="109"/>
        <w:gridCol w:w="211"/>
        <w:gridCol w:w="826"/>
        <w:gridCol w:w="109"/>
        <w:gridCol w:w="109"/>
        <w:gridCol w:w="109"/>
        <w:gridCol w:w="109"/>
        <w:gridCol w:w="564"/>
        <w:gridCol w:w="564"/>
        <w:gridCol w:w="566"/>
        <w:gridCol w:w="109"/>
        <w:gridCol w:w="109"/>
        <w:gridCol w:w="109"/>
        <w:gridCol w:w="426"/>
        <w:gridCol w:w="400"/>
        <w:gridCol w:w="531"/>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 Portion</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Syndicated credit agreement:</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TWC</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syndicated credit agreement</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189,000 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152,590 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197,410 </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___________________________________</w:t>
      </w:r>
      <w:r>
        <w:rPr>
          <w:color w:val="000000"/>
        </w:rPr>
        <w:t xml:space="preserve"> </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On April 15, 2025, CTWS extended the maturity date on its $40,000 credit agreement from May 15, 2025 to August 13,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cost of borrowing on the lines of credit averaged 5.47% compared to 6.54% in the same period in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March 31, 2025, SJW Group and its subsidiaries were in compliance with all covenants on their lines of credit.</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Long-term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March 31, 2025, SJW Group and its subsidiaries were in compliance with all covenants in their long-term debt agreements.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Financing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2024, SJW Group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The Equity Distribution Agreement replaced the previous agreement that ended in 2024. For the three months ended March 31, 2025, SJW Group issued and sold a total of 495,900 shares of common stock with a weighted average price of $53.87 per share and received $26,545 in net proceeds under the Equity Distribution Agreement. Since the inception of the New Equity Distribution Agreement, SJW Group has issued and sold 871,413 shares of common stock at a weighted average price of $54.56 for a total net proceeds of $46,713 and has $152,460 of aggregate gross sales price of shares remaining to issue under the Equity Distribution Agreement as of March 31, 2025.</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Credit Rating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2025 and 2024 activities, we will have access to the external funding sources necessary to implement our ongoing capital investment programs in the future. On March 17, 2025, Standard &amp; Poor’s Ratings Services revised the outlook for SJW Group, CTWS and CWC from negative to stable.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current Standard &amp; Poor’s Ratings Services assigned company ratings:</w:t>
      </w:r>
    </w:p>
    <w:tbl>
      <w:tblPr>
        <w:tblW w:w="3041"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200"/>
        <w:gridCol w:w="200"/>
        <w:gridCol w:w="201"/>
        <w:gridCol w:w="109"/>
        <w:gridCol w:w="109"/>
        <w:gridCol w:w="109"/>
        <w:gridCol w:w="220"/>
        <w:gridCol w:w="220"/>
        <w:gridCol w:w="311"/>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Outlook</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 </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has no derivative financial instruments, financial instruments with significant off-balance sheet risks, or financial instruments with concentrations of credit risk.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internal control over financial reporting during the first fiscal quarter of 2025 that has materially affected, or is reasonably likely to materially affect, the internal controls over financial reporting of SJW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is subject to ordinary routine litigation incidental to its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CWC, a subsidiary of SJW Group, was named as a defendant in a putative class action lawsuit alleging that the water provided by CWC contained contaminants. The case is currently pending in the State of Connecticut Superior Court. CWC is vigorously defending itself in this lawsuit.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MDL, that commenced on December 7, 2018, in the United States District Court for the District of South Carolina. MWC has submitted timely claims as a settlement class member.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On November 22, 2024, the MDL court approved settlements involving defendants Tyco Fire Products LP, Chemgaurd, Inc., and BASF Corporation. SJW Group is entitled to a portion of the settlements and is monitoring and evaluating the ongoing litigation and settlement activity with the PFAS manufacturers for potential impacts to the various claims that these utility subsidiaries have asserted.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“Risk Factors” in SJW Group’s annual report on Form 10-K for the year ended December 31, 2024 and our other public filings, which could materially affect our business, financial condition or future results. There have been no material changes from risk factors previously disclosed in “Risk Factors” in SJW Group’s annual report on Form 10-K for the year ended December 31,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Quarterly Dividend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25, 2025, the Board of Directors of SJW Group declared the regular quarterly dividend of $0.42 per share of common stock. The dividend will be paid on June 2, 2025, to stockholders of record as of the close of business on May 12, 2025.</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Insider Trading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quarter ended March 31, 2025,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Information Web Sites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posts information about the operating and financial performance of SJW Group and its subsidiaries on its web sites at www.sjwgroup.com, www.sjwater.com, www.ctwater.com, www.txwaterco.com, and www.mainewater.com from time to time. The information on our web sites is not a part of and should not be considered incorporated by reference into this Form 10-Q.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9"/>
        <w:gridCol w:w="255"/>
        <w:gridCol w:w="257"/>
        <w:gridCol w:w="109"/>
        <w:gridCol w:w="109"/>
        <w:gridCol w:w="109"/>
        <w:gridCol w:w="2647"/>
        <w:gridCol w:w="2647"/>
        <w:gridCol w:w="3783"/>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5xex101.htm">
              <w:r>
                <w:rPr>
                  <w:rStyle w:val="InternetLink"/>
                  <w:rFonts w:ascii="Times New Roman;sans-serif" w:hAnsi="Times New Roman;sans-serif"/>
                  <w:b w:val="false"/>
                  <w:color w:val="000080"/>
                  <w:sz w:val="20"/>
                  <w:u w:val="single"/>
                </w:rPr>
                <w:t>Amended and Restated Director Compensation and Expense Reimbursement Policies</w:t>
              </w:r>
            </w:hyperlink>
            <w:hyperlink w:anchor="sjw-33125xex101.htm">
              <w:r>
                <w:rPr>
                  <w:rStyle w:val="InternetLink"/>
                  <w:rFonts w:ascii="Times New Roman;sans-serif" w:hAnsi="Times New Roman;sans-serif"/>
                  <w:b w:val="false"/>
                  <w:color w:val="000080"/>
                  <w:sz w:val="20"/>
                  <w:u w:val="single"/>
                </w:rPr>
                <w:t xml:space="preserve"> effective Mar</w:t>
              </w:r>
            </w:hyperlink>
            <w:hyperlink w:anchor="sjw-33125xex101.htm">
              <w:r>
                <w:rPr>
                  <w:rStyle w:val="InternetLink"/>
                  <w:rFonts w:ascii="Times New Roman;sans-serif" w:hAnsi="Times New Roman;sans-serif"/>
                  <w:b w:val="false"/>
                  <w:color w:val="000080"/>
                  <w:sz w:val="20"/>
                  <w:u w:val="single"/>
                </w:rPr>
                <w:t>ch 3, 2025</w:t>
              </w:r>
            </w:hyperlink>
            <w:hyperlink w:anchor="sjw-33125xex101.htm">
              <w:r>
                <w:rPr>
                  <w:rStyle w:val="InternetLink"/>
                  <w:rFonts w:ascii="Times New Roman;sans-serif" w:hAnsi="Times New Roman;sans-serif"/>
                  <w:b w:val="false"/>
                  <w:color w:val="000080"/>
                  <w:sz w:val="20"/>
                  <w:u w:val="single"/>
                </w:rPr>
                <w:t>.</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5xex311.htm">
              <w:r>
                <w:rPr>
                  <w:rStyle w:val="InternetLink"/>
                  <w:rFonts w:ascii="Times New Roman;sans-serif" w:hAnsi="Times New Roman;sans-serif"/>
                  <w:b w:val="false"/>
                  <w:color w:val="0000FF"/>
                  <w:sz w:val="20"/>
                  <w:u w:val="single"/>
                </w:rPr>
                <w:t>Certification Pursuant to Rule 13a-14(a)/15d-14(a) by Chairman, President and Chief Executive Officer.</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5xex312.htm">
              <w:r>
                <w:rPr>
                  <w:rStyle w:val="InternetLink"/>
                  <w:rFonts w:ascii="Times New Roman;sans-serif" w:hAnsi="Times New Roman;sans-serif"/>
                  <w:b w:val="false"/>
                  <w:color w:val="000080"/>
                  <w:sz w:val="20"/>
                  <w:u w:val="single"/>
                </w:rPr>
                <w:t>Certification Pursuant to Rule 13a-14(a)/15d-14(a) by Chief Financial Officer</w:t>
              </w:r>
            </w:hyperlink>
            <w:hyperlink w:anchor="sjw-33125xex312.htm">
              <w:r>
                <w:rPr>
                  <w:rStyle w:val="InternetLink"/>
                  <w:rFonts w:ascii="Times New Roman;sans-serif" w:hAnsi="Times New Roman;sans-serif"/>
                  <w:b w:val="false"/>
                  <w:color w:val="000080"/>
                  <w:sz w:val="20"/>
                  <w:u w:val="single"/>
                </w:rPr>
                <w:t xml:space="preserve"> and</w:t>
              </w:r>
            </w:hyperlink>
            <w:hyperlink w:anchor="sjw-33125xex312.htm">
              <w:r>
                <w:rPr>
                  <w:rStyle w:val="InternetLink"/>
                  <w:rFonts w:ascii="Times New Roman;sans-serif" w:hAnsi="Times New Roman;sans-serif"/>
                  <w:b w:val="false"/>
                  <w:color w:val="000080"/>
                  <w:sz w:val="20"/>
                  <w:u w:val="single"/>
                </w:rPr>
                <w:t xml:space="preserve"> Treasurer</w:t>
              </w:r>
            </w:hyperlink>
            <w:hyperlink w:anchor="sjw-33125xex312.htm">
              <w:r>
                <w:rPr>
                  <w:rStyle w:val="InternetLink"/>
                  <w:rFonts w:ascii="Times New Roman;sans-serif" w:hAnsi="Times New Roman;sans-serif"/>
                  <w:b w:val="false"/>
                  <w:color w:val="000080"/>
                  <w:sz w:val="20"/>
                  <w:u w:val="single"/>
                </w:rPr>
                <w:t>.</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5xex321.htm">
              <w:r>
                <w:rPr>
                  <w:rStyle w:val="InternetLink"/>
                  <w:rFonts w:ascii="Times New Roman;sans-serif" w:hAnsi="Times New Roman;sans-serif"/>
                  <w:b w:val="false"/>
                  <w:color w:val="0000FF"/>
                  <w:sz w:val="20"/>
                  <w:u w:val="single"/>
                </w:rPr>
                <w:t>Certification Pursuant to 18 U.S.C. Section 1350 by Chairman, President and Chief Executive Officer, 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5xex322.htm">
              <w:r>
                <w:rPr>
                  <w:rStyle w:val="InternetLink"/>
                  <w:rFonts w:ascii="Times New Roman;sans-serif" w:hAnsi="Times New Roman;sans-serif"/>
                  <w:b w:val="false"/>
                  <w:color w:val="000080"/>
                  <w:sz w:val="20"/>
                  <w:u w:val="single"/>
                </w:rPr>
                <w:t>Certification Pursuant to 18 U.S.C. Section 1350 by Chief Financial Officer</w:t>
              </w:r>
            </w:hyperlink>
            <w:hyperlink w:anchor="sjw-33125xex322.htm">
              <w:r>
                <w:rPr>
                  <w:rStyle w:val="InternetLink"/>
                  <w:rFonts w:ascii="Times New Roman;sans-serif" w:hAnsi="Times New Roman;sans-serif"/>
                  <w:b w:val="false"/>
                  <w:color w:val="000080"/>
                  <w:sz w:val="20"/>
                  <w:u w:val="single"/>
                </w:rPr>
                <w:t xml:space="preserve"> and</w:t>
              </w:r>
            </w:hyperlink>
            <w:hyperlink w:anchor="sjw-33125xex322.htm">
              <w:r>
                <w:rPr>
                  <w:rStyle w:val="InternetLink"/>
                  <w:rFonts w:ascii="Times New Roman;sans-serif" w:hAnsi="Times New Roman;sans-serif"/>
                  <w:b w:val="false"/>
                  <w:color w:val="000080"/>
                  <w:sz w:val="20"/>
                  <w:u w:val="single"/>
                </w:rPr>
                <w:t xml:space="preserve"> Treasurer </w:t>
              </w:r>
            </w:hyperlink>
            <w:hyperlink w:anchor="sjw-33125xex322.htm">
              <w:r>
                <w:rPr>
                  <w:rStyle w:val="InternetLink"/>
                  <w:rFonts w:ascii="Times New Roman;sans-serif" w:hAnsi="Times New Roman;sans-serif"/>
                  <w:b w:val="false"/>
                  <w:color w:val="000080"/>
                  <w:sz w:val="20"/>
                  <w:u w:val="single"/>
                </w:rPr>
                <w:t>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(1)Filed currently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3cfdb6952044062875645e49265127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5995" w:type="dxa"/>
        <w:jc w:val="left"/>
        <w:tblInd w:w="0" w:type="dxa"/>
        <w:tblLayout w:type="fixed"/>
        <w:tblCellMar>
          <w:top w:w="28" w:type="dxa"/>
          <w:left w:w="28" w:type="dxa"/>
          <w:bottom w:w="28" w:type="dxa"/>
          <w:right w:w="28" w:type="dxa"/>
        </w:tblCellMar>
      </w:tblPr>
      <w:tblGrid>
        <w:gridCol w:w="206"/>
        <w:gridCol w:w="181"/>
        <w:gridCol w:w="183"/>
        <w:gridCol w:w="439"/>
        <w:gridCol w:w="439"/>
        <w:gridCol w:w="441"/>
        <w:gridCol w:w="134"/>
        <w:gridCol w:w="134"/>
        <w:gridCol w:w="136"/>
        <w:gridCol w:w="109"/>
        <w:gridCol w:w="109"/>
        <w:gridCol w:w="109"/>
        <w:gridCol w:w="987"/>
        <w:gridCol w:w="987"/>
        <w:gridCol w:w="1401"/>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SJW GROUP</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Date: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ANDREW F. WALTERS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F. Walters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SJW GROUP</w:t>
      </w:r>
    </w:p>
    <w:p>
      <w:pPr>
        <w:pStyle w:val="TextBody"/>
        <w:bidi w:val="0"/>
        <w:spacing w:before="0" w:after="0"/>
        <w:jc w:val="left"/>
        <w:rPr/>
      </w:pPr>
      <w:r>
        <w:rPr/>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AMENDED AND RESTATED DIRECTOR COMPENSATION AND</w:t>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EXPENSE REIMBURSEMENT POLICIES</w:t>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Effective as of March 3, 2025</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2"/>
        </w:rPr>
        <w:t>I.</w:t>
      </w:r>
      <w:r>
        <w:rPr>
          <w:color w:val="000000"/>
        </w:rPr>
        <w:t xml:space="preserve"> </w:t>
      </w:r>
      <w:r>
        <w:rPr>
          <w:rFonts w:ascii="Times New Roman;sans-serif" w:hAnsi="Times New Roman;sans-serif"/>
          <w:b/>
          <w:color w:val="000000"/>
          <w:sz w:val="22"/>
          <w:u w:val="single"/>
        </w:rPr>
        <w:t>DIRECTOR COMPENSATION</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color w:val="000000"/>
          <w:sz w:val="22"/>
        </w:rPr>
      </w:pPr>
      <w:r>
        <w:rPr>
          <w:rFonts w:ascii="Times New Roman;sans-serif" w:hAnsi="Times New Roman;sans-serif"/>
          <w:b/>
          <w:color w:val="000000"/>
          <w:sz w:val="22"/>
        </w:rPr>
        <w:t>A.    ROLE OF THE EXECUTIVE COMPENSATION COMMITTEE</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SJW Group (the “Corporation”) Board of Directors (the “Board”), through its Executive Compensation Committee, will review, or request management or outside consultants to review, appropriate compensation policies for the directors serving on the Board and its committees. This review may consider board compensation practices of other similar public companies, contributions to Board functions, service as committee chairs, and other appropriate factors. </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color w:val="000000"/>
          <w:sz w:val="22"/>
        </w:rPr>
      </w:pPr>
      <w:r>
        <w:rPr>
          <w:rFonts w:ascii="Times New Roman;sans-serif" w:hAnsi="Times New Roman;sans-serif"/>
          <w:b/>
          <w:color w:val="000000"/>
          <w:sz w:val="22"/>
        </w:rPr>
        <w:t xml:space="preserve">B.    COMPENSATION POLICIES </w:t>
      </w:r>
    </w:p>
    <w:p>
      <w:pPr>
        <w:pStyle w:val="TextBody"/>
        <w:bidi w:val="0"/>
        <w:spacing w:before="0" w:after="0"/>
        <w:ind w:left="0" w:right="0" w:firstLine="720"/>
        <w:jc w:val="left"/>
        <w:rPr/>
      </w:pPr>
      <w:r>
        <w:rPr/>
      </w:r>
    </w:p>
    <w:p>
      <w:pPr>
        <w:pStyle w:val="TextBody"/>
        <w:bidi w:val="0"/>
        <w:spacing w:lineRule="auto" w:line="268" w:before="0" w:after="0"/>
        <w:ind w:left="0" w:right="0" w:firstLine="1260"/>
        <w:jc w:val="left"/>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Annual Retainer</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12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Corporation shall pay the members of its Board who are not employed by the Corporation or any of its subsidiaries (each a “Non-Employee Director”) the following annual retainers: </w:t>
      </w:r>
    </w:p>
    <w:p>
      <w:pPr>
        <w:pStyle w:val="TextBody"/>
        <w:bidi w:val="0"/>
        <w:spacing w:before="0" w:after="0"/>
        <w:ind w:left="0" w:right="0" w:firstLine="720"/>
        <w:jc w:val="both"/>
        <w:rPr/>
      </w:pPr>
      <w:r>
        <w:rPr/>
      </w:r>
    </w:p>
    <w:tbl>
      <w:tblPr>
        <w:tblW w:w="5833" w:type="dxa"/>
        <w:jc w:val="left"/>
        <w:tblInd w:w="0" w:type="dxa"/>
        <w:tblLayout w:type="fixed"/>
        <w:tblCellMar>
          <w:top w:w="28" w:type="dxa"/>
          <w:left w:w="28" w:type="dxa"/>
          <w:bottom w:w="28" w:type="dxa"/>
          <w:right w:w="28" w:type="dxa"/>
        </w:tblCellMar>
      </w:tblPr>
      <w:tblGrid>
        <w:gridCol w:w="968"/>
        <w:gridCol w:w="849"/>
        <w:gridCol w:w="853"/>
        <w:gridCol w:w="461"/>
        <w:gridCol w:w="461"/>
        <w:gridCol w:w="472"/>
        <w:gridCol w:w="517"/>
        <w:gridCol w:w="517"/>
        <w:gridCol w:w="735"/>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Board/Committee</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Role</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22"/>
              </w:rPr>
            </w:pPr>
            <w:r>
              <w:rPr>
                <w:rFonts w:ascii="Times New Roman;sans-serif" w:hAnsi="Times New Roman;sans-serif"/>
                <w:b/>
                <w:color w:val="000000"/>
                <w:sz w:val="22"/>
              </w:rPr>
              <w:t>Annual Retainer</w:t>
            </w:r>
          </w:p>
        </w:tc>
      </w:tr>
      <w:tr>
        <w:trPr/>
        <w:tc>
          <w:tcPr>
            <w:tcW w:w="2670"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Board</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Chair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$225,000</w:t>
            </w:r>
          </w:p>
        </w:tc>
      </w:tr>
      <w:tr>
        <w:trPr/>
        <w:tc>
          <w:tcPr>
            <w:tcW w:w="267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Lead Director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$115,000</w:t>
            </w:r>
          </w:p>
        </w:tc>
      </w:tr>
      <w:tr>
        <w:trPr/>
        <w:tc>
          <w:tcPr>
            <w:tcW w:w="267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Member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$90,000</w:t>
            </w:r>
          </w:p>
        </w:tc>
      </w:tr>
      <w:tr>
        <w:trPr/>
        <w:tc>
          <w:tcPr>
            <w:tcW w:w="2670"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Audit</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Chair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w:t>
            </w:r>
          </w:p>
        </w:tc>
      </w:tr>
      <w:tr>
        <w:trPr/>
        <w:tc>
          <w:tcPr>
            <w:tcW w:w="267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Member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$10,000</w:t>
            </w:r>
          </w:p>
        </w:tc>
      </w:tr>
      <w:tr>
        <w:trPr/>
        <w:tc>
          <w:tcPr>
            <w:tcW w:w="2670"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Compensation</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Chair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$20,000</w:t>
            </w:r>
          </w:p>
        </w:tc>
      </w:tr>
      <w:tr>
        <w:trPr/>
        <w:tc>
          <w:tcPr>
            <w:tcW w:w="267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Member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$7,500</w:t>
            </w:r>
          </w:p>
        </w:tc>
      </w:tr>
      <w:tr>
        <w:trPr/>
        <w:tc>
          <w:tcPr>
            <w:tcW w:w="2670"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Finance</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Chair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$15,000</w:t>
            </w:r>
          </w:p>
        </w:tc>
      </w:tr>
      <w:tr>
        <w:trPr/>
        <w:tc>
          <w:tcPr>
            <w:tcW w:w="267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Member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w:t>
            </w:r>
          </w:p>
        </w:tc>
      </w:tr>
      <w:tr>
        <w:trPr/>
        <w:tc>
          <w:tcPr>
            <w:tcW w:w="2670"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Nominating &amp; Governance</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Chair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$15,000</w:t>
            </w:r>
          </w:p>
        </w:tc>
      </w:tr>
      <w:tr>
        <w:trPr/>
        <w:tc>
          <w:tcPr>
            <w:tcW w:w="2670"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Member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w:t>
            </w:r>
          </w:p>
        </w:tc>
      </w:tr>
      <w:tr>
        <w:trPr/>
        <w:tc>
          <w:tcPr>
            <w:tcW w:w="2670"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Sustainability</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Chair</w:t>
            </w:r>
          </w:p>
        </w:tc>
        <w:tc>
          <w:tcPr>
            <w:tcW w:w="17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$15,000</w:t>
            </w:r>
          </w:p>
        </w:tc>
      </w:tr>
      <w:tr>
        <w:trPr/>
        <w:tc>
          <w:tcPr>
            <w:tcW w:w="2670"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Member</w:t>
            </w:r>
          </w:p>
        </w:tc>
        <w:tc>
          <w:tcPr>
            <w:tcW w:w="17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w:t>
            </w:r>
          </w:p>
        </w:tc>
      </w:tr>
    </w:tbl>
    <w:p>
      <w:pPr>
        <w:pStyle w:val="TextBody"/>
        <w:bidi w:val="0"/>
        <w:spacing w:before="0" w:after="0"/>
        <w:jc w:val="left"/>
        <w:rPr/>
      </w:pPr>
      <w:r>
        <w:rPr/>
      </w:r>
    </w:p>
    <w:p>
      <w:pPr>
        <w:pStyle w:val="TextBody"/>
        <w:bidi w:val="0"/>
        <w:spacing w:lineRule="auto" w:line="268" w:before="0" w:after="0"/>
        <w:ind w:left="0" w:right="0" w:firstLine="1260"/>
        <w:jc w:val="left"/>
        <w:rPr>
          <w:rFonts w:ascii="Times New Roman;sans-serif" w:hAnsi="Times New Roman;sans-serif"/>
          <w:b w:val="false"/>
          <w:color w:val="000000"/>
          <w:sz w:val="22"/>
        </w:rPr>
      </w:pPr>
      <w:r>
        <w:rPr>
          <w:rFonts w:ascii="Times New Roman;sans-serif" w:hAnsi="Times New Roman;sans-serif"/>
          <w:b w:val="false"/>
          <w:color w:val="000000"/>
          <w:sz w:val="22"/>
        </w:rPr>
        <w:t>No additional retainer shall be paid to a Non-Employee Director for serving on the board of directors of a subsidiary (“Subsidiary Board”) of the Corporation, except that the special independent director who will serve on the board of SJWNE LLC (and will not be serving on the Corporation’s Board) will receive an aggregate annual retainer of $57,500 for serving on such board and any other Subsidiary Boards.</w:t>
      </w:r>
    </w:p>
    <w:p>
      <w:pPr>
        <w:pStyle w:val="TextBody"/>
        <w:bidi w:val="0"/>
        <w:spacing w:before="0" w:after="0"/>
        <w:ind w:left="0" w:right="0" w:firstLine="1260"/>
        <w:jc w:val="left"/>
        <w:rPr/>
      </w:pPr>
      <w:r>
        <w:rPr/>
      </w:r>
    </w:p>
    <w:p>
      <w:pPr>
        <w:pStyle w:val="TextBody"/>
        <w:bidi w:val="0"/>
        <w:spacing w:before="0" w:after="0"/>
        <w:ind w:left="0" w:right="0" w:firstLine="1260"/>
        <w:jc w:val="left"/>
        <w:rPr/>
      </w:pPr>
      <w:r>
        <w:rPr/>
      </w:r>
    </w:p>
    <w:p>
      <w:pPr>
        <w:pStyle w:val="TextBody"/>
        <w:bidi w:val="0"/>
        <w:spacing w:before="0" w:after="0"/>
        <w:ind w:left="0" w:right="0" w:firstLine="1260"/>
        <w:jc w:val="left"/>
        <w:rPr/>
      </w:pPr>
      <w:r>
        <w:rPr/>
      </w:r>
    </w:p>
    <w:p>
      <w:pPr>
        <w:pStyle w:val="TextBody"/>
        <w:bidi w:val="0"/>
        <w:spacing w:before="0" w:after="0"/>
        <w:ind w:left="0" w:right="0" w:firstLine="1260"/>
        <w:jc w:val="left"/>
        <w:rPr/>
      </w:pPr>
      <w:r>
        <w:rPr/>
      </w:r>
    </w:p>
    <w:p>
      <w:pPr>
        <w:pStyle w:val="TextBody"/>
        <w:bidi w:val="0"/>
        <w:spacing w:before="0" w:after="0"/>
        <w:ind w:left="0" w:right="0" w:firstLine="1260"/>
        <w:jc w:val="left"/>
        <w:rPr/>
      </w:pPr>
      <w:r>
        <w:rPr/>
      </w:r>
    </w:p>
    <w:p>
      <w:pPr>
        <w:pStyle w:val="TextBody"/>
        <w:bidi w:val="0"/>
        <w:ind w:left="0" w:right="0" w:firstLine="12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260"/>
        <w:jc w:val="left"/>
        <w:rPr/>
      </w:pPr>
      <w:r>
        <w:rPr>
          <w:rFonts w:ascii="Times New Roman;sans-serif" w:hAnsi="Times New Roman;sans-serif"/>
          <w:b w:val="false"/>
          <w:color w:val="000000"/>
          <w:sz w:val="22"/>
        </w:rPr>
        <w:t>2.</w:t>
      </w:r>
      <w:r>
        <w:rPr>
          <w:color w:val="000000"/>
        </w:rPr>
        <w:t xml:space="preserve"> </w:t>
      </w:r>
      <w:r>
        <w:rPr>
          <w:rFonts w:ascii="Times New Roman;sans-serif" w:hAnsi="Times New Roman;sans-serif"/>
          <w:b w:val="false"/>
          <w:color w:val="000000"/>
          <w:sz w:val="22"/>
          <w:u w:val="single"/>
        </w:rPr>
        <w:t>Long-Term Incentive Plan</w:t>
      </w:r>
    </w:p>
    <w:p>
      <w:pPr>
        <w:pStyle w:val="TextBody"/>
        <w:bidi w:val="0"/>
        <w:spacing w:before="0" w:after="0"/>
        <w:jc w:val="left"/>
        <w:rPr/>
      </w:pPr>
      <w:r>
        <w:rPr/>
      </w:r>
    </w:p>
    <w:p>
      <w:pPr>
        <w:pStyle w:val="TextBody"/>
        <w:bidi w:val="0"/>
        <w:spacing w:lineRule="auto" w:line="268" w:before="0" w:after="0"/>
        <w:ind w:left="0" w:right="0" w:firstLine="12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Non-Employee Directors may be eligible to participate in the Corporation’s 2023 Long-Term Incentive Plan (“LTIP”), and as hereafter amended, and may also be eligible to participate in programs now or hereafter established thereunder, as more fully set forth in the LTIP and the programs established thereunder. </w:t>
      </w:r>
    </w:p>
    <w:p>
      <w:pPr>
        <w:pStyle w:val="TextBody"/>
        <w:bidi w:val="0"/>
        <w:spacing w:before="0" w:after="0"/>
        <w:ind w:left="0" w:right="0" w:firstLine="1260"/>
        <w:jc w:val="left"/>
        <w:rPr/>
      </w:pPr>
      <w:r>
        <w:rPr/>
      </w:r>
    </w:p>
    <w:p>
      <w:pPr>
        <w:pStyle w:val="TextBody"/>
        <w:bidi w:val="0"/>
        <w:spacing w:lineRule="auto" w:line="268" w:before="0" w:after="0"/>
        <w:jc w:val="left"/>
        <w:rPr/>
      </w:pPr>
      <w:r>
        <w:rPr>
          <w:rFonts w:ascii="Times New Roman;sans-serif" w:hAnsi="Times New Roman;sans-serif"/>
          <w:b/>
          <w:color w:val="000000"/>
          <w:sz w:val="22"/>
        </w:rPr>
        <w:t>II.</w:t>
      </w:r>
      <w:r>
        <w:rPr>
          <w:color w:val="000000"/>
        </w:rPr>
        <w:t xml:space="preserve"> </w:t>
      </w:r>
      <w:r>
        <w:rPr>
          <w:rFonts w:ascii="Times New Roman;sans-serif" w:hAnsi="Times New Roman;sans-serif"/>
          <w:b/>
          <w:color w:val="000000"/>
          <w:sz w:val="22"/>
          <w:u w:val="single"/>
        </w:rPr>
        <w:t>EXPENSE REIMBURSEMENT</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color w:val="000000"/>
          <w:sz w:val="22"/>
        </w:rPr>
      </w:pPr>
      <w:r>
        <w:rPr>
          <w:rFonts w:ascii="Times New Roman;sans-serif" w:hAnsi="Times New Roman;sans-serif"/>
          <w:b w:val="false"/>
          <w:color w:val="000000"/>
          <w:sz w:val="22"/>
        </w:rPr>
        <w:t>All reasonable expenses incurred by a Non-Employee Director in connection with his or her attendance at the Corporation’s Board meetings, Subsidiary Board meetings, Committee Meeting, or other meetings of the Corporation, which may include the expense of traveling first class for any travel within the United States, shall be reimbursed.</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31.1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Eric W. Thornburg,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6989"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504"/>
        <w:gridCol w:w="1504"/>
        <w:gridCol w:w="21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31.2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F. Walters,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994"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922"/>
        <w:gridCol w:w="922"/>
        <w:gridCol w:w="13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March 31, 2025, as filed with the Securities and Exchange Commission on the date hereof (the “Report”), I, Eric W. Thornburg, President, Chief Executive Officer and Chairman of the Board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5486" w:type="dxa"/>
        <w:jc w:val="center"/>
        <w:tblInd w:w="0" w:type="dxa"/>
        <w:tblLayout w:type="fixed"/>
        <w:tblCellMar>
          <w:top w:w="28" w:type="dxa"/>
          <w:left w:w="28" w:type="dxa"/>
          <w:bottom w:w="28" w:type="dxa"/>
          <w:right w:w="28" w:type="dxa"/>
        </w:tblCellMar>
      </w:tblPr>
      <w:tblGrid>
        <w:gridCol w:w="1850"/>
        <w:gridCol w:w="1630"/>
        <w:gridCol w:w="1634"/>
        <w:gridCol w:w="109"/>
        <w:gridCol w:w="109"/>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March 31, 2025,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3492" w:type="dxa"/>
        <w:jc w:val="center"/>
        <w:tblInd w:w="0" w:type="dxa"/>
        <w:tblLayout w:type="fixed"/>
        <w:tblCellMar>
          <w:top w:w="28" w:type="dxa"/>
          <w:left w:w="28" w:type="dxa"/>
          <w:bottom w:w="28" w:type="dxa"/>
          <w:right w:w="28" w:type="dxa"/>
        </w:tblCellMar>
      </w:tblPr>
      <w:tblGrid>
        <w:gridCol w:w="1129"/>
        <w:gridCol w:w="994"/>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14707</Words>
  <Characters>83234</Characters>
  <CharactersWithSpaces>97223</CharactersWithSpaces>
  <Paragraphs>1698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