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480060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445770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3780" w:right="1580" w:hanging="3772"/>
        <w:spacing w:after="0" w:line="322" w:lineRule="auto"/>
        <w:tabs>
          <w:tab w:leader="none" w:pos="3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2026</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w:t>
      </w:r>
    </w:p>
    <w:p>
      <w:pPr>
        <w:spacing w:after="0" w:line="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00"/>
          </w:cols>
          <w:pgMar w:left="320" w:top="229" w:right="479" w:bottom="1440" w:gutter="0" w:footer="0" w:header="0"/>
        </w:sectPr>
      </w:pPr>
    </w:p>
    <w:p>
      <w:pPr>
        <w:spacing w:after="0" w:line="9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7"/>
          <w:szCs w:val="17"/>
          <w:color w:val="auto"/>
        </w:rPr>
        <w:t>For the transition period from</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102" w:lineRule="exact"/>
        <w:rPr>
          <w:sz w:val="24"/>
          <w:szCs w:val="24"/>
          <w:color w:val="auto"/>
        </w:rPr>
      </w:pPr>
    </w:p>
    <w:p>
      <w:pPr>
        <w:sectPr>
          <w:pgSz w:w="11900" w:h="16838" w:orient="portrait"/>
          <w:cols w:equalWidth="0" w:num="2">
            <w:col w:w="6300" w:space="640"/>
            <w:col w:w="4160"/>
          </w:cols>
          <w:pgMar w:left="320" w:top="229"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Commission file number 001-8966</w:t>
      </w:r>
    </w:p>
    <w:p>
      <w:pPr>
        <w:sectPr>
          <w:pgSz w:w="11900" w:h="16838" w:orient="portrait"/>
          <w:cols w:equalWidth="0" w:num="1">
            <w:col w:w="11100"/>
          </w:cols>
          <w:pgMar w:left="320" w:top="229" w:right="479" w:bottom="1440" w:gutter="0" w:footer="0" w:header="0"/>
          <w:type w:val="continuous"/>
        </w:sectPr>
      </w:pPr>
    </w:p>
    <w:p>
      <w:pPr>
        <w:spacing w:after="0" w:line="1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H2O AMERICA</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4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77-0066628</w:t>
            </w:r>
          </w:p>
        </w:tc>
      </w:tr>
      <w:tr>
        <w:trPr>
          <w:trHeight w:val="257"/>
        </w:trPr>
        <w:tc>
          <w:tcPr>
            <w:tcW w:w="4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4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110 West Taylor Street, San Jose, CA</w:t>
            </w:r>
          </w:p>
        </w:tc>
        <w:tc>
          <w:tcPr>
            <w:tcW w:w="32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4"/>
        </w:trPr>
        <w:tc>
          <w:tcPr>
            <w:tcW w:w="4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(408) 279-7800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342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43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7"/>
              </w:rPr>
              <w:t>HTO</w:t>
            </w:r>
          </w:p>
        </w:tc>
        <w:tc>
          <w:tcPr>
            <w:tcW w:w="56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1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ind w:right="2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4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00"/>
          </w:cols>
          <w:pgMar w:left="320" w:top="229" w:right="479" w:bottom="1440" w:gutter="0" w:footer="0" w:header="0"/>
          <w:type w:val="continuous"/>
        </w:sectPr>
      </w:pPr>
    </w:p>
    <w:p>
      <w:pPr>
        <w:spacing w:after="0" w:line="24" w:lineRule="exact"/>
        <w:rPr>
          <w:sz w:val="24"/>
          <w:szCs w:val="24"/>
          <w:color w:val="auto"/>
        </w:rPr>
      </w:pPr>
    </w:p>
    <w:p>
      <w:pPr>
        <w:ind w:left="360"/>
        <w:spacing w:after="0" w:line="242" w:lineRule="exact"/>
        <w:tabs>
          <w:tab w:leader="none" w:pos="30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79" w:lineRule="exact"/>
        <w:rPr>
          <w:sz w:val="24"/>
          <w:szCs w:val="24"/>
          <w:color w:val="auto"/>
        </w:rPr>
      </w:pPr>
    </w:p>
    <w:p>
      <w:pPr>
        <w:ind w:left="360"/>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ind w:left="1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26" w:lineRule="exact"/>
        <w:rPr>
          <w:sz w:val="24"/>
          <w:szCs w:val="24"/>
          <w:color w:val="auto"/>
        </w:rPr>
      </w:pPr>
    </w:p>
    <w:p>
      <w:pPr>
        <w:sectPr>
          <w:pgSz w:w="11900" w:h="16838" w:orient="portrait"/>
          <w:cols w:equalWidth="0" w:num="2">
            <w:col w:w="4580" w:space="100"/>
            <w:col w:w="6420"/>
          </w:cols>
          <w:pgMar w:left="320" w:top="229" w:right="47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ind w:right="17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21, 2026, there were 48,318,991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40" w:type="dxa"/>
            <w:vAlign w:val="bottom"/>
            <w:gridSpan w:val="8"/>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120" w:type="dxa"/>
            <w:vAlign w:val="bottom"/>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Forward-Looking Statements</w:t>
            </w:r>
          </w:p>
        </w:tc>
        <w:tc>
          <w:tcPr>
            <w:tcW w:w="7920" w:type="dxa"/>
            <w:vAlign w:val="bottom"/>
            <w:gridSpan w:val="17"/>
            <w:shd w:val="clear" w:color="auto" w:fill="CCEEFF"/>
          </w:tcPr>
          <w:p>
            <w:pPr>
              <w:spacing w:after="0"/>
              <w:rPr>
                <w:sz w:val="15"/>
                <w:szCs w:val="15"/>
                <w:color w:val="auto"/>
              </w:rPr>
            </w:pPr>
          </w:p>
        </w:tc>
        <w:tc>
          <w:tcPr>
            <w:tcW w:w="118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10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1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7400" w:type="dxa"/>
            <w:vAlign w:val="bottom"/>
            <w:gridSpan w:val="14"/>
            <w:shd w:val="clear" w:color="auto" w:fill="CCEEFF"/>
          </w:tcPr>
          <w:p>
            <w:pPr>
              <w:spacing w:after="0"/>
              <w:rPr>
                <w:sz w:val="16"/>
                <w:szCs w:val="16"/>
                <w:color w:val="auto"/>
              </w:rPr>
            </w:pPr>
          </w:p>
        </w:tc>
        <w:tc>
          <w:tcPr>
            <w:tcW w:w="11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Months and Nine Months</w:t>
            </w:r>
          </w:p>
        </w:tc>
        <w:tc>
          <w:tcPr>
            <w:tcW w:w="11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4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Ended September 30, 2026 and 2025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60" w:type="dxa"/>
            <w:vAlign w:val="bottom"/>
            <w:gridSpan w:val="1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 as of September 30, 2026 and December 31, 2025</w:t>
            </w:r>
          </w:p>
        </w:tc>
        <w:tc>
          <w:tcPr>
            <w:tcW w:w="1240" w:type="dxa"/>
            <w:vAlign w:val="bottom"/>
            <w:gridSpan w:val="4"/>
            <w:shd w:val="clear" w:color="auto" w:fill="CCEEFF"/>
          </w:tcPr>
          <w:p>
            <w:pPr>
              <w:spacing w:after="0"/>
              <w:rPr>
                <w:sz w:val="17"/>
                <w:szCs w:val="17"/>
                <w:color w:val="auto"/>
              </w:rPr>
            </w:pPr>
          </w:p>
        </w:tc>
        <w:tc>
          <w:tcPr>
            <w:tcW w:w="1180" w:type="dxa"/>
            <w:vAlign w:val="bottom"/>
            <w:gridSpan w:val="4"/>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 for the Three Months and Nine</w:t>
            </w:r>
          </w:p>
        </w:tc>
        <w:tc>
          <w:tcPr>
            <w:tcW w:w="11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Months Ended September 30, 2026 and 2025</w:t>
            </w:r>
          </w:p>
        </w:tc>
        <w:tc>
          <w:tcPr>
            <w:tcW w:w="8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2026 and</w:t>
            </w:r>
          </w:p>
        </w:tc>
        <w:tc>
          <w:tcPr>
            <w:tcW w:w="11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gridSpan w:val="2"/>
            <w:shd w:val="clear" w:color="auto" w:fill="CCEEFF"/>
          </w:tcPr>
          <w:p>
            <w:pPr>
              <w:spacing w:after="0"/>
              <w:rPr>
                <w:sz w:val="15"/>
                <w:szCs w:val="15"/>
                <w:color w:val="auto"/>
              </w:rPr>
            </w:pPr>
          </w:p>
        </w:tc>
        <w:tc>
          <w:tcPr>
            <w:tcW w:w="380" w:type="dxa"/>
            <w:vAlign w:val="bottom"/>
            <w:tcBorders>
              <w:top w:val="single" w:sz="8" w:color="0000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3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0000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640" w:type="dxa"/>
            <w:vAlign w:val="bottom"/>
            <w:tcBorders>
              <w:top w:val="single" w:sz="8" w:color="0000FF"/>
            </w:tcBorders>
            <w:shd w:val="clear" w:color="auto" w:fill="CCEEFF"/>
          </w:tcPr>
          <w:p>
            <w:pPr>
              <w:spacing w:after="0"/>
              <w:rPr>
                <w:sz w:val="15"/>
                <w:szCs w:val="15"/>
                <w:color w:val="auto"/>
              </w:rPr>
            </w:pPr>
          </w:p>
        </w:tc>
        <w:tc>
          <w:tcPr>
            <w:tcW w:w="1460" w:type="dxa"/>
            <w:vAlign w:val="bottom"/>
            <w:tcBorders>
              <w:top w:val="single" w:sz="8" w:color="0000FF"/>
            </w:tcBorders>
            <w:shd w:val="clear" w:color="auto" w:fill="CCEEFF"/>
          </w:tcPr>
          <w:p>
            <w:pPr>
              <w:spacing w:after="0"/>
              <w:rPr>
                <w:sz w:val="15"/>
                <w:szCs w:val="15"/>
                <w:color w:val="auto"/>
              </w:rPr>
            </w:pPr>
          </w:p>
        </w:tc>
        <w:tc>
          <w:tcPr>
            <w:tcW w:w="1220" w:type="dxa"/>
            <w:vAlign w:val="bottom"/>
            <w:tcBorders>
              <w:top w:val="single" w:sz="8" w:color="0000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gridSpan w:val="21"/>
          </w:tcPr>
          <w:p>
            <w:pPr>
              <w:spacing w:after="0" w:line="183"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420" w:type="dxa"/>
            <w:vAlign w:val="bottom"/>
            <w:gridSpan w:val="5"/>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9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tcBorders>
              <w:top w:val="single" w:sz="8" w:color="CCEEFF"/>
            </w:tcBorders>
            <w:gridSpan w:val="5"/>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60" w:type="dxa"/>
            <w:vAlign w:val="bottom"/>
            <w:tcBorders>
              <w:top w:val="single" w:sz="8" w:color="CCEEFF"/>
            </w:tcBorders>
            <w:gridSpan w:val="5"/>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r>
              <w:rPr>
                <w:rFonts w:ascii="Times New Roman" w:cs="Times New Roman" w:eastAsia="Times New Roman" w:hAnsi="Times New Roman"/>
                <w:sz w:val="18"/>
                <w:szCs w:val="18"/>
                <w:color w:val="000000"/>
              </w:rPr>
              <w:t>.</w:t>
            </w:r>
          </w:p>
        </w:tc>
        <w:tc>
          <w:tcPr>
            <w:tcW w:w="910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9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42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36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60" w:type="dxa"/>
            <w:vAlign w:val="bottom"/>
            <w:tcBorders>
              <w:bottom w:val="single" w:sz="8" w:color="CCEEFF"/>
            </w:tcBorders>
            <w:gridSpan w:val="7"/>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10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140" w:type="dxa"/>
            <w:vAlign w:val="bottom"/>
            <w:tcBorders>
              <w:bottom w:val="single" w:sz="8" w:color="CCEEFF"/>
            </w:tcBorders>
            <w:gridSpan w:val="13"/>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10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9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17"/>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58" w:lineRule="exact"/>
        <w:rPr>
          <w:sz w:val="20"/>
          <w:szCs w:val="20"/>
          <w:color w:val="auto"/>
        </w:rPr>
      </w:pPr>
    </w:p>
    <w:p>
      <w:pPr>
        <w:ind w:left="660" w:right="3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recently completed acquisition of substantially all of the assets of the regulated water and wastewater utility operations of Quadvest, L.P., a Texas limited partnership (“Quadvest Retail”), and substantially all of the assets of the wholesale water and wastewater operations of Quadvest Wholesale, LLC, a Texas limited liability company (“Quadvest Wholesale,” and together with Quadvest Retail, “Quadvest”), including the risk of not successfully integrating Quadvest’s operations and not realizing the projected financial and other benefits of the transactions;</w:t>
      </w:r>
    </w:p>
    <w:p>
      <w:pPr>
        <w:spacing w:after="0" w:line="115"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water, utility, environmental and other governmental policies and regulations, including regulatory actions concerning rates, authorized return on equity, authorized capital structures, capital expenditures, per- and polyfluoroalkyl substances (“PFAS”) and other decisions;</w:t>
      </w:r>
    </w:p>
    <w:p>
      <w:pPr>
        <w:spacing w:after="0" w:line="5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impacts of climate change;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5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other similar occurrences;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44" w:lineRule="exact"/>
        <w:rPr>
          <w:rFonts w:ascii="Times New Roman" w:cs="Times New Roman" w:eastAsia="Times New Roman" w:hAnsi="Times New Roman"/>
          <w:sz w:val="18"/>
          <w:szCs w:val="18"/>
          <w:color w:val="auto"/>
        </w:rPr>
      </w:pPr>
    </w:p>
    <w:p>
      <w:pPr>
        <w:jc w:val="both"/>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These risks, uncertainties and other factors may cause the actual results, performance or achievements of H2O America to be materially different from any future results, performance or achievements expressed or implied by such forward-looking statements.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Production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water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101,537</w:t>
            </w:r>
          </w:p>
        </w:tc>
      </w:tr>
      <w:tr>
        <w:trPr>
          <w:trHeight w:val="229"/>
        </w:trPr>
        <w:tc>
          <w:tcPr>
            <w:tcW w:w="4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Power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30"/>
        </w:trPr>
        <w:tc>
          <w:tcPr>
            <w:tcW w:w="4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84,253</w:t>
            </w:r>
          </w:p>
        </w:tc>
      </w:tr>
      <w:tr>
        <w:trPr>
          <w:trHeight w:val="229"/>
        </w:trPr>
        <w:tc>
          <w:tcPr>
            <w:tcW w:w="4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r>
      <w:tr>
        <w:trPr>
          <w:trHeight w:val="223"/>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238,156</w:t>
            </w: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87,861</w:t>
            </w: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27,217</w:t>
            </w:r>
          </w:p>
        </w:tc>
      </w:tr>
      <w:tr>
        <w:trPr>
          <w:trHeight w:val="229"/>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w:t>
            </w:r>
          </w:p>
        </w:tc>
      </w:tr>
      <w:tr>
        <w:trPr>
          <w:trHeight w:val="223"/>
        </w:trPr>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503,327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462,016</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144,388</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(54,292)</w:t>
            </w: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non-service credit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30"/>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100,290</w:t>
            </w:r>
          </w:p>
        </w:tc>
      </w:tr>
      <w:tr>
        <w:trPr>
          <w:trHeight w:val="230"/>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86,358</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88,646</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86,358</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41,959,732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35,543,224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40,594,395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34,706,183</w:t>
            </w:r>
          </w:p>
        </w:tc>
      </w:tr>
      <w:tr>
        <w:trPr>
          <w:trHeight w:val="234"/>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43,478,365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35,643,826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41,644,367</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34,797,374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0460"/>
          </w:cols>
          <w:pgMar w:left="320" w:top="121" w:right="11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1" w:right="11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4,963,174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4,688,644</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269,272</w:t>
            </w:r>
          </w:p>
        </w:tc>
      </w:tr>
      <w:tr>
        <w:trPr>
          <w:trHeight w:val="229"/>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51,683</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utility plant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5,407,080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5,054,199</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1,190,907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1,120,232</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utility plant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4,216,173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3,933,967</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Nonutility properties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nonutility properties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572,957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6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credit losses of $980 and $722 on September 30, 2026 and</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62,471</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unbilled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regulatory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778,136</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190,593</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assets, less current portion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254,732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246,547</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80,967</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w:t>
            </w:r>
          </w:p>
        </w:tc>
      </w:tr>
      <w:tr>
        <w:trPr>
          <w:trHeight w:val="223"/>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1,055,682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1,023,426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6,052,124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5,149,566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48,318,991 issued and outstanding</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on September 30, 2026 and 36,118,242 on December 31, 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1,582,745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958,188</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616,956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581,080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2,201,216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1,540,771</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1,881,391</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1,866,819</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4,082,607</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3,407,590</w:t>
            </w:r>
          </w:p>
        </w:tc>
      </w:tr>
      <w:tr>
        <w:trPr>
          <w:trHeight w:val="236"/>
        </w:trPr>
        <w:tc>
          <w:tcPr>
            <w:tcW w:w="7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Lines of credit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86,834</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75,427</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410,347</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273,378</w:t>
            </w:r>
          </w:p>
        </w:tc>
      </w:tr>
      <w:tr>
        <w:trPr>
          <w:trHeight w:val="237"/>
        </w:trPr>
        <w:tc>
          <w:tcPr>
            <w:tcW w:w="7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332,866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for construction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342,697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liabilities, less current portion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583,599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546,797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6,052,124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5,149,566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40" w:type="dxa"/>
            <w:vAlign w:val="bottom"/>
            <w:gridSpan w:val="3"/>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8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36,118,242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958,188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581,080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1,540,771</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5,660,377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288,595</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288,601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($0.44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2026</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41,839,540</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1,248,402</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584,171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1,834,082</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($0.44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2026</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41,852,853</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1,250,053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592,340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1,843,902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6,439,308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330,008</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330,014</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($0.44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48,318,991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2,201,216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94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2"/>
            <w:vMerge w:val="restart"/>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40" w:type="dxa"/>
            <w:vAlign w:val="bottom"/>
          </w:tcPr>
          <w:p>
            <w:pPr>
              <w:spacing w:after="0"/>
              <w:rPr>
                <w:sz w:val="3"/>
                <w:szCs w:val="3"/>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38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33,629,169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($0.42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34,182,785</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855,759</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539,584</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1,397,337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($0.42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2025</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35,287,080</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914,330</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549,646</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1,465,971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492,859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($0.42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1,523,663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86,358</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89,638</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25,063</w:t>
            </w:r>
          </w:p>
        </w:tc>
        <w:tc>
          <w:tcPr>
            <w:tcW w:w="0" w:type="dxa"/>
            <w:vAlign w:val="bottom"/>
          </w:tcPr>
          <w:p>
            <w:pPr>
              <w:spacing w:after="0"/>
              <w:rPr>
                <w:sz w:val="1"/>
                <w:szCs w:val="1"/>
                <w:color w:val="auto"/>
              </w:rPr>
            </w:pPr>
          </w:p>
        </w:tc>
      </w:tr>
      <w:tr>
        <w:trPr>
          <w:trHeight w:val="213"/>
        </w:trPr>
        <w:tc>
          <w:tcPr>
            <w:tcW w:w="8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assets and liabilities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 and accrued unbilled utility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(30,717)</w:t>
            </w:r>
          </w:p>
        </w:tc>
        <w:tc>
          <w:tcPr>
            <w:tcW w:w="0" w:type="dxa"/>
            <w:vAlign w:val="bottom"/>
          </w:tcPr>
          <w:p>
            <w:pPr>
              <w:spacing w:after="0"/>
              <w:rPr>
                <w:sz w:val="1"/>
                <w:szCs w:val="1"/>
                <w:color w:val="auto"/>
              </w:rPr>
            </w:pPr>
          </w:p>
        </w:tc>
      </w:tr>
      <w:tr>
        <w:trPr>
          <w:trHeight w:val="213"/>
        </w:trPr>
        <w:tc>
          <w:tcPr>
            <w:tcW w:w="8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groundwater extraction charges, purchased water and power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17,339</w:t>
            </w:r>
          </w:p>
        </w:tc>
        <w:tc>
          <w:tcPr>
            <w:tcW w:w="0" w:type="dxa"/>
            <w:vAlign w:val="bottom"/>
          </w:tcPr>
          <w:p>
            <w:pPr>
              <w:spacing w:after="0"/>
              <w:rPr>
                <w:sz w:val="1"/>
                <w:szCs w:val="1"/>
                <w:color w:val="auto"/>
              </w:rPr>
            </w:pPr>
          </w:p>
        </w:tc>
      </w:tr>
      <w:tr>
        <w:trPr>
          <w:trHeight w:val="213"/>
        </w:trPr>
        <w:tc>
          <w:tcPr>
            <w:tcW w:w="8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Tax receivable and payable, and other accrued taxes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Postretirement benefits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0" w:type="dxa"/>
            <w:vAlign w:val="bottom"/>
          </w:tcPr>
          <w:p>
            <w:pPr>
              <w:spacing w:after="0"/>
              <w:rPr>
                <w:sz w:val="1"/>
                <w:szCs w:val="1"/>
                <w:color w:val="auto"/>
              </w:rPr>
            </w:pPr>
          </w:p>
        </w:tc>
      </w:tr>
      <w:tr>
        <w:trPr>
          <w:trHeight w:val="162"/>
        </w:trPr>
        <w:tc>
          <w:tcPr>
            <w:tcW w:w="8340" w:type="dxa"/>
            <w:vAlign w:val="bottom"/>
          </w:tcPr>
          <w:p>
            <w:pPr>
              <w:ind w:left="660"/>
              <w:spacing w:after="0" w:line="162" w:lineRule="exact"/>
              <w:rPr>
                <w:sz w:val="20"/>
                <w:szCs w:val="20"/>
                <w:color w:val="auto"/>
              </w:rPr>
            </w:pPr>
            <w:r>
              <w:rPr>
                <w:rFonts w:ascii="Times New Roman" w:cs="Times New Roman" w:eastAsia="Times New Roman" w:hAnsi="Times New Roman"/>
                <w:sz w:val="16"/>
                <w:szCs w:val="16"/>
                <w:color w:val="auto"/>
              </w:rPr>
              <w:t>Regulatory assets and liabilities excluding cost of removal, income tax temporary differences and postretirement</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8,176</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0" w:type="dxa"/>
            <w:vAlign w:val="bottom"/>
          </w:tcPr>
          <w:p>
            <w:pPr>
              <w:spacing w:after="0"/>
              <w:rPr>
                <w:sz w:val="1"/>
                <w:szCs w:val="1"/>
                <w:color w:val="auto"/>
              </w:rPr>
            </w:pPr>
          </w:p>
        </w:tc>
      </w:tr>
      <w:tr>
        <w:trPr>
          <w:trHeight w:val="213"/>
        </w:trPr>
        <w:tc>
          <w:tcPr>
            <w:tcW w:w="8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benefits</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noncurrent assets and noncurrent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213"/>
        </w:trPr>
        <w:tc>
          <w:tcPr>
            <w:tcW w:w="8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Proceeds from litigation settlement,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changes,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0" w:type="dxa"/>
            <w:vAlign w:val="bottom"/>
          </w:tcPr>
          <w:p>
            <w:pPr>
              <w:spacing w:after="0"/>
              <w:rPr>
                <w:sz w:val="1"/>
                <w:szCs w:val="1"/>
                <w:color w:val="auto"/>
              </w:rPr>
            </w:pPr>
          </w:p>
        </w:tc>
      </w:tr>
      <w:tr>
        <w:trPr>
          <w:trHeight w:val="207"/>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184,694</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181,283</w:t>
            </w:r>
          </w:p>
        </w:tc>
        <w:tc>
          <w:tcPr>
            <w:tcW w:w="0" w:type="dxa"/>
            <w:vAlign w:val="bottom"/>
          </w:tcPr>
          <w:p>
            <w:pPr>
              <w:spacing w:after="0"/>
              <w:rPr>
                <w:sz w:val="1"/>
                <w:szCs w:val="1"/>
                <w:color w:val="auto"/>
              </w:rPr>
            </w:pPr>
          </w:p>
        </w:tc>
      </w:tr>
      <w:tr>
        <w:trPr>
          <w:trHeight w:val="199"/>
        </w:trPr>
        <w:tc>
          <w:tcPr>
            <w:tcW w:w="8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utility plant: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Company-funded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(304,091)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(351,069)</w:t>
            </w:r>
          </w:p>
        </w:tc>
        <w:tc>
          <w:tcPr>
            <w:tcW w:w="0" w:type="dxa"/>
            <w:vAlign w:val="bottom"/>
          </w:tcPr>
          <w:p>
            <w:pPr>
              <w:spacing w:after="0"/>
              <w:rPr>
                <w:sz w:val="1"/>
                <w:szCs w:val="1"/>
                <w:color w:val="auto"/>
              </w:rPr>
            </w:pPr>
          </w:p>
        </w:tc>
      </w:tr>
      <w:tr>
        <w:trPr>
          <w:trHeight w:val="213"/>
        </w:trPr>
        <w:tc>
          <w:tcPr>
            <w:tcW w:w="83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Contributions in aid of construction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(18,546)</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to retire utility plant, net of salvage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investments and release of escrow deposit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12"/>
        </w:trPr>
        <w:tc>
          <w:tcPr>
            <w:tcW w:w="8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(346,013)</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(369,542)</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from lines of credit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264,876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364,287</w:t>
            </w: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lines of credit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(151,435)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(357,042)</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borrowings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long-term borrowings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108,138</w:t>
            </w: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(43,607)</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litigation settlement,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Receipts of advances and contributions in aid of construction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43,666</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Refunds of advances for construction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changes, net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12"/>
        </w:trPr>
        <w:tc>
          <w:tcPr>
            <w:tcW w:w="8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713,590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188,459</w:t>
            </w:r>
          </w:p>
        </w:tc>
        <w:tc>
          <w:tcPr>
            <w:tcW w:w="0" w:type="dxa"/>
            <w:vAlign w:val="bottom"/>
          </w:tcPr>
          <w:p>
            <w:pPr>
              <w:spacing w:after="0"/>
              <w:rPr>
                <w:sz w:val="1"/>
                <w:szCs w:val="1"/>
                <w:color w:val="auto"/>
              </w:rPr>
            </w:pPr>
          </w:p>
        </w:tc>
      </w:tr>
      <w:tr>
        <w:trPr>
          <w:trHeight w:val="207"/>
        </w:trPr>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552,271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8340" w:type="dxa"/>
            <w:vAlign w:val="bottom"/>
            <w:tcBorders>
              <w:right w:val="single" w:sz="8" w:color="D8D8D8"/>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0" w:type="dxa"/>
            <w:vAlign w:val="bottom"/>
          </w:tcPr>
          <w:p>
            <w:pPr>
              <w:spacing w:after="0"/>
              <w:rPr>
                <w:sz w:val="1"/>
                <w:szCs w:val="1"/>
                <w:color w:val="auto"/>
              </w:rPr>
            </w:pPr>
          </w:p>
        </w:tc>
      </w:tr>
      <w:tr>
        <w:trPr>
          <w:trHeight w:val="207"/>
        </w:trPr>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572,957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paid (refunded) during the period for:</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58,308</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53,277</w:t>
            </w: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payables for additions to utility plant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49,550</w:t>
            </w:r>
          </w:p>
        </w:tc>
        <w:tc>
          <w:tcPr>
            <w:tcW w:w="0" w:type="dxa"/>
            <w:vAlign w:val="bottom"/>
          </w:tcPr>
          <w:p>
            <w:pPr>
              <w:spacing w:after="0"/>
              <w:rPr>
                <w:sz w:val="1"/>
                <w:szCs w:val="1"/>
                <w:color w:val="auto"/>
              </w:rPr>
            </w:pPr>
          </w:p>
        </w:tc>
      </w:tr>
      <w:tr>
        <w:trPr>
          <w:trHeight w:val="219"/>
        </w:trPr>
        <w:tc>
          <w:tcPr>
            <w:tcW w:w="834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Utility property installed by developers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(“SEC”). The Notes to Consolidated Financial Statements in H2O America’s 2025 Annual Report on Form 10-K, filed with the SEC on February 26, 2026, should be read in conjunction with the accompanying unaudited condensed consolidated financial statements.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H2O America is a holding company that conducts its business through the following wholly owned subsidiaries: San Jose Water Company (“SJWC”), H2O America TX Holdings, Inc., H2O America Land Company, H2O America NE LLC, and National Water Utility Service, LLC (“NWU”). H2O America TX Holdings, Inc. is a holding company for its wholly owned subsidiaries, SJWTX, Inc., doing business as The Texas Water Company (“TWC”), Texas Water Operation Services, LLC (“TWOS”) and Texas Water Resources, LLC (“TWR”). H2O America NE LLC is the holding company for Connecticut Water Service, Inc. (“CTWS”) whose wholly owned subsidiaries are The Connecticut Water Company (“CWC”), The Maine Water Company (“MWC”), New England Water Utility Services, Inc. (“NEWUS”), and Chester Realty, Inc. NWU is the contracting entity for shared services among the H2O America affiliates formed in October 2024. H2O America Risk Solutions, Inc. (“Risk Solutions”), is a captive insurance entity and wholly owned subsidiary of H2O America Inc., established in 2025 to manage certain insurance specific risks of the Company in addition to its use of traditional insurance products provided by its current insurance carriers. H2O America, through its subsidiaries, primarily provides water utility and other related services in California, Connecticut, Maine and Texas. H2O America has business in property management and real estate investment activity conducted by H2O America Land Company and Chester Realty, Inc.</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revenue components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(In thousands)</w:t>
            </w:r>
          </w:p>
        </w:tc>
        <w:tc>
          <w:tcPr>
            <w:tcW w:w="138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640,466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606,162</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r>
      <w:tr>
        <w:trPr>
          <w:trHeight w:val="184"/>
        </w:trPr>
        <w:tc>
          <w:tcPr>
            <w:tcW w:w="5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balancing and memorandum accounts and regulatory mechanisms,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48"/>
        </w:trPr>
        <w:tc>
          <w:tcPr>
            <w:tcW w:w="5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643,996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Nonutility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nonutility properties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3"/>
          </w:tcPr>
          <w:p>
            <w:pPr>
              <w:jc w:val="right"/>
              <w:ind w:right="975"/>
              <w:spacing w:after="0"/>
              <w:rPr>
                <w:sz w:val="20"/>
                <w:szCs w:val="20"/>
                <w:color w:val="auto"/>
              </w:rPr>
            </w:pPr>
            <w:r>
              <w:rPr>
                <w:rFonts w:ascii="Times New Roman" w:cs="Times New Roman" w:eastAsia="Times New Roman" w:hAnsi="Times New Roman"/>
                <w:sz w:val="18"/>
                <w:szCs w:val="18"/>
                <w:color w:val="auto"/>
              </w:rPr>
              <w:t>(In thousands)</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instruments are not measured at fair value on H2O America’s condensed consolidated balance sheets as of September 30, 2026, but require disclosure of their fair values: cash and cash equivalents, accounts receivable and accounts payable. The estimated fair value of such instruments as of September 30, 2026 approximates their carrying value as reported on the condensed consolidated balance sheets. There have been no changes in valuation techniques during the three and nine months ended September 30, 2026. The fair value of these instruments would be categorized as Level 2 in the fair value hierarchy, with the exception of cash and cash equivalents, which would be categorized as Level 1.</w:t>
      </w:r>
    </w:p>
    <w:p>
      <w:pPr>
        <w:spacing w:after="0" w:line="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fair value of H2O America’s long-term debt was $1,638.4 million and $1,716.6 million as of September 30, 2026 and December 31, 2025, respectively, and was determined using a discounted cash flow analysis, based on the current rates for similar financial instruments of the same duration and creditworthiness of the company. Of the total fair value of long-term debt at September 30, 2026 and December 31, 2025, $1,619.9 million and $1,715.6 million, respectively, would be categorized as Level 2 in the fair value hierarchy and $18.4 million and $1.0 million, respectively, would be categorized as Level 3 in the fair value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the treasury stock method which comprises income available to common stockholders divided by the weighted average number of shares of common stock including both shares outstanding and shares potentially issuable in connection with restricted common stock awards under H2O America’s long-term incentive plans, and shares potentially issuable under the equity forward purchase agreements granted to investors in the equity offering discussed further in Note 3 “Capitalization” to these condensed consolidated financial statements. For the three months ended September 30, 2026 and 2025, 2,083 and 4,954 anti-dilutive restricted common stock units were excluded from the diluted earnings per share calculation, respectively. For the nine months ended September 30, 2026 and 2025, 1,644 and 38,734 anti-dilutive restricted common stock units were excluded from the diluted earnings per share calculation,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recently issued accounting standards that have not yet been adopted by the company as of September 30, 2026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on the Condensed</w:t>
            </w:r>
          </w:p>
        </w:tc>
        <w:tc>
          <w:tcPr>
            <w:tcW w:w="0" w:type="dxa"/>
            <w:vAlign w:val="bottom"/>
          </w:tcPr>
          <w:p>
            <w:pPr>
              <w:spacing w:after="0"/>
              <w:rPr>
                <w:sz w:val="1"/>
                <w:szCs w:val="1"/>
                <w:color w:val="auto"/>
              </w:rPr>
            </w:pPr>
          </w:p>
        </w:tc>
      </w:tr>
      <w:tr>
        <w:trPr>
          <w:trHeight w:val="180"/>
        </w:trPr>
        <w:tc>
          <w:tcPr>
            <w:tcW w:w="1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1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21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Financial</w:t>
            </w:r>
          </w:p>
        </w:tc>
        <w:tc>
          <w:tcPr>
            <w:tcW w:w="0" w:type="dxa"/>
            <w:vAlign w:val="bottom"/>
          </w:tcPr>
          <w:p>
            <w:pPr>
              <w:spacing w:after="0"/>
              <w:rPr>
                <w:sz w:val="1"/>
                <w:szCs w:val="1"/>
                <w:color w:val="auto"/>
              </w:rPr>
            </w:pPr>
          </w:p>
        </w:tc>
      </w:tr>
      <w:tr>
        <w:trPr>
          <w:trHeight w:val="238"/>
        </w:trPr>
        <w:tc>
          <w:tcPr>
            <w:tcW w:w="1660" w:type="dxa"/>
            <w:vAlign w:val="bottom"/>
            <w:gridSpan w:val="2"/>
            <w:vMerge w:val="continue"/>
          </w:tcPr>
          <w:p>
            <w:pPr>
              <w:spacing w:after="0"/>
              <w:rPr>
                <w:sz w:val="20"/>
                <w:szCs w:val="20"/>
                <w:color w:val="auto"/>
              </w:rPr>
            </w:pPr>
          </w:p>
        </w:tc>
        <w:tc>
          <w:tcPr>
            <w:tcW w:w="4120" w:type="dxa"/>
            <w:vAlign w:val="bottom"/>
            <w:gridSpan w:val="2"/>
            <w:vMerge w:val="continue"/>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Statements</w:t>
            </w:r>
          </w:p>
        </w:tc>
        <w:tc>
          <w:tcPr>
            <w:tcW w:w="0" w:type="dxa"/>
            <w:vAlign w:val="bottom"/>
          </w:tcPr>
          <w:p>
            <w:pPr>
              <w:spacing w:after="0"/>
              <w:rPr>
                <w:sz w:val="1"/>
                <w:szCs w:val="1"/>
                <w:color w:val="auto"/>
              </w:rPr>
            </w:pPr>
          </w:p>
        </w:tc>
      </w:tr>
      <w:tr>
        <w:trPr>
          <w:trHeight w:val="169"/>
        </w:trPr>
        <w:tc>
          <w:tcPr>
            <w:tcW w:w="15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2024-03</w:t>
            </w:r>
          </w:p>
        </w:tc>
        <w:tc>
          <w:tcPr>
            <w:tcW w:w="10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ASU requires disclosure, in the notes to the</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ASU is effective for</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Prospective, with</w:t>
            </w:r>
          </w:p>
        </w:tc>
        <w:tc>
          <w:tcPr>
            <w:tcW w:w="1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standard is expected to</w:t>
            </w:r>
          </w:p>
        </w:tc>
        <w:tc>
          <w:tcPr>
            <w:tcW w:w="0" w:type="dxa"/>
            <w:vAlign w:val="bottom"/>
          </w:tcPr>
          <w:p>
            <w:pPr>
              <w:spacing w:after="0"/>
              <w:rPr>
                <w:sz w:val="1"/>
                <w:szCs w:val="1"/>
                <w:color w:val="auto"/>
              </w:rPr>
            </w:pPr>
          </w:p>
        </w:tc>
      </w:tr>
      <w:tr>
        <w:trPr>
          <w:trHeight w:val="184"/>
        </w:trPr>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“Disaggregation of</w:t>
            </w: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financial statements, of specified information about</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H2O America for its</w:t>
            </w:r>
          </w:p>
        </w:tc>
        <w:tc>
          <w:tcPr>
            <w:tcW w:w="14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retrospective</w:t>
            </w:r>
          </w:p>
        </w:tc>
        <w:tc>
          <w:tcPr>
            <w:tcW w:w="2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only result in updates to</w:t>
            </w: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Statement</w:t>
            </w: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costs and expenses. The ASU requires</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financial</w:t>
            </w:r>
          </w:p>
        </w:tc>
        <w:tc>
          <w:tcPr>
            <w:tcW w:w="14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also</w:t>
            </w:r>
          </w:p>
        </w:tc>
        <w:tc>
          <w:tcPr>
            <w:tcW w:w="2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disclosure and is not</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w:t>
            </w: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 of purchases of inventory, employee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for the year</w:t>
            </w:r>
          </w:p>
        </w:tc>
        <w:tc>
          <w:tcPr>
            <w:tcW w:w="1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permitted.</w:t>
            </w:r>
          </w:p>
        </w:tc>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to have a material</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compensation, depreciation, and intangible asset</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ending December 31,</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impact on the Company’s</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in interim and annual reporting periods.</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2027 and for interim</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position and results</w:t>
            </w: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Further, other amounts already required to be disclosed</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reporting periods for the</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 operations.</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 accordance with current U.S. GAAP would be</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year ending December</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included in the same disclosure as the other</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31, 2028. Early adoption</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disaggregation requirements. Additionally, the ASU</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 permitted.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requires qualitative descriptions of amounts remaining</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 relevant expense captions that are not separately</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disaggregated quantitatively as well as disclosure of</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expenses in annual periods and an entity’s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definition of selling expenses.</w:t>
            </w: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4" w:lineRule="auto"/>
        <w:tabs>
          <w:tab w:leader="none" w:pos="1660" w:val="left"/>
        </w:tabs>
        <w:rPr>
          <w:sz w:val="20"/>
          <w:szCs w:val="20"/>
          <w:color w:val="auto"/>
        </w:rPr>
      </w:pPr>
      <w:r>
        <w:rPr>
          <w:rFonts w:ascii="Times New Roman" w:cs="Times New Roman" w:eastAsia="Times New Roman" w:hAnsi="Times New Roman"/>
          <w:sz w:val="18"/>
          <w:szCs w:val="18"/>
          <w:color w:val="auto"/>
        </w:rPr>
        <w:t>ASU 2025-06</w:t>
      </w:r>
      <w:r>
        <w:rPr>
          <w:sz w:val="20"/>
          <w:szCs w:val="20"/>
          <w:color w:val="auto"/>
        </w:rPr>
        <w:tab/>
      </w:r>
      <w:r>
        <w:rPr>
          <w:rFonts w:ascii="Times New Roman" w:cs="Times New Roman" w:eastAsia="Times New Roman" w:hAnsi="Times New Roman"/>
          <w:sz w:val="17"/>
          <w:szCs w:val="17"/>
          <w:color w:val="auto"/>
        </w:rPr>
        <w:t>The ASU updates the accounting for internal-use</w:t>
      </w:r>
    </w:p>
    <w:p>
      <w:pPr>
        <w:ind w:left="20"/>
        <w:spacing w:after="0" w:line="232" w:lineRule="auto"/>
        <w:tabs>
          <w:tab w:leader="none" w:pos="1660" w:val="left"/>
        </w:tabs>
        <w:rPr>
          <w:sz w:val="20"/>
          <w:szCs w:val="20"/>
          <w:color w:val="auto"/>
        </w:rPr>
      </w:pPr>
      <w:r>
        <w:rPr>
          <w:rFonts w:ascii="Times New Roman" w:cs="Times New Roman" w:eastAsia="Times New Roman" w:hAnsi="Times New Roman"/>
          <w:sz w:val="18"/>
          <w:szCs w:val="18"/>
          <w:color w:val="auto"/>
        </w:rPr>
        <w:t>“Intangibles-</w:t>
      </w:r>
      <w:r>
        <w:rPr>
          <w:sz w:val="20"/>
          <w:szCs w:val="20"/>
          <w:color w:val="auto"/>
        </w:rPr>
        <w:tab/>
      </w:r>
      <w:r>
        <w:rPr>
          <w:rFonts w:ascii="Times New Roman" w:cs="Times New Roman" w:eastAsia="Times New Roman" w:hAnsi="Times New Roman"/>
          <w:sz w:val="17"/>
          <w:szCs w:val="17"/>
          <w:color w:val="auto"/>
        </w:rPr>
        <w:t>software by removing project stage references and</w:t>
      </w:r>
    </w:p>
    <w:p>
      <w:pPr>
        <w:ind w:left="20"/>
        <w:spacing w:after="0" w:line="215" w:lineRule="auto"/>
        <w:tabs>
          <w:tab w:leader="none" w:pos="1660" w:val="left"/>
        </w:tabs>
        <w:rPr>
          <w:sz w:val="20"/>
          <w:szCs w:val="20"/>
          <w:color w:val="auto"/>
        </w:rPr>
      </w:pPr>
      <w:r>
        <w:rPr>
          <w:rFonts w:ascii="Times New Roman" w:cs="Times New Roman" w:eastAsia="Times New Roman" w:hAnsi="Times New Roman"/>
          <w:sz w:val="18"/>
          <w:szCs w:val="18"/>
          <w:color w:val="auto"/>
        </w:rPr>
        <w:t>Goodwill and Other-</w:t>
      </w:r>
      <w:r>
        <w:rPr>
          <w:sz w:val="20"/>
          <w:szCs w:val="20"/>
          <w:color w:val="auto"/>
        </w:rPr>
        <w:tab/>
      </w:r>
      <w:r>
        <w:rPr>
          <w:rFonts w:ascii="Times New Roman" w:cs="Times New Roman" w:eastAsia="Times New Roman" w:hAnsi="Times New Roman"/>
          <w:sz w:val="17"/>
          <w:szCs w:val="17"/>
          <w:color w:val="auto"/>
        </w:rPr>
        <w:t>introduces a new capitalization threshold based on</w:t>
      </w:r>
    </w:p>
    <w:p>
      <w:pPr>
        <w:ind w:left="20"/>
        <w:spacing w:after="0" w:line="204" w:lineRule="auto"/>
        <w:tabs>
          <w:tab w:leader="none" w:pos="1660" w:val="left"/>
        </w:tabs>
        <w:rPr>
          <w:sz w:val="20"/>
          <w:szCs w:val="20"/>
          <w:color w:val="auto"/>
        </w:rPr>
      </w:pPr>
      <w:r>
        <w:rPr>
          <w:rFonts w:ascii="Times New Roman" w:cs="Times New Roman" w:eastAsia="Times New Roman" w:hAnsi="Times New Roman"/>
          <w:sz w:val="18"/>
          <w:szCs w:val="18"/>
          <w:color w:val="auto"/>
        </w:rPr>
        <w:t>Internal-Use</w:t>
      </w:r>
      <w:r>
        <w:rPr>
          <w:sz w:val="20"/>
          <w:szCs w:val="20"/>
          <w:color w:val="auto"/>
        </w:rPr>
        <w:tab/>
      </w:r>
      <w:r>
        <w:rPr>
          <w:rFonts w:ascii="Times New Roman" w:cs="Times New Roman" w:eastAsia="Times New Roman" w:hAnsi="Times New Roman"/>
          <w:sz w:val="18"/>
          <w:szCs w:val="18"/>
          <w:color w:val="auto"/>
        </w:rPr>
        <w:t>management authorization and project completion</w:t>
      </w:r>
    </w:p>
    <w:p>
      <w:pPr>
        <w:ind w:left="20"/>
        <w:spacing w:after="0" w:line="232" w:lineRule="auto"/>
        <w:tabs>
          <w:tab w:leader="none" w:pos="1660" w:val="left"/>
        </w:tabs>
        <w:rPr>
          <w:sz w:val="20"/>
          <w:szCs w:val="20"/>
          <w:color w:val="auto"/>
        </w:rPr>
      </w:pPr>
      <w:r>
        <w:rPr>
          <w:rFonts w:ascii="Times New Roman" w:cs="Times New Roman" w:eastAsia="Times New Roman" w:hAnsi="Times New Roman"/>
          <w:sz w:val="18"/>
          <w:szCs w:val="18"/>
          <w:color w:val="auto"/>
        </w:rPr>
        <w:t>Software (subtopic</w:t>
      </w:r>
      <w:r>
        <w:rPr>
          <w:sz w:val="20"/>
          <w:szCs w:val="20"/>
          <w:color w:val="auto"/>
        </w:rPr>
        <w:tab/>
      </w:r>
      <w:r>
        <w:rPr>
          <w:rFonts w:ascii="Times New Roman" w:cs="Times New Roman" w:eastAsia="Times New Roman" w:hAnsi="Times New Roman"/>
          <w:sz w:val="17"/>
          <w:szCs w:val="17"/>
          <w:color w:val="auto"/>
        </w:rPr>
        <w:t>probability. The guidance requires evaluation of</w:t>
      </w:r>
    </w:p>
    <w:p>
      <w:pPr>
        <w:ind w:left="20"/>
        <w:spacing w:after="0" w:line="215" w:lineRule="auto"/>
        <w:tabs>
          <w:tab w:leader="none" w:pos="1660" w:val="left"/>
        </w:tabs>
        <w:rPr>
          <w:sz w:val="20"/>
          <w:szCs w:val="20"/>
          <w:color w:val="auto"/>
        </w:rPr>
      </w:pPr>
      <w:r>
        <w:rPr>
          <w:rFonts w:ascii="Times New Roman" w:cs="Times New Roman" w:eastAsia="Times New Roman" w:hAnsi="Times New Roman"/>
          <w:sz w:val="18"/>
          <w:szCs w:val="18"/>
          <w:color w:val="auto"/>
        </w:rPr>
        <w:t>350-40)”</w:t>
      </w:r>
      <w:r>
        <w:rPr>
          <w:sz w:val="20"/>
          <w:szCs w:val="20"/>
          <w:color w:val="auto"/>
        </w:rPr>
        <w:tab/>
      </w:r>
      <w:r>
        <w:rPr>
          <w:rFonts w:ascii="Times New Roman" w:cs="Times New Roman" w:eastAsia="Times New Roman" w:hAnsi="Times New Roman"/>
          <w:sz w:val="17"/>
          <w:szCs w:val="17"/>
          <w:color w:val="auto"/>
        </w:rPr>
        <w:t>significant development uncertainty, including novel</w:t>
      </w:r>
    </w:p>
    <w:p>
      <w:pPr>
        <w:ind w:left="1680" w:right="60"/>
        <w:spacing w:after="0" w:line="211" w:lineRule="auto"/>
        <w:rPr>
          <w:sz w:val="20"/>
          <w:szCs w:val="20"/>
          <w:color w:val="auto"/>
        </w:rPr>
      </w:pPr>
      <w:r>
        <w:rPr>
          <w:rFonts w:ascii="Times New Roman" w:cs="Times New Roman" w:eastAsia="Times New Roman" w:hAnsi="Times New Roman"/>
          <w:sz w:val="18"/>
          <w:szCs w:val="18"/>
          <w:color w:val="auto"/>
        </w:rPr>
        <w:t>functionality and unresolved performance requirements. ASU 2025-06 clarifies that capitalized</w:t>
      </w:r>
    </w:p>
    <w:p>
      <w:pPr>
        <w:spacing w:after="0" w:line="1" w:lineRule="exact"/>
        <w:rPr>
          <w:sz w:val="20"/>
          <w:szCs w:val="20"/>
          <w:color w:val="auto"/>
        </w:rPr>
      </w:pPr>
    </w:p>
    <w:p>
      <w:pPr>
        <w:ind w:left="1680"/>
        <w:spacing w:after="0" w:line="218" w:lineRule="auto"/>
        <w:rPr>
          <w:sz w:val="20"/>
          <w:szCs w:val="20"/>
          <w:color w:val="auto"/>
        </w:rPr>
      </w:pPr>
      <w:r>
        <w:rPr>
          <w:rFonts w:ascii="Times New Roman" w:cs="Times New Roman" w:eastAsia="Times New Roman" w:hAnsi="Times New Roman"/>
          <w:sz w:val="18"/>
          <w:szCs w:val="18"/>
          <w:color w:val="auto"/>
        </w:rPr>
        <w:t>internal-use software costs are subject to the property, plant and equipment disclosure requirements under ASC 360-10.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ASU is effective for</w:t>
            </w:r>
          </w:p>
        </w:tc>
        <w:tc>
          <w:tcPr>
            <w:tcW w:w="14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Prospective, with</w:t>
            </w:r>
          </w:p>
        </w:tc>
        <w:tc>
          <w:tcPr>
            <w:tcW w:w="21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H2O America is currently</w:t>
            </w:r>
          </w:p>
        </w:tc>
      </w:tr>
      <w:tr>
        <w:trPr>
          <w:trHeight w:val="184"/>
        </w:trPr>
        <w:tc>
          <w:tcPr>
            <w:tcW w:w="18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H2O America for its</w:t>
            </w:r>
          </w:p>
        </w:tc>
        <w:tc>
          <w:tcPr>
            <w:tcW w:w="14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retrospective</w:t>
            </w:r>
          </w:p>
        </w:tc>
        <w:tc>
          <w:tcPr>
            <w:tcW w:w="21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evaluating the impact of</w:t>
            </w:r>
          </w:p>
        </w:tc>
      </w:tr>
      <w:tr>
        <w:trPr>
          <w:trHeight w:val="180"/>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annual financial</w:t>
            </w:r>
          </w:p>
        </w:tc>
        <w:tc>
          <w:tcPr>
            <w:tcW w:w="14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application also</w:t>
            </w:r>
          </w:p>
        </w:tc>
        <w:tc>
          <w:tcPr>
            <w:tcW w:w="21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ASU 2025-06 on its</w:t>
            </w:r>
          </w:p>
        </w:tc>
      </w:tr>
      <w:tr>
        <w:trPr>
          <w:trHeight w:val="175"/>
        </w:trPr>
        <w:tc>
          <w:tcPr>
            <w:tcW w:w="1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statements for the year</w:t>
            </w:r>
          </w:p>
        </w:tc>
        <w:tc>
          <w:tcPr>
            <w:tcW w:w="14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permitted.</w:t>
            </w:r>
          </w:p>
        </w:tc>
        <w:tc>
          <w:tcPr>
            <w:tcW w:w="21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w w:val="98"/>
              </w:rPr>
              <w:t>financial statements and will</w:t>
            </w:r>
          </w:p>
        </w:tc>
      </w:tr>
      <w:tr>
        <w:trPr>
          <w:trHeight w:val="184"/>
        </w:trPr>
        <w:tc>
          <w:tcPr>
            <w:tcW w:w="18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w:t>
            </w:r>
          </w:p>
        </w:tc>
        <w:tc>
          <w:tcPr>
            <w:tcW w:w="1400" w:type="dxa"/>
            <w:vAlign w:val="bottom"/>
          </w:tcPr>
          <w:p>
            <w:pPr>
              <w:spacing w:after="0"/>
              <w:rPr>
                <w:sz w:val="16"/>
                <w:szCs w:val="16"/>
                <w:color w:val="auto"/>
              </w:rPr>
            </w:pPr>
          </w:p>
        </w:tc>
        <w:tc>
          <w:tcPr>
            <w:tcW w:w="21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8"/>
              </w:rPr>
              <w:t>adopt ASU 2025-06 in fiscal</w:t>
            </w:r>
          </w:p>
        </w:tc>
      </w:tr>
      <w:tr>
        <w:trPr>
          <w:trHeight w:val="180"/>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2028 and for interim</w:t>
            </w:r>
          </w:p>
        </w:tc>
        <w:tc>
          <w:tcPr>
            <w:tcW w:w="1400" w:type="dxa"/>
            <w:vAlign w:val="bottom"/>
          </w:tcPr>
          <w:p>
            <w:pPr>
              <w:spacing w:after="0"/>
              <w:rPr>
                <w:sz w:val="15"/>
                <w:szCs w:val="15"/>
                <w:color w:val="auto"/>
              </w:rPr>
            </w:pPr>
          </w:p>
        </w:tc>
        <w:tc>
          <w:tcPr>
            <w:tcW w:w="21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year ended December 31,</w:t>
            </w:r>
          </w:p>
        </w:tc>
      </w:tr>
      <w:tr>
        <w:trPr>
          <w:trHeight w:val="175"/>
        </w:trPr>
        <w:tc>
          <w:tcPr>
            <w:tcW w:w="1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periods for the</w:t>
            </w:r>
          </w:p>
        </w:tc>
        <w:tc>
          <w:tcPr>
            <w:tcW w:w="1400" w:type="dxa"/>
            <w:vAlign w:val="bottom"/>
          </w:tcPr>
          <w:p>
            <w:pPr>
              <w:spacing w:after="0"/>
              <w:rPr>
                <w:sz w:val="15"/>
                <w:szCs w:val="15"/>
                <w:color w:val="auto"/>
              </w:rPr>
            </w:pPr>
          </w:p>
        </w:tc>
        <w:tc>
          <w:tcPr>
            <w:tcW w:w="21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2028.</w:t>
            </w:r>
          </w:p>
        </w:tc>
      </w:tr>
      <w:tr>
        <w:trPr>
          <w:trHeight w:val="184"/>
        </w:trPr>
        <w:tc>
          <w:tcPr>
            <w:tcW w:w="18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year ending December</w:t>
            </w:r>
          </w:p>
        </w:tc>
        <w:tc>
          <w:tcPr>
            <w:tcW w:w="14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31, 2028.</w:t>
            </w:r>
          </w:p>
        </w:tc>
        <w:tc>
          <w:tcPr>
            <w:tcW w:w="14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549" w:lineRule="exact"/>
        <w:rPr>
          <w:sz w:val="20"/>
          <w:szCs w:val="20"/>
          <w:color w:val="auto"/>
        </w:rPr>
      </w:pPr>
    </w:p>
    <w:p>
      <w:pPr>
        <w:sectPr>
          <w:pgSz w:w="11900" w:h="16838" w:orient="portrait"/>
          <w:cols w:equalWidth="0" w:num="2">
            <w:col w:w="5540" w:space="260"/>
            <w:col w:w="5440"/>
          </w:cols>
          <w:pgMar w:left="320" w:top="121"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on the Condensed</w:t>
            </w:r>
          </w:p>
        </w:tc>
        <w:tc>
          <w:tcPr>
            <w:tcW w:w="0" w:type="dxa"/>
            <w:vAlign w:val="bottom"/>
          </w:tcPr>
          <w:p>
            <w:pPr>
              <w:spacing w:after="0"/>
              <w:rPr>
                <w:sz w:val="1"/>
                <w:szCs w:val="1"/>
                <w:color w:val="auto"/>
              </w:rPr>
            </w:pPr>
          </w:p>
        </w:tc>
      </w:tr>
      <w:tr>
        <w:trPr>
          <w:trHeight w:val="180"/>
        </w:trPr>
        <w:tc>
          <w:tcPr>
            <w:tcW w:w="1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1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2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Financial</w:t>
            </w:r>
          </w:p>
        </w:tc>
        <w:tc>
          <w:tcPr>
            <w:tcW w:w="0" w:type="dxa"/>
            <w:vAlign w:val="bottom"/>
          </w:tcPr>
          <w:p>
            <w:pPr>
              <w:spacing w:after="0"/>
              <w:rPr>
                <w:sz w:val="1"/>
                <w:szCs w:val="1"/>
                <w:color w:val="auto"/>
              </w:rPr>
            </w:pPr>
          </w:p>
        </w:tc>
      </w:tr>
      <w:tr>
        <w:trPr>
          <w:trHeight w:val="238"/>
        </w:trPr>
        <w:tc>
          <w:tcPr>
            <w:tcW w:w="1640" w:type="dxa"/>
            <w:vAlign w:val="bottom"/>
            <w:gridSpan w:val="2"/>
            <w:vMerge w:val="continue"/>
          </w:tcPr>
          <w:p>
            <w:pPr>
              <w:spacing w:after="0"/>
              <w:rPr>
                <w:sz w:val="20"/>
                <w:szCs w:val="20"/>
                <w:color w:val="auto"/>
              </w:rPr>
            </w:pPr>
          </w:p>
        </w:tc>
        <w:tc>
          <w:tcPr>
            <w:tcW w:w="4120" w:type="dxa"/>
            <w:vAlign w:val="bottom"/>
            <w:gridSpan w:val="2"/>
            <w:vMerge w:val="continue"/>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Statements</w:t>
            </w:r>
          </w:p>
        </w:tc>
        <w:tc>
          <w:tcPr>
            <w:tcW w:w="0" w:type="dxa"/>
            <w:vAlign w:val="bottom"/>
          </w:tcPr>
          <w:p>
            <w:pPr>
              <w:spacing w:after="0"/>
              <w:rPr>
                <w:sz w:val="1"/>
                <w:szCs w:val="1"/>
                <w:color w:val="auto"/>
              </w:rPr>
            </w:pPr>
          </w:p>
        </w:tc>
      </w:tr>
      <w:tr>
        <w:trPr>
          <w:trHeight w:val="169"/>
        </w:trPr>
        <w:tc>
          <w:tcPr>
            <w:tcW w:w="15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2025-10</w:t>
            </w:r>
          </w:p>
        </w:tc>
        <w:tc>
          <w:tcPr>
            <w:tcW w:w="10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ASU establishes accounting for government grants</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ASU is effective for</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Retrospective</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H2O America is currently</w:t>
            </w:r>
          </w:p>
        </w:tc>
        <w:tc>
          <w:tcPr>
            <w:tcW w:w="0" w:type="dxa"/>
            <w:vAlign w:val="bottom"/>
          </w:tcPr>
          <w:p>
            <w:pPr>
              <w:spacing w:after="0"/>
              <w:rPr>
                <w:sz w:val="1"/>
                <w:szCs w:val="1"/>
                <w:color w:val="auto"/>
              </w:rPr>
            </w:pPr>
          </w:p>
        </w:tc>
      </w:tr>
      <w:tr>
        <w:trPr>
          <w:trHeight w:val="184"/>
        </w:trPr>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“Government</w:t>
            </w: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received by business entities and includes guidance for</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H2O America for annual</w:t>
            </w:r>
          </w:p>
        </w:tc>
        <w:tc>
          <w:tcPr>
            <w:tcW w:w="14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adoption with</w:t>
            </w: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evaluating the impact of</w:t>
            </w:r>
          </w:p>
        </w:tc>
        <w:tc>
          <w:tcPr>
            <w:tcW w:w="0" w:type="dxa"/>
            <w:vAlign w:val="bottom"/>
          </w:tcPr>
          <w:p>
            <w:pPr>
              <w:spacing w:after="0"/>
              <w:rPr>
                <w:sz w:val="1"/>
                <w:szCs w:val="1"/>
                <w:color w:val="auto"/>
              </w:rPr>
            </w:pPr>
          </w:p>
        </w:tc>
      </w:tr>
      <w:tr>
        <w:trPr>
          <w:trHeight w:val="180"/>
        </w:trPr>
        <w:tc>
          <w:tcPr>
            <w:tcW w:w="1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Grants (Topic 832)”</w:t>
            </w: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 a grant related to an asset and (2) a grant related to</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reporting periods</w:t>
            </w:r>
          </w:p>
        </w:tc>
        <w:tc>
          <w:tcPr>
            <w:tcW w:w="14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modified</w:t>
            </w: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ASU 2025-10 on its</w:t>
            </w: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The ASU requires that a government grant</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beginning after</w:t>
            </w:r>
          </w:p>
        </w:tc>
        <w:tc>
          <w:tcPr>
            <w:tcW w:w="1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prospective and</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financial statements and</w:t>
            </w:r>
          </w:p>
        </w:tc>
        <w:tc>
          <w:tcPr>
            <w:tcW w:w="0" w:type="dxa"/>
            <w:vAlign w:val="bottom"/>
          </w:tcPr>
          <w:p>
            <w:pPr>
              <w:spacing w:after="0"/>
              <w:rPr>
                <w:sz w:val="1"/>
                <w:szCs w:val="1"/>
                <w:color w:val="auto"/>
              </w:rPr>
            </w:pPr>
          </w:p>
        </w:tc>
      </w:tr>
      <w:tr>
        <w:trPr>
          <w:trHeight w:val="184"/>
        </w:trPr>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should not be recognized until it is probable that a</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15, 2028 and</w:t>
            </w:r>
          </w:p>
        </w:tc>
        <w:tc>
          <w:tcPr>
            <w:tcW w:w="14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modified</w:t>
            </w: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will adopt ASU 2025-10 in</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 entity will comply with the conditions</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interim reporting periods</w:t>
            </w:r>
          </w:p>
        </w:tc>
        <w:tc>
          <w:tcPr>
            <w:tcW w:w="14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retrospective</w:t>
            </w: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fiscal year ended December</w:t>
            </w: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attached to the grant and the grant will be received.</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within those annual</w:t>
            </w:r>
          </w:p>
        </w:tc>
        <w:tc>
          <w:tcPr>
            <w:tcW w:w="1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application also</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31, 2029.</w:t>
            </w:r>
          </w:p>
        </w:tc>
        <w:tc>
          <w:tcPr>
            <w:tcW w:w="0" w:type="dxa"/>
            <w:vAlign w:val="bottom"/>
          </w:tcPr>
          <w:p>
            <w:pPr>
              <w:spacing w:after="0"/>
              <w:rPr>
                <w:sz w:val="1"/>
                <w:szCs w:val="1"/>
                <w:color w:val="auto"/>
              </w:rPr>
            </w:pPr>
          </w:p>
        </w:tc>
      </w:tr>
      <w:tr>
        <w:trPr>
          <w:trHeight w:val="184"/>
        </w:trPr>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Additionally, the ASU requires that a grant related to</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reporting periods. Early</w:t>
            </w:r>
          </w:p>
        </w:tc>
        <w:tc>
          <w:tcPr>
            <w:tcW w:w="14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permitted.</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 asset be recognized on the balance sheet as the</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adoption is permitted.</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entity incurs the related costs for which the</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grant is intended to compensate either as deferred</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or an adjustment to the cost basis of the related</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A grant related to income or a grant recognized</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 deferred income should be recognized in earnings</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on a systematic and rational basis over the periods in</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which the related costs are incurred that the grant is</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intended to compensate.</w:t>
            </w: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ASU 2025-11</w:t>
            </w: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ASU provides clarity about the current</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ASU is effective for</w:t>
            </w:r>
          </w:p>
        </w:tc>
        <w:tc>
          <w:tcPr>
            <w:tcW w:w="1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Prospective, with</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H2O America is currently</w:t>
            </w:r>
          </w:p>
        </w:tc>
        <w:tc>
          <w:tcPr>
            <w:tcW w:w="0" w:type="dxa"/>
            <w:vAlign w:val="bottom"/>
          </w:tcPr>
          <w:p>
            <w:pPr>
              <w:spacing w:after="0"/>
              <w:rPr>
                <w:sz w:val="1"/>
                <w:szCs w:val="1"/>
                <w:color w:val="auto"/>
              </w:rPr>
            </w:pPr>
          </w:p>
        </w:tc>
      </w:tr>
      <w:tr>
        <w:trPr>
          <w:trHeight w:val="184"/>
        </w:trPr>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“Interim Reporting</w:t>
            </w:r>
          </w:p>
        </w:tc>
        <w:tc>
          <w:tcPr>
            <w:tcW w:w="4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requirements, rather than an evaluation of whether to</w:t>
            </w: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H2O America for</w:t>
            </w:r>
          </w:p>
        </w:tc>
        <w:tc>
          <w:tcPr>
            <w:tcW w:w="14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retrospective</w:t>
            </w: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evaluating the disclosure</w:t>
            </w:r>
          </w:p>
        </w:tc>
        <w:tc>
          <w:tcPr>
            <w:tcW w:w="0" w:type="dxa"/>
            <w:vAlign w:val="bottom"/>
          </w:tcPr>
          <w:p>
            <w:pPr>
              <w:spacing w:after="0"/>
              <w:rPr>
                <w:sz w:val="1"/>
                <w:szCs w:val="1"/>
                <w:color w:val="auto"/>
              </w:rPr>
            </w:pPr>
          </w:p>
        </w:tc>
      </w:tr>
      <w:tr>
        <w:trPr>
          <w:trHeight w:val="180"/>
        </w:trPr>
        <w:tc>
          <w:tcPr>
            <w:tcW w:w="1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(Topic 270)”</w:t>
            </w:r>
          </w:p>
        </w:tc>
        <w:tc>
          <w:tcPr>
            <w:tcW w:w="4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expand or reduce interim disclosure requirements. The</w:t>
            </w: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interim reporting periods</w:t>
            </w:r>
          </w:p>
        </w:tc>
        <w:tc>
          <w:tcPr>
            <w:tcW w:w="14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also</w:t>
            </w:r>
          </w:p>
        </w:tc>
        <w:tc>
          <w:tcPr>
            <w:tcW w:w="2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impact of ASU 2025-11;</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ASU includes a disclosure principle that requires</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within annual reporting</w:t>
            </w:r>
          </w:p>
        </w:tc>
        <w:tc>
          <w:tcPr>
            <w:tcW w:w="1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permitted.</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however, the standard is not</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entities to disclose events since the end of the last</w:t>
            </w: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periods beginning after</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to impact the</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reporting period that have a material impact on</w:t>
            </w: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15, 2027.</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consolidated financial</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the entity. The intent of the disclosure principle, which</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Early adoption is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position, results of</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is modeled after a previous SEC disclosure</w:t>
            </w: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permitted.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or cash flows.</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requirement, is to help entities determine whether</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not specified in Topic 270 should be</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provided in interim reporting periods.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5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Regulatory Matters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2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assets and liabilities are comprised of the following:</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4"/>
        </w:trPr>
        <w:tc>
          <w:tcPr>
            <w:tcW w:w="19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19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223"/>
        </w:trPr>
        <w:tc>
          <w:tcPr>
            <w:tcW w:w="19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color w:val="auto"/>
              </w:rPr>
              <w:t>(In thousands)</w:t>
            </w: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5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temporary differences (a) (q)</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222,606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204,384</w:t>
            </w:r>
          </w:p>
        </w:tc>
      </w:tr>
      <w:tr>
        <w:trPr>
          <w:trHeight w:val="229"/>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Monterey Water Revenue Adjustment Mechanism (“M-WRAM”) (b)</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2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Business combinations debt premium (c) (q)</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r>
      <w:tr>
        <w:trPr>
          <w:trHeight w:val="230"/>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 (q)</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2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Catastrophic event memorandum accounts (“CEMA”) (e)</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(f) (q)</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Assistance Program (“CAP”) balancing account (g)</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9"/>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(h)</w:t>
            </w:r>
          </w:p>
        </w:tc>
        <w:tc>
          <w:tcPr>
            <w:tcW w:w="5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Ground Water Regulation Legal Expenses memorandum account (“GWRLEMA”) (i)</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(j)</w:t>
            </w:r>
          </w:p>
        </w:tc>
        <w:tc>
          <w:tcPr>
            <w:tcW w:w="58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r>
      <w:tr>
        <w:trPr>
          <w:trHeight w:val="22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269,353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254,862</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regulatory assets (k)</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regulatory assets, less current portion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254,732</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246,547</w:t>
            </w: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1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Regulatory liabilities:</w:t>
            </w:r>
          </w:p>
        </w:tc>
        <w:tc>
          <w:tcPr>
            <w:tcW w:w="5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removal (l)</w:t>
            </w:r>
          </w:p>
        </w:tc>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417,924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394,391</w:t>
            </w:r>
          </w:p>
        </w:tc>
      </w:tr>
      <w:tr>
        <w:trPr>
          <w:trHeight w:val="230"/>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Future income tax benefits due to customers (m)</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82,285</w:t>
            </w: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32,996</w:t>
            </w:r>
          </w:p>
        </w:tc>
      </w:tr>
      <w:tr>
        <w:trPr>
          <w:trHeight w:val="378"/>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 and Polyfluoroalkyl substances (“PFAS”) legal settlement proceeds (o)</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w:t>
            </w: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benefit costs (d)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29"/>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(h)</w:t>
            </w:r>
          </w:p>
        </w:tc>
        <w:tc>
          <w:tcPr>
            <w:tcW w:w="5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(f)</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w:t>
            </w:r>
          </w:p>
        </w:tc>
        <w:tc>
          <w:tcPr>
            <w:tcW w:w="58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2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Total regulatory liabilities</w:t>
            </w:r>
          </w:p>
        </w:tc>
        <w:tc>
          <w:tcPr>
            <w:tcW w:w="5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583,599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546,797</w:t>
            </w: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 less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546,797</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jc w:val="both"/>
        <w:ind w:left="660" w:right="320" w:hanging="652"/>
        <w:spacing w:after="0" w:line="241" w:lineRule="auto"/>
        <w:tabs>
          <w:tab w:leader="none" w:pos="6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w:t>
      </w:r>
    </w:p>
    <w:p>
      <w:pPr>
        <w:ind w:left="640" w:hanging="632"/>
        <w:spacing w:after="0" w:line="22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M-WRAM is described in the following section.</w:t>
      </w: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debt fair value adjustments recognized through purchase accounting for the completed merger with CTWS in 2019.</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deferrals of pension and other postretirement benefit expense and cost of accrued benefits for vacation, and group health insurance.</w:t>
      </w:r>
    </w:p>
    <w:p>
      <w:pPr>
        <w:spacing w:after="0" w:line="14" w:lineRule="exact"/>
        <w:rPr>
          <w:rFonts w:ascii="Times New Roman" w:cs="Times New Roman" w:eastAsia="Times New Roman" w:hAnsi="Times New Roman"/>
          <w:sz w:val="14"/>
          <w:szCs w:val="14"/>
          <w:color w:val="auto"/>
        </w:rPr>
      </w:pPr>
    </w:p>
    <w:p>
      <w:pPr>
        <w:ind w:left="660" w:right="280" w:hanging="652"/>
        <w:spacing w:after="0" w:line="256" w:lineRule="auto"/>
        <w:tabs>
          <w:tab w:leader="none" w:pos="6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California Public Utilities Commission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The balances primarily relate to expenses associated with SJWC’s response to COVID-19, including bad debt.</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Water Rate Adjustment mechanism (“WRA”). WRA and Water Conservation Memorandum Account (“WCMA”) are described in the following section.</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costs associated with SJWC’s CAP.</w:t>
      </w:r>
    </w:p>
    <w:p>
      <w:pPr>
        <w:spacing w:after="0" w:line="14" w:lineRule="exact"/>
        <w:rPr>
          <w:rFonts w:ascii="Times New Roman" w:cs="Times New Roman" w:eastAsia="Times New Roman" w:hAnsi="Times New Roman"/>
          <w:sz w:val="14"/>
          <w:szCs w:val="14"/>
          <w:color w:val="auto"/>
        </w:rPr>
      </w:pPr>
    </w:p>
    <w:p>
      <w:pPr>
        <w:ind w:left="660" w:right="340" w:hanging="652"/>
        <w:spacing w:after="0" w:line="26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primarily SJWC’s Full Cost Balancing Account (“FCBA”), which tracks differences in actual water supply costs compared to amounts assumed in base rates, including applicable changes and variations in costs and quantities that affect the overall mix of the water supply.</w:t>
      </w:r>
    </w:p>
    <w:p>
      <w:pPr>
        <w:ind w:left="660" w:right="140" w:hanging="652"/>
        <w:spacing w:after="0" w:line="251" w:lineRule="auto"/>
        <w:tabs>
          <w:tab w:leader="none" w:pos="6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legal and related expenses associated with litigation and consensus-building activities related to SJWC’s water rights. The GWRLEMA was re-established in November 2025 to track these costs.</w:t>
      </w:r>
    </w:p>
    <w:p>
      <w:pPr>
        <w:ind w:left="660" w:right="60" w:hanging="652"/>
        <w:spacing w:after="0" w:line="283" w:lineRule="auto"/>
        <w:tabs>
          <w:tab w:leader="none" w:pos="6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deferred costs for certain information technology activities, asset retirement obligations, tank painting, well reconditioning, rate case expenses and acquisition costs.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current portion of SJWC’s M-WRAM and the current portion of CWC’s WRA, deferred well redevelopment, carbon filters and rate case costs.</w:t>
      </w:r>
    </w:p>
    <w:p>
      <w:pPr>
        <w:spacing w:after="0" w:line="2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collected in rates from customers for estimated costs to retire assets at the end of their expected useful lives before the costs are incurred.</w:t>
      </w:r>
    </w:p>
    <w:p>
      <w:pPr>
        <w:spacing w:after="0" w:line="14" w:lineRule="exact"/>
        <w:rPr>
          <w:rFonts w:ascii="Times New Roman" w:cs="Times New Roman" w:eastAsia="Times New Roman" w:hAnsi="Times New Roman"/>
          <w:sz w:val="14"/>
          <w:szCs w:val="14"/>
          <w:color w:val="auto"/>
        </w:rPr>
      </w:pPr>
    </w:p>
    <w:p>
      <w:pPr>
        <w:ind w:left="660" w:hanging="652"/>
        <w:spacing w:after="0" w:line="254"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w:t>
      </w:r>
    </w:p>
    <w:p>
      <w:pPr>
        <w:spacing w:after="0" w:line="1" w:lineRule="exact"/>
        <w:rPr>
          <w:rFonts w:ascii="Times New Roman" w:cs="Times New Roman" w:eastAsia="Times New Roman" w:hAnsi="Times New Roman"/>
          <w:sz w:val="14"/>
          <w:szCs w:val="14"/>
          <w:color w:val="auto"/>
        </w:rPr>
      </w:pPr>
    </w:p>
    <w:p>
      <w:pPr>
        <w:ind w:left="660" w:right="180" w:hanging="652"/>
        <w:spacing w:after="0" w:line="261"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actuarial losses and gains and prior service cost that have not yet been recognized as components of net periodic benefit cost for certain pension and other postretirement benefit plans.</w:t>
      </w:r>
    </w:p>
    <w:p>
      <w:pPr>
        <w:ind w:left="660" w:right="160" w:hanging="652"/>
        <w:spacing w:after="0" w:line="254"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legal settlements received by SJWC and CWC from ongoing PFAS water contamination litigation against manufacturers which will be used to offset future costs incurred, recorded as Contributions in Aid of Construction (“CIAC”), or returned to customers through future rates. The Water Contamination Litigation Memorandum Account (“WCLMA”) has been established to track net proceeds and costs resulting from water contamination litigation related to SJWC.</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MWC’s accrued tank painting costs.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not earning a return either by interest on the regulatory asset or as a component of rate base at the allowed rate of return.</w:t>
      </w:r>
    </w:p>
    <w:p>
      <w:pPr>
        <w:spacing w:after="0" w:line="114"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the revenue authorized by the CPUC to offset those expense changes. SJWC has been authorized for the use of the FCBA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7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WCLMA allows SJWC to track net proceeds and costs resulting from water contamination litigation. The WCMA allows SJWC to track lost revenue, net of related water costs, associated with reduced sales due to water conservation and associated calls for water use reductions,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20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Capitalization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 million. The Equity Distribution Agreement replaced the previous agreement that concluded in 2024. For the three and nine months ended September 30, 2026, H2O America did not issue or sell any shares of its common stock under the Equity Distribution Agreement and, accordingly, received no net proceeds therefrom. For the three and nine months ended September 30, 2025, the Company issued and sold 492,859 and 2,076,352 shares of its common stock, respectively, with a weighted average price of $50.27 and $52.47 per share respectively, and received $24.4 million and $108.1 million in net proceeds, respectively, under the Equity Distribution Agreement. Since the inception of the Equity Distribution Agreement, H2O America has issued and sold 2,763,359 shares of common stock at a weighted average price of $52.39 for total net proceeds of $143.0 million, and has $55.2 million of aggregate gross sales price of shares remaining to issue under the Equity Distribution Agreement as of September 30, 2026.</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2026, H2O America issued 3,937,654 shares of common stock in an underwritten offering pursuant to an Underwriting Agreement with J.P. Morgan Securities LLC and Wells Fargo Securities LLC, as representatives of several underwriters named in the Underwriting Agreement (the “Offering”). In connection with the Offering, H2O America entered into two-year forward purchase agreements to issue an additional 7,547,170 shares of common stock with an initial forward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purchase price of $51.28 per share, subject to adjustment based on the overnight bank funding rate and expected dividend amounts due upon settlement through maturity in March 2028. The forward purchase agreements can be settled or net settled for delivery of physical shares or settled for cash at the option of H2O America. In addition, the underwriters in the Offering, through the exercise of a 30-day overallotment option, purchased an additional 1,722,723 shares of common stock at a price of $51.28 per share. Total net proceeds to H2O America for the common stock offering were $290.2 million after deducting the underwriting discounts and before estimated offering expenses payable by H2O America of $1.6 million, which are recognized as a reduction of additional paid-in capital. The forward purchase agreements are indexed to H2O America’s common stock and qualify for equity classification. Accordingly, they are not remeasured for changes in the fair value of the Company’s common stock, and no related gains or losses are recognized in earnings.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H2O America settled forward purchase agreements relating to 6,439,308 shares of common stock and received net proceeds of $330.0 million. Upon settlement, the Company issued the related shares of common stock, with the proceeds recognized as increases to common stock and additional paid-in capital. As of September 30, 2026, forward purchase agreements relating to 1,107,862 shares remained outstanding.</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Lines of Credit and Long-Term Liabilities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H2O America’s contractual obligations and commitments include senior notes, bank term loans, revenue bonds, state revolving fund loans, lines of credit, and other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short-term borrowings outstanding at September 30, 2026 was 4.67% compared to 4.75% at December 31, 2025.</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2026, the borrowing capacity of the lines of credit was $168.8 million, which excludes a $0.9 million standby letter of credit issued on behalf of H2O America Risk Solutions and guaranteed by H2O America under the Syndicated Credit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November 12, 2025, SJWC entered into a Note Purchase Agreement with certain institutional investors. Under the agreement, SJWC issued an aggregate principal amount of $70.0 million of senior notes in two series consisting of $55.0 million of 5.83% Senior Notes, Series R ("Series R Notes"), and $15.0 million of 5.91% Senior Notes, Series S ("Series S Notes"). The issuance of the Series S Notes was subject to approval by the CPUC which closed on May 14, 2026. The Series S Notes are unsecured obligations of SJWC and are due on November 1, 2055. Interest is payable semi-annually in arrears on May 1st and November 1st of each year, commencing November 1, 2026.</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balance of long-term debt outstanding, net of unamortized debt issuance costs and debt premium and discount, as of September 30, 2026 and December 31, 2025 was $1,881.4 million and $1,866.8 million, respectively. The current portion of long-term debt as of September 30, 2026 and December 31, 2025 was $7.9 million and $23.5 million, respectively.</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 of H2O America’s and subsidiaries’ debt and credit agreements contain customary covenants and events of default. As of September 30, 2026, H2O America and its subsidiaries were in compliance with all covenants related to their debt and credit agreements.</w:t>
      </w:r>
    </w:p>
    <w:p>
      <w:pPr>
        <w:spacing w:after="0" w:line="5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Income tax expense was $5.2 million and $5.8 million for the three months ended September 30, 2026 and 2025, respectively. Income tax expense was $12.6 million and $13.9 million for the nine months ended September 30, 2026 and 2025, respectively. The effective consolidated income tax rates were 11% for both the three months ended September 30, 2026 and 2025, and 12% and 14% for the nine months ended September 30, 2026 and 2025, respectively. The lower effective tax rate for the nine months ended September 30, 2026 was primarily due to higher flow through tax benefits.</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H2O America had unrecognized tax benefits, before the impact of deductions of state taxes, excluding interest and penalties, of $4.8 million and $4.1 million as of September 30, 2026 and December 31, 2025, respectively.</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Public Law No. 119-21, referred to as the One Big Beautiful Bill Act (“OBBBA”), was signed into law. The OBBBA contains several changes to corporate taxation including the extension of key provisions of the 2017 Tax Cuts and Jobs Act. The legislation has multiple effective dates, with certain provisions which were effective in 2025 and others are phased in through tax year 2027. The legislation may be subject to further clarification and the issuance of interpretive guidance.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impact of the tax legislation was not material to the provision for income taxes and deferred tax balances for the three and nine months ended September 30, 2026.</w:t>
      </w:r>
    </w:p>
    <w:p>
      <w:pPr>
        <w:spacing w:after="0" w:line="5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and its subsidiaries are subject to ordinary routine litigation incidental to its business.</w:t>
      </w:r>
    </w:p>
    <w:p>
      <w:pPr>
        <w:spacing w:after="0" w:line="11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spacing w:after="0" w:line="3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a Multi-District Litigation (“MDL”) that commenced on December 7, 2018 in the United States District Court for the District of South Carolina. MWC has also submitted timely claims as a settlement class member.</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received cash proceeds of $0.1 million and $11.1 million , respectively, from legal settlements with Tyco Fire Products LP, BASF Corporation, and 3M Company related to PFAS contamination. For the three months ended September 30, 2026, the total proceeds of $0.1 million received were allocated wholly to MWC, a portion of which is payable to contract operators. For the nine months ended September 30, 2026, the total proceeds of $11.1 million were allocated as follows: SJWC received $7.4 million; CWC received $3.5 million; and MWC received $0.2 million, which includes $0.1 million payable to contract operators.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received cash proceeds of $14.7 million and $21.2 million, respectively, in connection with a legal settlement with 3M Company related to PFAS contamination. For the three months ended September 30, 2025, the total proceeds of $14.7 million were allocated as follows: SJWC received $10.0 million; CWC received $4.6 million; and MWC received $0.1 million. For the nine months ended September 30, 2025, the total proceeds of $21.2 million were allocated as follows: SJWC received $14.5 million; CWC received $6.5 million; and MWC received $0.2 million, which includes $0.1 million payable to contract operators.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has received aggregate cash proceeds of $36.2 million from MDL court approved settlements. The proceeds have been allocated as follows: SJWC received $24.4 million; CWC received $11.1 million; and MWC received $0.7 million, which includes $0.5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spacing w:after="0" w:line="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H2O America is entitled to receive additional cash proceeds from 3M Company in the subsequent seven years, pursuant to the terms of the settlement agreement. The total estimated proceeds to be received during this period are approximately $5.6 million.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H2O America is monitoring and evaluating the ongoing litigation and settlement activity with the PFAS manufacturers for potential impacts to the various claims that these utility subsidiaries have asserted.</w:t>
      </w: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H2O America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employee’s years of service and compensation. CTWS employees hired on or after January 1, 2009, are entitled to an additional 3.0% of eligible compensation to their company sponsored savings plan. H2O America does not have multi-employer plans.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H2O America also provides health care and life insurance benefits for retired employees under employer-sponsored postretirement benefits that are not pension plans.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the defined benefit plans and other postretirement benefits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8"/>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3"/>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Pr>
          <w:p>
            <w:pPr>
              <w:spacing w:after="0"/>
              <w:rPr>
                <w:sz w:val="24"/>
                <w:szCs w:val="24"/>
                <w:color w:val="auto"/>
              </w:rPr>
            </w:pPr>
          </w:p>
        </w:tc>
      </w:tr>
      <w:tr>
        <w:trPr>
          <w:trHeight w:val="23"/>
        </w:trPr>
        <w:tc>
          <w:tcPr>
            <w:tcW w:w="5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In 2026, H2O America expects to make required and discretionary cash contributions of up to $5.8 million to the pension plans and other postretirement benefits. For the three and nine months ended September 30, 2026, H2O America has made $0.7 million and $4.0 million of contributions to such plans.</w:t>
      </w:r>
    </w:p>
    <w:p>
      <w:pPr>
        <w:spacing w:after="0" w:line="29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Equity Plans</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H2O America’s long-term incentive plan provides employees, non-employee board members or the board of directors of any parent or subsidiary, consultants, and other independent advisors who provide services to the company or subsidiary the opportunity to acquire an equity interest in H2O America. In addition, shares are issued to employees under H2O America’s Employee Stock Purchase Plan (“ESPP”).</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September 30, 2026, 270,852 shares are issuable upon the vesting of outstanding restricted stock units and deferred restricted stock units and an additional 796,651 shares are available for award issuances under the long-term incentive plans.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compensation costs charged to income, by award type, and proceeds from the ESPP, are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ESPP</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23"/>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H2O America granted 2,468 restricted stock awards with a weighted average grant date fair value per unit of $58.28, which consisted of 1,480 three-year service-based restricted stock awards and 988 target units of three-year performance-based restricted stock awards. For the nine months ended September 30, 2026, H2O America granted 136,424 restricted stock awards with a weighted average grant date fair value per unit of $49.53, which consisted of 64,128 three-year service-based restricted stock awards and 72,296 target units of three-year performance-based restricted stock awards. Based upon actual attainment relative to the target performance metric, the number of shares issuable can range between 0% to 150% of the target number of shares.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2025, H2O America granted 31,771 two-year and three-year service-based restricted stock awards with a weighted average grant date fair value per unit of $45.81 and 18,744 target units of performance-based and market-based restricted stock awards with a weighted average grant date fair value per unit of $51.47. For the nine months ended September 30, 2025, H2O America granted 98,085 one-year, two-year, and three-year service-based restricted stock awards with a weighted average grant date fair value per unit of $46.17 and 76,952 target units of performance-based and market-based restricted stock awards with a weighted average grant date fair value per unit of $51.80. Based upon actual attainment relative to the target performance metric, the number of shares issuable can range between 0% to 150% of the target number of shares for performance-based restricted stock awards and 0% to 200% of the target number for market-based restricted stock awards.</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2026, the total number of outstanding restricted stock awards and deferred restricted stock awards was 297,884 and the total number of shares vested but not issued was 27,032. As of September 30, 2026, unrecognized compensation costs related to restricted and deferred restricted stock plans were $9.6 million. This cost is expected to be recognized over a weighted average period of 1.2 years.</w:t>
      </w:r>
    </w:p>
    <w:p>
      <w:pPr>
        <w:spacing w:after="0" w:line="19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H2O America’s single reportable segment provides water utility and utility-related services to its customers through H2O America’s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H2O America Land Company and Chester Realty, Inc., contract water and sewer operations and other water-related services provided by NEWUS and are referred to as “Other Services.”</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H2O America’s operating segments have been determined based on information used by the chief operating decision maker. H2O America’s chief operating decision makers (“CODM”) include the Chief Executive Officer and Chair of the Board; the Chief Financial Officer and Treasurer; the President and Chief Operating Officer; and the Vice President and General Counsel. However, ultimate decision-making authority rests with the Chief Executive Officer. The CODM reviews financial information presented on a consolidated basis that is accompanied by certain disaggregated information about operating revenue, expenses, net income, and total assets. The CODM uses net income to assess the financial performance of the segments and allocate resources (including employees, financial, or capital resources) in the budgeting and forecasting process.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Previously, H2O America presented a separate reportable segment for Real Estate Services and also presented a disaggregation of regulated and non-tariffed activities within the Water Utility Services reportable segment. Under the current presentation, the activities of Water Utility Services previously presented as “non-tariffed” are generally presented as “Other Services” along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the real estate activity. 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20" w:type="dxa"/>
            <w:vAlign w:val="bottom"/>
          </w:tcPr>
          <w:p>
            <w:pPr>
              <w:spacing w:after="0"/>
              <w:rPr>
                <w:sz w:val="10"/>
                <w:szCs w:val="10"/>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245,634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250,229</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130,369</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130,369</w:t>
            </w:r>
          </w:p>
        </w:tc>
        <w:tc>
          <w:tcPr>
            <w:tcW w:w="0" w:type="dxa"/>
            <w:vAlign w:val="bottom"/>
          </w:tcPr>
          <w:p>
            <w:pPr>
              <w:spacing w:after="0"/>
              <w:rPr>
                <w:sz w:val="1"/>
                <w:szCs w:val="1"/>
                <w:color w:val="auto"/>
              </w:rPr>
            </w:pPr>
          </w:p>
        </w:tc>
      </w:tr>
      <w:tr>
        <w:trPr>
          <w:trHeight w:val="296"/>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820" w:type="dxa"/>
            <w:vAlign w:val="bottom"/>
          </w:tcPr>
          <w:p>
            <w:pPr>
              <w:spacing w:after="0"/>
              <w:rPr>
                <w:sz w:val="10"/>
                <w:szCs w:val="10"/>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236,222</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153,212</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20" w:type="dxa"/>
            <w:vAlign w:val="bottom"/>
          </w:tcPr>
          <w:p>
            <w:pPr>
              <w:spacing w:after="0"/>
              <w:rPr>
                <w:sz w:val="10"/>
                <w:szCs w:val="10"/>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631,738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643,996</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344,813</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344,813</w:t>
            </w:r>
          </w:p>
        </w:tc>
        <w:tc>
          <w:tcPr>
            <w:tcW w:w="0" w:type="dxa"/>
            <w:vAlign w:val="bottom"/>
          </w:tcPr>
          <w:p>
            <w:pPr>
              <w:spacing w:after="0"/>
              <w:rPr>
                <w:sz w:val="1"/>
                <w:szCs w:val="1"/>
                <w:color w:val="auto"/>
              </w:rPr>
            </w:pPr>
          </w:p>
        </w:tc>
      </w:tr>
      <w:tr>
        <w:trPr>
          <w:trHeight w:val="40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596,052</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238,156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369,615</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369,615</w:t>
            </w:r>
          </w:p>
        </w:tc>
        <w:tc>
          <w:tcPr>
            <w:tcW w:w="0" w:type="dxa"/>
            <w:vAlign w:val="bottom"/>
          </w:tcPr>
          <w:p>
            <w:pPr>
              <w:spacing w:after="0"/>
              <w:rPr>
                <w:sz w:val="1"/>
                <w:szCs w:val="1"/>
                <w:color w:val="auto"/>
              </w:rPr>
            </w:pPr>
          </w:p>
        </w:tc>
      </w:tr>
      <w:tr>
        <w:trPr>
          <w:trHeight w:val="77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0" w:hanging="652"/>
        <w:spacing w:after="0" w:line="259" w:lineRule="auto"/>
        <w:tabs>
          <w:tab w:leader="none" w:pos="3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Services” category includes the accounts of H2O America Land Company, Chester Realty, Inc., SJWC’s Cupertino service concession arrangement operations, TWOS, TWR, and NEWUS, on a stand-alone basis.</w:t>
      </w:r>
    </w:p>
    <w:p>
      <w:pPr>
        <w:ind w:left="660" w:right="20" w:hanging="652"/>
        <w:spacing w:after="0" w:line="251" w:lineRule="auto"/>
        <w:tabs>
          <w:tab w:leader="none" w:pos="3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“Unallocated Corporate” category includes the accounts of H2O America, H2O America NE LLC, H2O America TX Holdings, Inc., CTWS, NWU, and Risk Solutions on a stand-alone basis.</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pension non-service credit (cost) and items of miscellaneous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assets for the Water Utility Services reportable segment and all other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 (reportable segment)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5,475,573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5,054,235</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26,707</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68,624</w:t>
            </w:r>
          </w:p>
        </w:tc>
      </w:tr>
      <w:tr>
        <w:trPr>
          <w:trHeight w:val="22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6,052,124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5,149,566</w:t>
            </w:r>
          </w:p>
        </w:tc>
      </w:tr>
      <w:tr>
        <w:trPr>
          <w:trHeight w:val="21"/>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Quadvest acquisition</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7, 2025, the Company, and its indirect subsidiary, TWC, entered into an asset purchase agreement (the “Regulated Business APA”) with Quadvest, L.P. (“Quadvest Retail”), pursuant to which, and subject to the terms and conditions set forth therein, Quadvest Retail agreed to sell, and TWC agreed to acquire, substantially all of the assets of Quadvest Retail’s regulated water and wastewater utility operations for a base price of $483.6 million, subject to certain post-closing adjustments.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Concurrently, on July 7, 2025, the Company and its indirect subsidiaries, TWOS and TWC (together with the Company and TWOS, the “Purchasers”), entered into another asset purchase agreement (the “Wholesale Business APA”) with Quadvest Wholesale, LLC (“Quadvest Wholesale”) pursuant to which, TWOS agreed to acquire substantially all of the assets of Quadvest Wholesale’s wholesale water and wastewater operations for a base amount of $56.4 million, subject to certain post-closing adjustments.</w:t>
      </w:r>
    </w:p>
    <w:p>
      <w:pPr>
        <w:spacing w:after="0" w:line="7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July 9, 2025, TWC filed a request with the Public Utility Commission of Texas (the “PUCT”) to use Fair Market Value (“FMV”) to support its acquisition of Quadvest Retail. On August 7, 2025, the PUCT appointed three appraisers to determine the FMV. In December 2025, TWC received the appraised FMV from the PUCT-appointed appraisers for the assets of Quadvest Retail. In accordance with Texas’ FMV statute, the purchase price of $483.6 million will serve as the ratemaking rate base.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1, 2026, the Company completed the acquisitions of substantially all of the assets of Quadvest Retail’s regulated water and wastewater utility operations and substantially all of the assets of Quadvest Wholesale’s wholesale water and wastewater operations (collectively, the “Quadvest Acquisitions”). The aggregate cash consideration transferred at closing was approximately $542.7 million, consisting of $480.9 million related to Quadvest L.P. and $61.8 million related to Quadvest Wholesale LLC. The acquisitions expanded the Company's regulated and wholesale water and wastewater utility operations within the greater Houston metropolitan area and are expected to provide opportunities for long-term customer growth, operational efficiencies, and geographic expansion within Texas.</w:t>
      </w:r>
    </w:p>
    <w:p>
      <w:pPr>
        <w:spacing w:after="0" w:line="77"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that both acquisitions represent business combinations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the acquired assets include inputs and substantive processes capable of generating outputs. Certain disclosures required by ASC 805 related to these acquisitions have been omitted because the information necessary to complete the required disclosure is not yet available due to the timing of the acquisitions relative to the issuance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300" w:right="6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 amounts in thousands, except per share amounts and where otherwise noted)</w:t>
      </w:r>
    </w:p>
    <w:p>
      <w:pPr>
        <w:spacing w:after="0" w:line="4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H2O America’s Annual Report on Form 10-K for the year ended December 31, 2025.</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H2O America’s Annual Report on Form 10-K for the year ended December 31, 2025 under “Risk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H2O America is a holding company whose primary business involves ownership of public utilities that provide water and wastewater services, including the production, purchase, storage, purification, distribution, wholesale and retail sale of water. The water utility business of H2O America is conducted through the following wholly owned subsidiaries: San Jose Water Company (“SJWC”), The Connecticut Water Company (“CWC”), The Maine Water Company (“MWC”), and SJWTX, Inc. doing business as The Texas Water Company (“TWC”). As of September 30, 2026, these subsidiaries provide water service to approximately 409,000 water and wastewater service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w:t>
      </w:r>
    </w:p>
    <w:p>
      <w:pPr>
        <w:spacing w:after="0" w:line="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Together, SJWC, excluding the City of Cupertino (“Cupertino”) service concession arrangement operations, CWC, MWC and TWC are referred to as “Water Utility Services,” which is our single reportable segment.</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business activities that are not separately reportable segments are SJWC’s Cupertino service concession arrangement operations, Texas Water Operation Services, LLC (“TWOS”), Texas Water Resources, LLC (“TWR”), New England Water Utility Services, Inc. (“NEWUS”), H2O America Land Company and Chester Realty, Inc. and are collectively referred to as “Other Services.”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regional regulated water utility operations to support the health, safety and quality of life of our customers;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utility-related services provided in accordance with the guidelines established by applicable state public utility commissions;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utility-related services.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integration of controls necessary for internal control and financial reporting, could interfere with our operations, reduce our operating margins, and adversely affect our internal controls. H2O America cannot be certain that any transaction will be successful or that it will not materially harm operating results or our financial condition.</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As previously disclosed, on October 1, 2026, H2O America, through its indirect subsidiary, TWC, completed the acquisition of substantially all of the assets of Quadvest, including the assets of Quadvest, L.P. and Quadvest Wholesale LLC. The aggregate cash consideration transferred at closing was approximately $542.7 million, consisting of $480.9 million related to Quadvest L.P. and $61.8 million related to Quadvest Wholesale LLC. Please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“Acquisitions” for further discussion. On the completion of these acquisitions, Quadvest brings operational scale, a strong development pipeline,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increased exposure to one of America’s fastest growing regions, Houston, TX. Quadvest brings a strong legacy of local relationships and reliable service. It has been providing water and sewer service in Southeast Texas for nearly 50 years through its operating entities.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the accounting estimates used and disclosed in our 2025 consolidated financial statements and accompanying notes that were prepared in accordance with accounting principles generally accepted in the United States of America and included as part of our Annual Report on Form 10-K for the year ended December 31, 2025, that was filed with the Securities and Exchange Commission on February 26, 2026.</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of Financial Condition and Results of Operations included in our Annual Report on Form 10-K for the year ended December 31, 2025. Our significant accounting policies are described in the notes to the 2025 consolidated financial statements included in our Annual Report on Form 10-K for the year ended December 31, 2025. There have been no changes to critical accounting estimates or significant accounting policies during the three and nine months ended September 30,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“General” for a discussion of new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are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financial results and highlights include: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2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2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9,679</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643,996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c>
          <w:tcPr>
            <w:tcW w:w="1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37,592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175,923</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13,817</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19"/>
                <w:szCs w:val="19"/>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503,327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462,016</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41,311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88,646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1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2.18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3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850"/>
        </w:trPr>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H2O America has a single reportable segment, referred to as “Water Utility Services.” All other business activities not separately reportable are included in “Other Services.” Operating revenue for the Water Utility Services reportable segment and Other Services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80" w:type="dxa"/>
            <w:vAlign w:val="bottom"/>
            <w:gridSpan w:val="10"/>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Operating Revenue by Segment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gridSpan w:val="5"/>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245,634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236,222</w:t>
            </w:r>
          </w:p>
        </w:tc>
        <w:tc>
          <w:tcPr>
            <w:tcW w:w="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631,738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596,052</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10,352</w:t>
            </w: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250,229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240,550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643,996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606,404</w:t>
            </w:r>
          </w:p>
        </w:tc>
      </w:tr>
      <w:tr>
        <w:trPr>
          <w:trHeight w:val="20"/>
        </w:trPr>
        <w:tc>
          <w:tcPr>
            <w:tcW w:w="45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change in consolidated operating revenue was due to the following factors: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4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1"/>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5"/>
          </w:tcPr>
          <w:p>
            <w:pPr>
              <w:jc w:val="center"/>
              <w:ind w:left="336"/>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gridSpan w:val="5"/>
          </w:tcPr>
          <w:p>
            <w:pPr>
              <w:jc w:val="center"/>
              <w:ind w:left="236"/>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5"/>
          </w:tcPr>
          <w:p>
            <w:pPr>
              <w:jc w:val="center"/>
              <w:ind w:left="35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gridSpan w:val="5"/>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4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 for: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0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Pass-through water costs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r>
      <w:tr>
        <w:trPr>
          <w:trHeight w:val="229"/>
        </w:trPr>
        <w:tc>
          <w:tcPr>
            <w:tcW w:w="440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All other increases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Regulatory mechanisms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operating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37,592</w:t>
            </w:r>
          </w:p>
        </w:tc>
        <w:tc>
          <w:tcPr>
            <w:tcW w:w="1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rate increases specifically associated with changes in the water supply costs that are passed through to customers.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associated with general rate cases and related annual escalation adjustments, infrastructure surcharges, and cost of capital adjustments.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portion attributable to rate increases, which are shown in the rate increase lines above.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 is summarized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Operating Expense by Segment</w:t>
            </w:r>
          </w:p>
        </w:tc>
        <w:tc>
          <w:tcPr>
            <w:tcW w:w="158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3"/>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6"/>
                <w:szCs w:val="16"/>
                <w:color w:val="auto"/>
              </w:rPr>
            </w:pPr>
          </w:p>
        </w:tc>
        <w:tc>
          <w:tcPr>
            <w:tcW w:w="276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6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181,738</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482,298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449,185</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r>
      <w:tr>
        <w:trPr>
          <w:trHeight w:val="223"/>
        </w:trPr>
        <w:tc>
          <w:tcPr>
            <w:tcW w:w="46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175,923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503,327</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462,016</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57"/>
        </w:trPr>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expense was due to the following factors: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28"/>
        </w:trPr>
        <w:tc>
          <w:tcPr>
            <w:tcW w:w="4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gridSpan w:val="3"/>
          </w:tcPr>
          <w:p>
            <w:pPr>
              <w:jc w:val="center"/>
              <w:ind w:left="134"/>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1"/>
                <w:szCs w:val="11"/>
                <w:color w:val="auto"/>
              </w:rPr>
            </w:pPr>
          </w:p>
        </w:tc>
      </w:tr>
      <w:tr>
        <w:trPr>
          <w:trHeight w:val="137"/>
        </w:trPr>
        <w:tc>
          <w:tcPr>
            <w:tcW w:w="4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gridSpan w:val="3"/>
          </w:tcPr>
          <w:p>
            <w:pPr>
              <w:jc w:val="center"/>
              <w:ind w:left="15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1"/>
                <w:szCs w:val="11"/>
                <w:color w:val="auto"/>
              </w:rPr>
            </w:pPr>
          </w:p>
        </w:tc>
      </w:tr>
      <w:tr>
        <w:trPr>
          <w:trHeight w:val="190"/>
        </w:trPr>
        <w:tc>
          <w:tcPr>
            <w:tcW w:w="4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74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consumption</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new customers</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75"/>
        </w:trPr>
        <w:tc>
          <w:tcPr>
            <w:tcW w:w="4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Purchased water and groundwater extraction charge,</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energy price change and other production expenses, net</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 cost recovery</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change in operating expense</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Sources of Water Supply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water supply for its regulated utilities is diversified across groundwater, surface water, and purchased sources, with the mix of and reliance on such sources varying by region. Operations in California and Texas face greater hydrologic variability and drought-related pressures, partially mitigated by long-term contracts, conservation measures, and regulatory cost recovery mechanisms, while operations in Connecticut and Maine maintain more stable supply conditions with fewer near-term constraints. Across all regions, the Company relies on long-term agreements with regional authorities and continues to invest in infrastructure and supply reliability initiatives. Overall, management expects existing supplies to be adequate to meet anticipated customer demand throughout 2026, although cost and availability remain sensitive to weather patterns and regional conditions.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3"/>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6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Borders>
              <w:top w:val="single" w:sz="8" w:color="auto"/>
            </w:tcBorders>
            <w:gridSpan w:val="3"/>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80" w:type="dxa"/>
            <w:vAlign w:val="bottom"/>
          </w:tcPr>
          <w:p>
            <w:pPr>
              <w:jc w:val="right"/>
              <w:ind w:right="115"/>
              <w:spacing w:after="0" w:line="148"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source of supply mix were consistent with the changes in the water production expenses.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Water Production Expenses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increase in water production expenses of $5.0 million for the three months ended September 30, 2026, compared to the same period in 2025, was primarily attributable to increases in average per unit costs for purchased water and groundwater extraction, partially offset by lower usage.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water production expenses of $17.1 million for the nine months ended September 30, 2026, compared to the same period in 2025, was primarily attributable to increases in average per unit costs for purchased water and groundwater extraction and increases in water production balancing and memorandum accounts, primarily relating to the FCBA, partially offset by decreases in costs as a result of increased availability of surface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$3.7 million for the three months ended September 30, 2026 compared to the same period in 2025. The increase is associated with utility plant additions placed in service compared to the same period last year.</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$11.1 million for the nine months ended September 30, 2026 compared to the same period in 2025. The increase is associated with utility plant additions placed in service compared to the same period last year.</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$5.1 million for the three months ended September 30, 2026, compared to the same period in 2025. The increase was primarily attributable to a net increase in general and administrative expenses driven by higher merger and acquisition costs and outsourced services costs.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$13.1 million for the nine months ended September 30, 2026, compared to the same period in 2025. The increase was primarily attributable to a net increase in general and administrative expenses driven by higher merger and acquisition costs and outsourced services.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compared to the same period in 2025, the change in other (expense) income of $1.5 million was primarily due to an increase in gains on sale of non-utility properties, increase in investment income from higher investment balances and an increase in pension non-service credits.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compared to the same period in 2025, the change in other (expense) income of $4.6 million was primarily due to an increase in investment income from higher investment balances, higher income from the equity portion of the AFUDC, an increase in pension non-service credits and an increase in gains on sale of non-utility properties.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H2O America's net income and diluted EPS are prepared in accordance with GAAP. Adjusted net income and Adjusted diluted EPS are non-GAAP financial measures representing GAAP earnings adjusted to exclude the effects of non-utility real estate transactions and costs associated with mergers and acquisition activities, if any. These non-GAAP financial measures are provided as additional information for investors to evaluate the performance of H2O America's business activities excluding these items. Management also believes these non-GAAP financial measures help investors and analysts better understand our actual results compared to our guidance on a non-GAAP basis. H2O America uses adjusted net income and/or adjusted diluted EPS as the primary performance measurements when communicating with analysts and investors regarding our outlook and results. Adjusted net income and Adjusted diluted EPS are also used internally to measure performance. However, these non-GAAP financial measures may be different from non-GAAP financial measures used by other companies, even when the same or similarly titled terms are used to identify such measures, limiting their usefulness for comparative purposes. Further, these non-GAAP financial measures should be considered as a supplement to the financial information prepared on a GAAP basis rather than an alternative to the respective GAAP financial measures.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Net Income and EPS, each as defined under GAAP, to our non-GAAP financial measures of Adjusted Net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for the three and nine months ended September 30, 2026, compared to the same periods in 2025:</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640" w:type="dxa"/>
        <w:tblCellMar>
          <w:top w:w="0" w:type="dxa"/>
          <w:left w:w="0" w:type="dxa"/>
          <w:bottom w:w="0" w:type="dxa"/>
          <w:right w:w="0" w:type="dxa"/>
        </w:tblCellMar>
      </w:tblPr>
      <w:tr>
        <w:trPr>
          <w:trHeight w:val="190"/>
        </w:trPr>
        <w:tc>
          <w:tcPr>
            <w:tcW w:w="28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13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1360" w:type="dxa"/>
            <w:vAlign w:val="bottom"/>
          </w:tcPr>
          <w:p>
            <w:pPr>
              <w:spacing w:after="0"/>
              <w:rPr>
                <w:sz w:val="16"/>
                <w:szCs w:val="16"/>
                <w:color w:val="auto"/>
              </w:rPr>
            </w:pPr>
          </w:p>
        </w:tc>
        <w:tc>
          <w:tcPr>
            <w:tcW w:w="286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bl>
    <w:p>
      <w:pPr>
        <w:spacing w:after="0" w:line="7"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Reported GAAP Net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88,646</w:t>
            </w:r>
          </w:p>
        </w:tc>
      </w:tr>
      <w:tr>
        <w:trPr>
          <w:trHeight w:val="226"/>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Gain on sale of real estate investments</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3"/>
        </w:trPr>
        <w:tc>
          <w:tcPr>
            <w:tcW w:w="562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Expense for merger, acquisition and integration related activities</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r>
      <w:tr>
        <w:trPr>
          <w:trHeight w:val="180"/>
        </w:trPr>
        <w:tc>
          <w:tcPr>
            <w:tcW w:w="56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Non-recurring tax adjustment due to merger, acquisition and integration</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5"/>
        </w:trPr>
        <w:tc>
          <w:tcPr>
            <w:tcW w:w="5620" w:type="dxa"/>
            <w:vAlign w:val="bottom"/>
          </w:tcPr>
          <w:p>
            <w:pPr>
              <w:ind w:left="220"/>
              <w:spacing w:after="0" w:line="235" w:lineRule="exact"/>
              <w:rPr>
                <w:sz w:val="20"/>
                <w:szCs w:val="20"/>
                <w:color w:val="auto"/>
              </w:rPr>
            </w:pPr>
            <w:r>
              <w:rPr>
                <w:rFonts w:ascii="Times New Roman" w:cs="Times New Roman" w:eastAsia="Times New Roman" w:hAnsi="Times New Roman"/>
                <w:sz w:val="18"/>
                <w:szCs w:val="18"/>
                <w:color w:val="auto"/>
              </w:rPr>
              <w:t>related activities</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8"/>
        </w:trPr>
        <w:tc>
          <w:tcPr>
            <w:tcW w:w="562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Tax effect of above adjustments</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95,292</w:t>
            </w:r>
          </w:p>
        </w:tc>
      </w:tr>
      <w:tr>
        <w:trPr>
          <w:trHeight w:val="47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Reported GAAP Diluted Earnings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estate investments, net of tax</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180"/>
        </w:trPr>
        <w:tc>
          <w:tcPr>
            <w:tcW w:w="56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Expense for merger, acquisition and integration related activities, net of</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8"/>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180"/>
        </w:trPr>
        <w:tc>
          <w:tcPr>
            <w:tcW w:w="56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Non-recurring tax adjustment due to merger, acquisition and integration</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activities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Earnings Per Share (non-GAAP)</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Included in the "Administrative and general" and “Other, net” lines on the condensed consolidated statements of comprehensive income.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Included in the “provision for income taxes” line on the condensed consolidated statements of comprehensive income.</w:t>
      </w:r>
    </w:p>
    <w:p>
      <w:pPr>
        <w:spacing w:after="0"/>
        <w:rPr>
          <w:sz w:val="20"/>
          <w:szCs w:val="20"/>
          <w:color w:val="auto"/>
        </w:rPr>
      </w:pPr>
      <w:r>
        <w:rPr>
          <w:rFonts w:ascii="Times New Roman" w:cs="Times New Roman" w:eastAsia="Times New Roman" w:hAnsi="Times New Roman"/>
          <w:sz w:val="13"/>
          <w:szCs w:val="13"/>
          <w:color w:val="auto"/>
        </w:rPr>
        <w:t>3 The tax effect of the pre-tax adjustments is calculated using the applicable statutory tax rates and excludes the adjustment described in footnote ², as it is already reflected as a tax item.</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and Rates</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Times New Roman" w:cs="Times New Roman" w:eastAsia="Times New Roman" w:hAnsi="Times New Roman"/>
          <w:sz w:val="17"/>
          <w:szCs w:val="17"/>
          <w:color w:val="auto"/>
        </w:rPr>
        <w:t>86,358</w:t>
      </w:r>
    </w:p>
    <w:p>
      <w:pPr>
        <w:spacing w:after="0" w:line="26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(273)</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3,048</w:t>
      </w: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(766)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88,367</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2.48</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(0.01)</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0.06</w:t>
      </w:r>
    </w:p>
    <w:p>
      <w:pPr>
        <w:spacing w:after="0" w:line="21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17145</wp:posOffset>
            </wp:positionV>
            <wp:extent cx="8483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17145</wp:posOffset>
            </wp:positionV>
            <wp:extent cx="8483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43180</wp:posOffset>
            </wp:positionV>
            <wp:extent cx="848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143" w:lineRule="exact"/>
        <w:rPr>
          <w:sz w:val="20"/>
          <w:szCs w:val="20"/>
          <w:color w:val="auto"/>
        </w:rPr>
      </w:pPr>
    </w:p>
    <w:p>
      <w:pPr>
        <w:sectPr>
          <w:pgSz w:w="11900" w:h="16838" w:orient="portrait"/>
          <w:cols w:equalWidth="0" w:num="2">
            <w:col w:w="9960" w:space="720"/>
            <w:col w:w="560"/>
          </w:cols>
          <w:pgMar w:left="320" w:top="121" w:right="339" w:bottom="1440" w:gutter="0" w:footer="0" w:header="0"/>
          <w:type w:val="continuous"/>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Almost all of the operating revenue of H2O America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“Regulatory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current rate related activities as applicable for Water Utility Services: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 Mechanism / Filing</w:t>
            </w: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Revenue Impact</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Approval / Decision</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Rates Effective</w:t>
            </w:r>
          </w:p>
        </w:tc>
      </w:tr>
      <w:tr>
        <w:trPr>
          <w:trHeight w:val="238"/>
        </w:trPr>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0" w:type="dxa"/>
            <w:vAlign w:val="bottom"/>
          </w:tcPr>
          <w:p>
            <w:pPr>
              <w:spacing w:after="0"/>
              <w:rPr>
                <w:sz w:val="20"/>
                <w:szCs w:val="20"/>
                <w:color w:val="auto"/>
              </w:rPr>
            </w:pPr>
          </w:p>
        </w:tc>
      </w:tr>
      <w:tr>
        <w:trPr>
          <w:trHeight w:val="27"/>
        </w:trPr>
        <w:tc>
          <w:tcPr>
            <w:tcW w:w="274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Approved Regulatory Proceedings</w:t>
            </w:r>
          </w:p>
        </w:tc>
        <w:tc>
          <w:tcPr>
            <w:tcW w:w="2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7"/>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2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Advice Letter No. 613 – Revenue</w:t>
            </w:r>
          </w:p>
        </w:tc>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$21.3 million increase; $15.8</w:t>
            </w:r>
          </w:p>
        </w:tc>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Approved December</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2025</w:t>
            </w:r>
          </w:p>
        </w:tc>
      </w:tr>
      <w:tr>
        <w:trPr>
          <w:trHeight w:val="203"/>
        </w:trPr>
        <w:tc>
          <w:tcPr>
            <w:tcW w:w="1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62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Requirement and Balancing and</w:t>
            </w:r>
          </w:p>
        </w:tc>
        <w:tc>
          <w:tcPr>
            <w:tcW w:w="24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million recovery</w:t>
            </w:r>
          </w:p>
        </w:tc>
        <w:tc>
          <w:tcPr>
            <w:tcW w:w="18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2024 (D.24-12-077)</w:t>
            </w:r>
          </w:p>
        </w:tc>
        <w:tc>
          <w:tcPr>
            <w:tcW w:w="1600" w:type="dxa"/>
            <w:vAlign w:val="bottom"/>
            <w:shd w:val="clear" w:color="auto" w:fill="CCEEFF"/>
          </w:tcPr>
          <w:p>
            <w:pPr>
              <w:spacing w:after="0"/>
              <w:rPr>
                <w:sz w:val="17"/>
                <w:szCs w:val="17"/>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Memorandum account Recovery</w:t>
            </w:r>
          </w:p>
        </w:tc>
        <w:tc>
          <w:tcPr>
            <w:tcW w:w="24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198"/>
        </w:trPr>
        <w:tc>
          <w:tcPr>
            <w:tcW w:w="1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50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Advice Letter No. 616 – Purchased $22.5 million increase</w:t>
            </w:r>
          </w:p>
        </w:tc>
        <w:tc>
          <w:tcPr>
            <w:tcW w:w="18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Approved May 2025</w:t>
            </w:r>
          </w:p>
        </w:tc>
        <w:tc>
          <w:tcPr>
            <w:tcW w:w="16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July 1, 2025</w:t>
            </w:r>
          </w:p>
        </w:tc>
      </w:tr>
      <w:tr>
        <w:trPr>
          <w:trHeight w:val="234"/>
        </w:trPr>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Water / Groundwater Offset</w:t>
            </w: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8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8"/>
        </w:trPr>
        <w:tc>
          <w:tcPr>
            <w:tcW w:w="1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5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50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Advice Letter No. 617 – Advanced $6.8 million increase</w:t>
            </w:r>
          </w:p>
        </w:tc>
        <w:tc>
          <w:tcPr>
            <w:tcW w:w="18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Approved May 2025</w:t>
            </w:r>
          </w:p>
        </w:tc>
        <w:tc>
          <w:tcPr>
            <w:tcW w:w="16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July 1, 2025</w:t>
            </w:r>
          </w:p>
        </w:tc>
      </w:tr>
      <w:tr>
        <w:trPr>
          <w:trHeight w:val="203"/>
        </w:trPr>
        <w:tc>
          <w:tcPr>
            <w:tcW w:w="1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62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Metering Infrastructure (“AMI”)</w:t>
            </w:r>
          </w:p>
        </w:tc>
        <w:tc>
          <w:tcPr>
            <w:tcW w:w="2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Project Recovery</w:t>
            </w:r>
          </w:p>
        </w:tc>
        <w:tc>
          <w:tcPr>
            <w:tcW w:w="24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198"/>
        </w:trPr>
        <w:tc>
          <w:tcPr>
            <w:tcW w:w="1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26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Advice Letter No. 618 – Water</w:t>
            </w:r>
          </w:p>
        </w:tc>
        <w:tc>
          <w:tcPr>
            <w:tcW w:w="24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 immediate revenue impact</w:t>
            </w:r>
          </w:p>
        </w:tc>
        <w:tc>
          <w:tcPr>
            <w:tcW w:w="18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Approved July 2025</w:t>
            </w:r>
          </w:p>
        </w:tc>
        <w:tc>
          <w:tcPr>
            <w:tcW w:w="16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June 24, 2025</w:t>
            </w:r>
          </w:p>
        </w:tc>
      </w:tr>
      <w:tr>
        <w:trPr>
          <w:trHeight w:val="223"/>
        </w:trPr>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Contamination Litigation</w:t>
            </w:r>
          </w:p>
        </w:tc>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ind w:left="2820"/>
        <w:spacing w:after="0" w:line="219" w:lineRule="auto"/>
        <w:rPr>
          <w:sz w:val="20"/>
          <w:szCs w:val="20"/>
          <w:color w:val="auto"/>
        </w:rPr>
      </w:pPr>
      <w:r>
        <w:rPr>
          <w:rFonts w:ascii="Times New Roman" w:cs="Times New Roman" w:eastAsia="Times New Roman" w:hAnsi="Times New Roman"/>
          <w:sz w:val="18"/>
          <w:szCs w:val="18"/>
          <w:color w:val="auto"/>
        </w:rPr>
        <w:t>Memorandum Account</w:t>
      </w:r>
    </w:p>
    <w:p>
      <w:pPr>
        <w:ind w:left="2820"/>
        <w:spacing w:after="0"/>
        <w:rPr>
          <w:sz w:val="20"/>
          <w:szCs w:val="20"/>
          <w:color w:val="auto"/>
        </w:rPr>
      </w:pPr>
      <w:r>
        <w:rPr>
          <w:rFonts w:ascii="Times New Roman" w:cs="Times New Roman" w:eastAsia="Times New Roman" w:hAnsi="Times New Roman"/>
          <w:sz w:val="18"/>
          <w:szCs w:val="18"/>
          <w:color w:val="auto"/>
        </w:rPr>
        <w:t>(“WCLMA”)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California</w:t>
            </w:r>
          </w:p>
        </w:tc>
        <w:tc>
          <w:tcPr>
            <w:tcW w:w="2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Advice Letter No. 620 – Ground</w:t>
            </w: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immediate revenue impact</w:t>
            </w:r>
          </w:p>
        </w:tc>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Approved October</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14, 2025</w:t>
            </w: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40" w:type="dxa"/>
            <w:vAlign w:val="bottom"/>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Water Regulation Legal Expenses</w:t>
            </w:r>
          </w:p>
        </w:tc>
        <w:tc>
          <w:tcPr>
            <w:tcW w:w="2480" w:type="dxa"/>
            <w:vAlign w:val="bottom"/>
            <w:shd w:val="clear" w:color="auto" w:fill="CCEEFF"/>
          </w:tcPr>
          <w:p>
            <w:pPr>
              <w:spacing w:after="0"/>
              <w:rPr>
                <w:sz w:val="17"/>
                <w:szCs w:val="17"/>
                <w:color w:val="auto"/>
              </w:rPr>
            </w:pPr>
          </w:p>
        </w:tc>
        <w:tc>
          <w:tcPr>
            <w:tcW w:w="18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600" w:type="dxa"/>
            <w:vAlign w:val="bottom"/>
            <w:shd w:val="clear" w:color="auto" w:fill="CCEEFF"/>
          </w:tcPr>
          <w:p>
            <w:pPr>
              <w:spacing w:after="0"/>
              <w:rPr>
                <w:sz w:val="17"/>
                <w:szCs w:val="17"/>
                <w:color w:val="auto"/>
              </w:rPr>
            </w:pPr>
          </w:p>
        </w:tc>
      </w:tr>
      <w:tr>
        <w:trPr>
          <w:trHeight w:val="189"/>
        </w:trPr>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940" w:type="dxa"/>
            <w:vAlign w:val="bottom"/>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rPr>
              <w:t>Memorandum Account</w:t>
            </w:r>
          </w:p>
        </w:tc>
        <w:tc>
          <w:tcPr>
            <w:tcW w:w="24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(“GWRLEMA”)</w:t>
            </w:r>
          </w:p>
        </w:tc>
        <w:tc>
          <w:tcPr>
            <w:tcW w:w="2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198"/>
        </w:trPr>
        <w:tc>
          <w:tcPr>
            <w:tcW w:w="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5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5420" w:type="dxa"/>
            <w:vAlign w:val="bottom"/>
            <w:gridSpan w:val="2"/>
          </w:tcPr>
          <w:p>
            <w:pPr>
              <w:ind w:left="400"/>
              <w:spacing w:after="0" w:line="198" w:lineRule="exact"/>
              <w:rPr>
                <w:sz w:val="20"/>
                <w:szCs w:val="20"/>
                <w:color w:val="auto"/>
              </w:rPr>
            </w:pPr>
            <w:r>
              <w:rPr>
                <w:rFonts w:ascii="Times New Roman" w:cs="Times New Roman" w:eastAsia="Times New Roman" w:hAnsi="Times New Roman"/>
                <w:sz w:val="18"/>
                <w:szCs w:val="18"/>
                <w:color w:val="auto"/>
              </w:rPr>
              <w:t>Advice Letter No. 621A – Revenue $17.2 million increase</w:t>
            </w:r>
          </w:p>
        </w:tc>
        <w:tc>
          <w:tcPr>
            <w:tcW w:w="18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Approved December</w:t>
            </w:r>
          </w:p>
        </w:tc>
        <w:tc>
          <w:tcPr>
            <w:tcW w:w="16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1, 2026</w:t>
            </w:r>
          </w:p>
        </w:tc>
      </w:tr>
      <w:tr>
        <w:trPr>
          <w:trHeight w:val="234"/>
        </w:trPr>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Requirement Increase</w:t>
            </w:r>
          </w:p>
        </w:tc>
        <w:tc>
          <w:tcPr>
            <w:tcW w:w="2480" w:type="dxa"/>
            <w:vAlign w:val="bottom"/>
          </w:tcPr>
          <w:p>
            <w:pPr>
              <w:spacing w:after="0"/>
              <w:rPr>
                <w:sz w:val="20"/>
                <w:szCs w:val="20"/>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8"/>
        </w:trPr>
        <w:tc>
          <w:tcPr>
            <w:tcW w:w="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52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294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Cost of Capital (“COC”) Filing</w:t>
            </w:r>
          </w:p>
        </w:tc>
        <w:tc>
          <w:tcPr>
            <w:tcW w:w="24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No change expected</w:t>
            </w:r>
          </w:p>
        </w:tc>
        <w:tc>
          <w:tcPr>
            <w:tcW w:w="18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Approved November</w:t>
            </w:r>
          </w:p>
        </w:tc>
        <w:tc>
          <w:tcPr>
            <w:tcW w:w="16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The timing for the</w:t>
            </w: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40" w:type="dxa"/>
            <w:vAlign w:val="bottom"/>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Deferment</w:t>
            </w:r>
          </w:p>
        </w:tc>
        <w:tc>
          <w:tcPr>
            <w:tcW w:w="2480" w:type="dxa"/>
            <w:vAlign w:val="bottom"/>
            <w:shd w:val="clear" w:color="auto" w:fill="CCEEFF"/>
          </w:tcPr>
          <w:p>
            <w:pPr>
              <w:spacing w:after="0"/>
              <w:rPr>
                <w:sz w:val="17"/>
                <w:szCs w:val="17"/>
                <w:color w:val="auto"/>
              </w:rPr>
            </w:pPr>
          </w:p>
        </w:tc>
        <w:tc>
          <w:tcPr>
            <w:tcW w:w="18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6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next COC filing will</w:t>
            </w:r>
          </w:p>
        </w:tc>
      </w:tr>
      <w:tr>
        <w:trPr>
          <w:trHeight w:val="189"/>
        </w:trPr>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0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be May 1, 2027,</w:t>
            </w: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approximately</w:t>
            </w:r>
          </w:p>
        </w:tc>
      </w:tr>
      <w:tr>
        <w:trPr>
          <w:trHeight w:val="203"/>
        </w:trPr>
        <w:tc>
          <w:tcPr>
            <w:tcW w:w="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effective January 1,</w:t>
            </w: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2028</w:t>
            </w:r>
          </w:p>
        </w:tc>
      </w:tr>
      <w:tr>
        <w:trPr>
          <w:trHeight w:val="198"/>
        </w:trPr>
        <w:tc>
          <w:tcPr>
            <w:tcW w:w="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5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294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Advice Letter No. 627A –</w:t>
            </w:r>
          </w:p>
        </w:tc>
        <w:tc>
          <w:tcPr>
            <w:tcW w:w="24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$13.3 million surcharge</w:t>
            </w:r>
          </w:p>
        </w:tc>
        <w:tc>
          <w:tcPr>
            <w:tcW w:w="18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Approved June 2026</w:t>
            </w:r>
          </w:p>
        </w:tc>
        <w:tc>
          <w:tcPr>
            <w:tcW w:w="16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July 1, 2026</w:t>
            </w:r>
          </w:p>
        </w:tc>
      </w:tr>
      <w:tr>
        <w:trPr>
          <w:trHeight w:val="223"/>
        </w:trPr>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Monterey Water Revenue</w:t>
            </w:r>
          </w:p>
        </w:tc>
        <w:tc>
          <w:tcPr>
            <w:tcW w:w="2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ind w:left="2800"/>
        <w:spacing w:after="0" w:line="219" w:lineRule="auto"/>
        <w:rPr>
          <w:sz w:val="20"/>
          <w:szCs w:val="20"/>
          <w:color w:val="auto"/>
        </w:rPr>
      </w:pPr>
      <w:r>
        <w:rPr>
          <w:rFonts w:ascii="Times New Roman" w:cs="Times New Roman" w:eastAsia="Times New Roman" w:hAnsi="Times New Roman"/>
          <w:sz w:val="18"/>
          <w:szCs w:val="18"/>
          <w:color w:val="auto"/>
        </w:rPr>
        <w:t>Adjustment Mechanism (“M-</w:t>
      </w:r>
    </w:p>
    <w:p>
      <w:pPr>
        <w:ind w:left="2800"/>
        <w:spacing w:after="0"/>
        <w:rPr>
          <w:sz w:val="20"/>
          <w:szCs w:val="20"/>
          <w:color w:val="auto"/>
        </w:rPr>
      </w:pPr>
      <w:r>
        <w:rPr>
          <w:rFonts w:ascii="Times New Roman" w:cs="Times New Roman" w:eastAsia="Times New Roman" w:hAnsi="Times New Roman"/>
          <w:sz w:val="18"/>
          <w:szCs w:val="18"/>
          <w:color w:val="auto"/>
        </w:rPr>
        <w:t>WRAM”)</w:t>
      </w:r>
    </w:p>
    <w:p>
      <w:pPr>
        <w:sectPr>
          <w:pgSz w:w="11900" w:h="16838" w:orient="portrait"/>
          <w:cols w:equalWidth="0" w:num="1">
            <w:col w:w="11240"/>
          </w:cols>
          <w:pgMar w:left="320" w:top="121" w:right="339" w:bottom="1440" w:gutter="0" w:footer="0" w:header="0"/>
        </w:sectPr>
      </w:pP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SJWC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California</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Advice Letter No. 628A –</w:t>
            </w:r>
          </w:p>
        </w:tc>
      </w:tr>
      <w:tr>
        <w:trPr>
          <w:trHeight w:val="203"/>
        </w:trPr>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Purchased Water / Groundwater</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Offset</w:t>
            </w: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SJWC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California</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Advice Letter No. 629A –</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AMI Project Recovery</w:t>
            </w: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Connecticut</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2024 Water Infrastructure</w:t>
            </w:r>
          </w:p>
        </w:tc>
      </w:tr>
      <w:tr>
        <w:trPr>
          <w:trHeight w:val="203"/>
        </w:trPr>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Conservation Adjustment</w:t>
            </w:r>
          </w:p>
        </w:tc>
      </w:tr>
      <w:tr>
        <w:trPr>
          <w:trHeight w:val="189"/>
        </w:trPr>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6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(“WICA”) Reconciliation and</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w:t>
            </w: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Connecticut</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2024 Water Rate Adjustment</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mechanism (“WRA”)</w:t>
            </w:r>
          </w:p>
        </w:tc>
      </w:t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Connecticut</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WICA Increase</w:t>
            </w:r>
          </w:p>
        </w:tc>
      </w:tr>
      <w:tr>
        <w:trPr>
          <w:trHeight w:val="42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Connecticut</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Water Quality and Treatment</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 (“WQTA”)</w:t>
            </w:r>
          </w:p>
        </w:tc>
      </w:t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Connecticut</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WRA</w:t>
            </w:r>
          </w:p>
        </w:tc>
      </w:tr>
      <w:tr>
        <w:trPr>
          <w:trHeight w:val="42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Connecticut</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WICA Reconciliation and</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w:t>
            </w:r>
          </w:p>
        </w:tc>
      </w:tr>
      <w:tr>
        <w:trPr>
          <w:trHeight w:val="6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MWC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Maine</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Camden Rockland General Rate</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Case</w:t>
            </w: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MWC</w:t>
            </w:r>
          </w:p>
        </w:tc>
        <w:tc>
          <w:tcPr>
            <w:tcW w:w="1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Maine</w:t>
            </w: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Water Infrastructure Surcharge</w:t>
            </w:r>
          </w:p>
        </w:tc>
      </w:tr>
      <w:tr>
        <w:trPr>
          <w:trHeight w:val="203"/>
        </w:trPr>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(“WISC”) for Oakland and</w:t>
            </w:r>
          </w:p>
        </w:tc>
      </w:tr>
      <w:tr>
        <w:trPr>
          <w:trHeight w:val="234"/>
        </w:trPr>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Biddeford Saco divisions</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$22.8 million increase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June 2026</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July 1, 2026</w:t>
            </w:r>
          </w:p>
        </w:tc>
      </w:tr>
      <w:tr>
        <w:trPr>
          <w:trHeight w:val="6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$8.38 million increase; $52.9</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June 2026</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July 1, 2026</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million rate base increase</w:t>
            </w: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$1.6 million surcharge, $6.0</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March</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million annual collection</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spacing w:after="0"/>
              <w:rPr>
                <w:sz w:val="20"/>
                <w:szCs w:val="20"/>
                <w:color w:val="auto"/>
              </w:rPr>
            </w:pPr>
          </w:p>
        </w:tc>
      </w:tr>
      <w:tr>
        <w:trPr>
          <w:trHeight w:val="6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$4.6 million surcharge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March</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r>
      <w:tr>
        <w:trPr>
          <w:trHeight w:val="234"/>
        </w:trPr>
        <w:tc>
          <w:tcPr>
            <w:tcW w:w="2540" w:type="dxa"/>
            <w:vAlign w:val="bottom"/>
          </w:tcPr>
          <w:p>
            <w:pPr>
              <w:spacing w:after="0"/>
              <w:rPr>
                <w:sz w:val="20"/>
                <w:szCs w:val="20"/>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spacing w:after="0"/>
              <w:rPr>
                <w:sz w:val="20"/>
                <w:szCs w:val="20"/>
                <w:color w:val="auto"/>
              </w:rPr>
            </w:pPr>
          </w:p>
        </w:tc>
      </w:tr>
      <w:tr>
        <w:trPr>
          <w:trHeight w:val="22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$3.1 million surcharge, $9.1</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July 2025</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October 1, 2025</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million annual collection</w:t>
            </w: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$0.6 million surcharge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March</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4"/>
        </w:trPr>
        <w:tc>
          <w:tcPr>
            <w:tcW w:w="2540" w:type="dxa"/>
            <w:vAlign w:val="bottom"/>
          </w:tcPr>
          <w:p>
            <w:pPr>
              <w:spacing w:after="0"/>
              <w:rPr>
                <w:sz w:val="20"/>
                <w:szCs w:val="20"/>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tcPr>
          <w:p>
            <w:pPr>
              <w:spacing w:after="0"/>
              <w:rPr>
                <w:sz w:val="20"/>
                <w:szCs w:val="20"/>
                <w:color w:val="auto"/>
              </w:rPr>
            </w:pPr>
          </w:p>
        </w:tc>
      </w:tr>
      <w:tr>
        <w:trPr>
          <w:trHeight w:val="22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$7.2 million surcharge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March</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4"/>
        </w:trPr>
        <w:tc>
          <w:tcPr>
            <w:tcW w:w="2540" w:type="dxa"/>
            <w:vAlign w:val="bottom"/>
          </w:tcPr>
          <w:p>
            <w:pPr>
              <w:spacing w:after="0"/>
              <w:rPr>
                <w:sz w:val="20"/>
                <w:szCs w:val="20"/>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tcPr>
          <w:p>
            <w:pPr>
              <w:spacing w:after="0"/>
              <w:rPr>
                <w:sz w:val="20"/>
                <w:szCs w:val="20"/>
                <w:color w:val="auto"/>
              </w:rPr>
            </w:pPr>
          </w:p>
        </w:tc>
      </w:tr>
      <w:tr>
        <w:trPr>
          <w:trHeight w:val="22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Increase of $2.7 million surcharge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March</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2026</w:t>
            </w:r>
          </w:p>
        </w:tc>
      </w:tr>
      <w:tr>
        <w:trPr>
          <w:trHeight w:val="203"/>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 reconciliation surcharge of</w:t>
            </w:r>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220" w:type="dxa"/>
            <w:vAlign w:val="bottom"/>
          </w:tcPr>
          <w:p>
            <w:pPr>
              <w:spacing w:after="0"/>
              <w:rPr>
                <w:sz w:val="17"/>
                <w:szCs w:val="17"/>
                <w:color w:val="auto"/>
              </w:rPr>
            </w:pPr>
          </w:p>
        </w:tc>
      </w:tr>
      <w:tr>
        <w:trPr>
          <w:trHeight w:val="189"/>
        </w:trPr>
        <w:tc>
          <w:tcPr>
            <w:tcW w:w="2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$0.3 million. $12.1 million annual</w:t>
            </w:r>
          </w:p>
        </w:tc>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collection</w:t>
            </w: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$0.9 million increase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June 2025</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July 1, 2025</w:t>
            </w:r>
          </w:p>
        </w:tc>
      </w:tr>
      <w:tr>
        <w:trPr>
          <w:trHeight w:val="45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$0.5 million surcharge</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June 2025</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July 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-3411220</wp:posOffset>
            </wp:positionV>
            <wp:extent cx="7115175"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42037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-2700020</wp:posOffset>
            </wp:positionV>
            <wp:extent cx="7115175" cy="548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54864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-1859280</wp:posOffset>
            </wp:positionV>
            <wp:extent cx="7115175"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-1276350</wp:posOffset>
            </wp:positionV>
            <wp:extent cx="711517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-436245</wp:posOffset>
            </wp:positionV>
            <wp:extent cx="711517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5140" w:space="280"/>
            <w:col w:w="58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MWC</w:t>
            </w:r>
          </w:p>
        </w:tc>
        <w:tc>
          <w:tcPr>
            <w:tcW w:w="1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Maine</w:t>
            </w:r>
          </w:p>
        </w:tc>
        <w:tc>
          <w:tcPr>
            <w:tcW w:w="3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Request to establish a unified tariff</w:t>
            </w:r>
          </w:p>
        </w:tc>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revenue impact</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Approved January</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 1, 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10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across its ten separate rate</w:t>
            </w:r>
          </w:p>
        </w:tc>
        <w:tc>
          <w:tcPr>
            <w:tcW w:w="25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divisions.</w:t>
            </w:r>
          </w:p>
        </w:tc>
        <w:tc>
          <w:tcPr>
            <w:tcW w:w="25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MWC</w:t>
            </w: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Maine</w:t>
            </w:r>
          </w:p>
        </w:tc>
        <w:tc>
          <w:tcPr>
            <w:tcW w:w="3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WISC</w:t>
            </w: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$0.9 million surcharge</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May 2026</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 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TWC</w:t>
            </w:r>
          </w:p>
        </w:tc>
        <w:tc>
          <w:tcPr>
            <w:tcW w:w="140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Texas</w:t>
            </w:r>
          </w:p>
        </w:tc>
        <w:tc>
          <w:tcPr>
            <w:tcW w:w="310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Amended System Improvement</w:t>
            </w:r>
          </w:p>
        </w:tc>
        <w:tc>
          <w:tcPr>
            <w:tcW w:w="256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Increase of $3.9 million for water</w:t>
            </w:r>
          </w:p>
        </w:tc>
        <w:tc>
          <w:tcPr>
            <w:tcW w:w="16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Approved May 2025</w:t>
            </w:r>
          </w:p>
        </w:tc>
        <w:tc>
          <w:tcPr>
            <w:tcW w:w="16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May 15, 2025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Charge (“SIC”)</w:t>
            </w:r>
          </w:p>
        </w:tc>
        <w:tc>
          <w:tcPr>
            <w:tcW w:w="2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$0.2 million for sewer</w:t>
            </w:r>
          </w:p>
        </w:tc>
        <w:tc>
          <w:tcPr>
            <w:tcW w:w="16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947"/>
        </w:trPr>
        <w:tc>
          <w:tcPr>
            <w:tcW w:w="8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TWC</w:t>
            </w:r>
          </w:p>
        </w:tc>
        <w:tc>
          <w:tcPr>
            <w:tcW w:w="400" w:type="dxa"/>
            <w:vAlign w:val="bottom"/>
            <w:tcBorders>
              <w:top w:val="single" w:sz="8" w:color="0000FF"/>
            </w:tcBorders>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SIC Amendment</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Approved revenue requirements</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October</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1, 2026</w:t>
            </w:r>
          </w:p>
        </w:tc>
      </w:tr>
      <w:tr>
        <w:trPr>
          <w:trHeight w:val="203"/>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decreased by approximately $0.03</w:t>
            </w:r>
          </w:p>
        </w:tc>
        <w:tc>
          <w:tcPr>
            <w:tcW w:w="16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640" w:type="dxa"/>
            <w:vAlign w:val="bottom"/>
          </w:tcPr>
          <w:p>
            <w:pPr>
              <w:spacing w:after="0"/>
              <w:rPr>
                <w:sz w:val="17"/>
                <w:szCs w:val="17"/>
                <w:color w:val="auto"/>
              </w:rPr>
            </w:pPr>
          </w:p>
        </w:tc>
      </w:tr>
      <w:tr>
        <w:trPr>
          <w:trHeight w:val="189"/>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million for water operations and</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$0.2 million for sewer operations</w:t>
            </w: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compared to Docket No. 56974</w:t>
            </w:r>
          </w:p>
        </w:tc>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
        </w:trPr>
        <w:tc>
          <w:tcPr>
            <w:tcW w:w="2660" w:type="dxa"/>
            <w:vAlign w:val="bottom"/>
            <w:gridSpan w:val="3"/>
          </w:tcPr>
          <w:p>
            <w:pPr>
              <w:spacing w:after="0"/>
              <w:rPr>
                <w:sz w:val="3"/>
                <w:szCs w:val="3"/>
                <w:color w:val="auto"/>
              </w:rPr>
            </w:pPr>
          </w:p>
        </w:tc>
        <w:tc>
          <w:tcPr>
            <w:tcW w:w="26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6"/>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Pending Regulatory Proceedings</w:t>
            </w:r>
          </w:p>
        </w:tc>
        <w:tc>
          <w:tcPr>
            <w:tcW w:w="260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198"/>
        </w:trPr>
        <w:tc>
          <w:tcPr>
            <w:tcW w:w="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SJWC</w:t>
            </w:r>
          </w:p>
        </w:tc>
        <w:tc>
          <w:tcPr>
            <w:tcW w:w="1780" w:type="dxa"/>
            <w:vAlign w:val="bottom"/>
            <w:gridSpan w:val="2"/>
          </w:tcPr>
          <w:p>
            <w:pPr>
              <w:ind w:left="40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2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 of Recovery of Per- and</w:t>
            </w:r>
          </w:p>
        </w:tc>
        <w:tc>
          <w:tcPr>
            <w:tcW w:w="2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No immediate revenue impact</w:t>
            </w:r>
          </w:p>
        </w:tc>
        <w:tc>
          <w:tcPr>
            <w:tcW w:w="16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Filed April 10, 2026</w:t>
            </w:r>
          </w:p>
        </w:tc>
        <w:tc>
          <w:tcPr>
            <w:tcW w:w="16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Expected Q2 2027</w:t>
            </w:r>
          </w:p>
        </w:tc>
      </w:tr>
      <w:tr>
        <w:trPr>
          <w:trHeight w:val="203"/>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Polyfluoroalkyl Substances</w:t>
            </w:r>
          </w:p>
        </w:tc>
        <w:tc>
          <w:tcPr>
            <w:tcW w:w="2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(“PFAS”) Compliance Program</w:t>
            </w:r>
          </w:p>
        </w:tc>
        <w:tc>
          <w:tcPr>
            <w:tcW w:w="2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6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8"/>
        </w:trPr>
        <w:tc>
          <w:tcPr>
            <w:tcW w:w="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CWC</w:t>
            </w:r>
          </w:p>
        </w:tc>
        <w:tc>
          <w:tcPr>
            <w:tcW w:w="1780" w:type="dxa"/>
            <w:vAlign w:val="bottom"/>
            <w:gridSpan w:val="2"/>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Connecticut</w:t>
            </w:r>
          </w:p>
        </w:tc>
        <w:tc>
          <w:tcPr>
            <w:tcW w:w="26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General Rate Case</w:t>
            </w:r>
          </w:p>
        </w:tc>
        <w:tc>
          <w:tcPr>
            <w:tcW w:w="27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$28.8 million increase</w:t>
            </w:r>
          </w:p>
        </w:tc>
        <w:tc>
          <w:tcPr>
            <w:tcW w:w="16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Filed May 11, 2026</w:t>
            </w:r>
          </w:p>
        </w:tc>
        <w:tc>
          <w:tcPr>
            <w:tcW w:w="16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Expected February</w:t>
            </w:r>
          </w:p>
        </w:tc>
      </w:tr>
      <w:tr>
        <w:trPr>
          <w:trHeight w:val="241"/>
        </w:trPr>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2027</w:t>
            </w: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MWC</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Maine</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Rate Case</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$9.5 million increase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April 13, 2026</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Q2 2027</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filings included in the above table, TWC is required to file a general rate case on or before March 21, 2028.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Water Utility Services’ business derives the majority of its revenue directly from residential and business customers. Management asserts that the collection rate for its accounts receivables has improved as the ability to use service disconnections has returned to normal.</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Funds collected from Water Utility Services’ customers are used to pay for water production expenses, in addition to costs associated with general operations. Funds were also generated from borrowings.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2026, H2O America and its subsidiaries received $620.2 million in proceeds from an underwritten offering of common stock, which excludes $1.6 million in offering-related fees and expenses. The net proceeds were used to finance the acquisition of Quadvest L.P. and Quadvest Wholesale LLC and to support ongoing capital investment activities. See Note 3 “Capitalization” and Note 4 "Lines of Credit and Long-term Liabilities” for discussion on the equity and debt financing activities of H2O America. In addition, H2O America paid cash dividends on its common stock of $52.8 million during the nine months ended September 30, 2026.</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2025, the dividends declared and paid on H2O America’s common stock represented approximately 57% of net income. H2O America and its predecessor have increased the annual dividend amount in each of the last 58 years. While historically H2O America has generally paid dividends equal to approximately 50% to 60% of its net income, H2O America cannot guarantee that this trend will continue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operating, investing and financing cash flows for the nine months ended September 30,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2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3"/>
                <w:szCs w:val="3"/>
                <w:color w:val="auto"/>
              </w:rPr>
            </w:pPr>
          </w:p>
        </w:tc>
        <w:tc>
          <w:tcPr>
            <w:tcW w:w="14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(346,013)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(369,542)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713,590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525,131</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552,071</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the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572,957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Operating Activities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H2O America generated cash flow from operations of $184.7 million compared to $181.3 million during the nine months ended September 30, 2025. Cash flows from operations are primarily generated by net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income from revenue producing activities, adjusted for non-cash expenses for depreciation and amortization, deferred income taxes, share-based compensation, allowance for equity funds used during construction, gains on the sale of assets and other changes in working capital items.</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the increase in cash flows from operations was primarily attributable to higher net income, changes in working capital balances and changes in regulatory assets and liabilities.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Investing Activities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Cash flows from investing activities consist of cash payments and cash receipts for capital expenditures and investments. Net cash used in investing activities for the nine months ended September 30, 2026, decreased by $23.5 million from the same period in the prior year related to lower company-funded utility capital expenditures of $47.0 million. These decreases were offset by increased developer-funded capital expenditures of $22.2 million and by amounts obtained in connection with the sale of real estate.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Financing Activities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consist of cash payments to and cash receipts from creditors, investors, and developers. Net cash provided by financing activities for the nine months ended September 30, 2026 increased by $525.1 million from the same period in the prior year, primarily as a result of an increase in net proceeds from common stock equity offerings of $510.5 million and an increase in net borrowings on the lines of credit of $106.2 million. These increases were partially offset by (1) a decrease in proceeds from the issuance of long-term debt of $47.7 million, (2) a decrease attributable to higher repayments of long-term debt of $14.6 million, (3) a decrease in cash receipts from advances and contributions in aid of construction of $14.1 million and (4) a decrease in proceeds from PFAS litigation settlement of $7.1 million.</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Budgeted Capital Expenditures</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Water Utility Services’ estimated utility capital expenditures for 2026, exclusive of capital expenditures financed by customer contributions and advances, are anticipated to be approximately $440 million. The budgeted capital expenditures exclude capitalizable costs of approximately $25 million forecasted in 2026 that are associated with cloud-based computing arrangements. As of September 30, 2026, $304.1 million, or approximately 69%, of the $440 million has been invested.</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Water Utility Services’ capital expenditures are incurred in connection with normal upgrading and expansion of existing facilities and to comply with environmental regulations. Over the next five years, Water Utility Services expects to incur approximately $2,568 million in capital expenditures, which includes replacement of pipes and mains, maintaining water systems, and installing approximately $400 million in PFAS treatment facilities.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these capital expenditures, Water Utility Services expects to incur approximately $100 million over the next five years, including $25 million in 2026, in capitalizable costs associated with cloud-based computing arrangements. For the nine months ended September 30, 2026, Water Utility Services incurred $21.0 million in cloud-based computing expenses.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Capital:</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H2O America’s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Financing Agreements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H2O America and its subsidiaries have unsecured line of credit agreements where borrowings are used to refinance existing debt, for working capital, and for general corporate purposes.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line of credit agreements as of September 30, 2026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Unused Portion</w:t>
            </w:r>
          </w:p>
        </w:tc>
      </w:tr>
      <w:tr>
        <w:trPr>
          <w:trHeight w:val="23"/>
        </w:trPr>
        <w:tc>
          <w:tcPr>
            <w:tcW w:w="44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6"/>
                <w:szCs w:val="16"/>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254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September 12, 2031</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H2O America</w:t>
            </w:r>
          </w:p>
        </w:tc>
        <w:tc>
          <w:tcPr>
            <w:tcW w:w="2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SJWC</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CWC</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MWC</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SJWTX</w:t>
            </w:r>
          </w:p>
        </w:tc>
        <w:tc>
          <w:tcPr>
            <w:tcW w:w="21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23"/>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SJWC credit agreement</w:t>
            </w: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11, 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540" w:type="dxa"/>
            <w:vAlign w:val="bottom"/>
            <w:gridSpan w:val="3"/>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August 2, 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r>
      <w:tr>
        <w:trPr>
          <w:trHeight w:val="223"/>
        </w:trPr>
        <w:tc>
          <w:tcPr>
            <w:tcW w:w="4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200,275</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169,725</w:t>
            </w:r>
          </w:p>
        </w:tc>
      </w:tr>
      <w:tr>
        <w:trPr>
          <w:trHeight w:val="20"/>
        </w:trPr>
        <w:tc>
          <w:tcPr>
            <w:tcW w:w="4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June 11, 2026, SJWC extended the termination date of its uncommitted loan facility under the SJWC Credit Agreement from June 11, 2026 to June 11, 2027. On September 25, 2026, H2O America and its subsidiaries, SJWC, SJWTX, CWC and MWC, extended the maturity of the Syndicated Credit Agreement from September 12, 2030 to September 12, 2031.</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outstanding borrowings under the unsecured lines of credit as of September 30, 2026 were $200.3 million. For the nine months ended September 30, 2026, the cost of borrowing on the lines of credit averaged 4.62% compared to 5.42% in the same period in 2025. As of September 30, 2026, the borrowing capacity of the lines of credit was $168.8 million, which excludes a $0.9 million standby letter of credit issued on behalf of H2O America Risk Solutions and guaranteed by H2O America under the Syndicated Credit Agreement.</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of H2O America’s and subsidiaries’ credit facilities contain customary financial and operating covenants. As of September 30, 2026, H2O America and its subsidiaries were in compliance with all covenants in their lines of credit.</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Financing Agreements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12, 2025, SJWC entered into a Note Purchase Agreement with certain institutional investors. Under the agreement, SJWC issued an aggregate principal amount of $70.0 million of senior notes in two series consisting of $55.0 million of 5.83% of Senior Notes, Series R ("Series R Notes"), and $15.0 million of 5.91% Senior Notes, Series S ("Series S Notes"). The issuance of the Series S Notes was subject to approval by the CPUC which closed on May 14, 2026. The Series S Notes are unsecured obligations of SJWC and are due on November 1, 2055. Interest is payable semi-annually in arrears on May 1st and November 1st of each year, commencing November 1, 2026.</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balance of long-term debt outstanding, net of unamortized debt issuance costs and debt premium and discount, as of September 30, 2026 was $1,881.4 million. The current portion of long-term debt as of September 30, 2026 was $7.9 million.</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 of H2O America’s and subsidiaries’ debt and credit agreements contain customary covenants and events of default. As of September 30, 2026, H2O America and its subsidiaries were in compliance with all covenants related to their debt and credit agreements.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Equity Financing Arrangements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 million. The Equity Distribution Agreement replaced the previous agreement that ended in 2024. For the three and nine months ended September 30, 2026, H2O America did not issue or sell any shares of its common stock under the Equity Distribution Agreement and, accordingly, received no net proceeds therefrom. Since the inception of the Equity Distribution Agreement, H2O America has issued and sold 2,763,359 shares of common stock at a weighted average price of $52.39 for total net proceeds of $143.0 million, and has $55.2 million of aggregate gross sales price of shares remaining to issue under the Equity Distribution Agreement as of September 30, 2026.</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2026, H2O America issued 3,937,654 shares of common stock in an underwritten offering pursuant to an Underwriting Agreement with J.P. Morgan Securities LLC and Wells Fargo Securities LLC, as representatives of several underwriters named in the Underwriting Agreement (the “Offering”). In connection with the Offering, H2O America entered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into two-year forward purchase agreements to issue an additional 7,547,170 shares of common stock with an initial forward purchase price of $51.28 per share, subject to adjustment based on the overnight bank funding rate and expected dividend amounts due upon settlement through maturity in March 2028. The forward purchase agreements can be settled or net settled for delivery of physical shares or settled for cash at the option of H2O America. In addition, the underwriters in the Offering, through the exercise of a 30-day overallotment option, purchased an additional 1,722,723 shares of common stock at a price of $51.28 per share. Total net proceeds to H2O America for the common stock offering were $290.2 million after deducting the underwriting discounts and before estimated offering expenses payable by H2O America of $1.6 million, which are recognized as a reduction of additional paid-in capital.</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H2O America settled forward purchase agreements relating to 6,439,308 shares of common stock and received net proceeds of $330.0 million. Upon settlement, the Company issued the related shares of common stock, with the proceeds recognized as increases to common stock and additional paid-in capital. As of September 30, 2026, forward purchase agreements relating to 1,107,862 shares remained outstanding.</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Credit Rating</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H2O America’s ability to draw on its lines of credit, issue long-term debt, sell its equity or earn interest income. In addition, government policies, the state of the credit markets and other factors could result in increased interest rates, which would increase H2O America’s cost of capital. While our ability to obtain financing will continue to be a risk, we believe that based on our 2026 and 2025 activities we will continue to have access to the external funding sources necessary to implement our ongoing capital investment programs in the future. On July 15, 2025, Standard &amp; Poor’s Ratings Services revised the outlook for H2O America, CTWS and CWC from stable to negative following the announcement of the Quadvest acquisition.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current Standard &amp; Poor’s Ratings Services assigned company ratings: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H2O America</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H2O America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H2O America’s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H2O America has no derivative financial instruments, financial instruments with significant off-balance sheet risks or financial instruments with concentrations of credit risk.</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H2O America’s management, with the participation of its Chief Executive Officer and Chief Financial Officer, evaluated the effectiveness of H2O America’s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H2O America’s disclosure controls and procedures as of the end of the period covered by this report have been designed and are functioning effectively to provide reasonable assurance that the information required to be disclosed by H2O America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H2O America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third fiscal quarter of 2026 that has materially affected, or is reasonably likely to materially affect, the internal controls over financial reporting of H2O America.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and its subsidiaries are subject to ordinary routine litigation incidental to its business.</w:t>
      </w:r>
    </w:p>
    <w:p>
      <w:pPr>
        <w:spacing w:after="0" w:line="11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an Multi-District Litigation (“MDL”), that commenced on December 7, 2018 in the United States District Court for the District of South Carolina. MWC has submitted timely claims as a settlement class member.</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received cash proceeds of $0.1 million and $11.1 million, respectively, from legal settlements with Tyco Fire Products LP, BASF Corporation, and 3M Company related to PFAS contamination. For the three months ended September 30, 2026, the total proceeds of $0.1 million received were allocated wholly to MWC, a portion of which is payable to contract operators. For the nine months ended September 30, 2026, the total proceeds of $11.1 million were allocated as follows: SJWC received $7.4 million; CWC received $3.5 million; and MWC received $0.2 million, which includes $0.1 million payable to contract operators.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received cash proceeds of $14.7 million and $21.2 million, respectively, in connection with a legal settlement with 3M Company related to PFAS contamination. For the three months ended September 30, 2025, the total proceeds of $14.7 million were allocated as follows: SJWC received $10.1 million; CWC received $4.5 million; and MWC received $0.1 million. For the nine months ended September 30, 2025, the total proceeds of $21.2 million were allocated as follows: SJWC received $14.5 million; CWC received $6.5 million; and MWC received $0.2 million, which includes $0.1 million payable to contract operators.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has received aggregate cash proceeds of $36.2 million from MDL court approved settlements. The proceeds have been allocated as follows: SJWC received $24.4 million; CWC received $11.1 million; and MWC received $0.7 million, which includes $0.5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spacing w:after="0" w:line="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H2O America is entitled to receive additional cash proceeds from 3M Company in the subsequent seven years, pursuant to the terms of the settlement agreement. The total estimated proceeds to be received during this period are approximately $5.6 million.</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H2O America is monitoring and evaluating the ongoing litigation and settlement activity with the PFAS manufacturers for potential impacts to the various claims that these utility subsidiaries have asserted.</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“Risk Factors” in H2O America’s Annual report on Form 10-K for the year ended December 31, 2025 and our other public filings, which could materially affect our business, financial condition or future results. There have been no material changes from risk factors previously disclosed in “Risk Factors” in H2O America’s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H2O America settled forward purchase agreements relating to 6,439,308 shares of common stock and received net proceeds of $330.0 million. Upon settlement, the Company issued the related shares of common stock, with the proceeds recognized as increases to common stock and additional paid-in capital. On October 1, 2026, the Company used the proceeds to pay for the acquisition of substantially all of the assets of Quadvest Retail’s regulated water and wastewater utility operations and substantially all of the assets of Quadvest Wholesale’s wholesale water and wastewater operations. See Note 10, “Acquisitions”.</w:t>
      </w:r>
    </w:p>
    <w:p>
      <w:pPr>
        <w:spacing w:after="0" w:line="3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Quarterly Dividend</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23, 2026, the Board of Directors of H2O America declared the regular quarterly dividend of $0.44 per share of common stock. The dividend will be paid on December 1, 2026, to stockholders of record as of the close of business on November 9, 2026.</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Insider Trading Arrangements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2026,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Web Sites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H2O America posts information about the operating and financial performance of H2O America and its subsidiaries on its web sites at www.h2o-america.com, www.sjwater.com, www.ctwater.com, www.txwaterco.com,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998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80" w:type="dxa"/>
            <w:vAlign w:val="bottom"/>
            <w:gridSpan w:val="8"/>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8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9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0000FF"/>
              </w:rPr>
              <w:t>Amended and Restated Director Compensation and Expense Reimbursement Policies (1)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Fourth Amendment, effective January 1, 2027, to the Connecticut Water Company Deferred Compensation Plan, dated January 1, 2017</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5"/>
              </w:rPr>
              <w:t>(1)</w:t>
            </w:r>
          </w:p>
        </w:tc>
        <w:tc>
          <w:tcPr>
            <w:tcW w:w="7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35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H2O America Deferral Election Program for Non-Employee Directors as Amended and Restated Effective January 1, 2027. (1)</w:t>
            </w:r>
          </w:p>
        </w:tc>
        <w:tc>
          <w:tcPr>
            <w:tcW w:w="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Executive Officer.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Financial Officer and Treasurer.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Executive Officer, as adopted pursuant to Section 906 of the Sarbanes-Oxley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Act of 2002. </w:t>
            </w:r>
            <w:r>
              <w:rPr>
                <w:rFonts w:ascii="Times New Roman" w:cs="Times New Roman" w:eastAsia="Times New Roman" w:hAnsi="Times New Roman"/>
                <w:sz w:val="18"/>
                <w:szCs w:val="18"/>
                <w:color w:val="000000"/>
              </w:rPr>
              <w:t>(1)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 Section 906 of the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Sarbanes-Oxley Act of 2002. </w:t>
            </w:r>
            <w:r>
              <w:rPr>
                <w:rFonts w:ascii="Times New Roman" w:cs="Times New Roman" w:eastAsia="Times New Roman" w:hAnsi="Times New Roman"/>
                <w:sz w:val="18"/>
                <w:szCs w:val="18"/>
                <w:color w:val="000000"/>
              </w:rPr>
              <w:t>(1)</w:t>
            </w:r>
          </w:p>
        </w:tc>
        <w:tc>
          <w:tcPr>
            <w:tcW w:w="4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hanging="1234"/>
        <w:spacing w:after="0"/>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H2O AMERICA</w:t>
            </w:r>
          </w:p>
        </w:tc>
      </w:tr>
      <w:tr>
        <w:trPr>
          <w:trHeight w:val="49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October 26, 2026</w:t>
            </w: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 ANN P. KELLY</w:t>
            </w:r>
          </w:p>
        </w:tc>
      </w:tr>
      <w:tr>
        <w:trPr>
          <w:trHeight w:val="214"/>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 P. Kelly</w:t>
            </w:r>
          </w:p>
        </w:tc>
      </w:tr>
      <w:tr>
        <w:trPr>
          <w:trHeight w:val="229"/>
        </w:trPr>
        <w:tc>
          <w:tcPr>
            <w:tcW w:w="35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tc>
      </w:t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21" w:right="3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H2O AMERICA</w:t>
      </w:r>
    </w:p>
    <w:p>
      <w:pPr>
        <w:spacing w:after="0" w:line="277" w:lineRule="exact"/>
        <w:rPr>
          <w:sz w:val="20"/>
          <w:szCs w:val="20"/>
          <w:color w:val="auto"/>
        </w:rPr>
      </w:pPr>
    </w:p>
    <w:p>
      <w:pPr>
        <w:jc w:val="right"/>
        <w:ind w:left="4860"/>
        <w:spacing w:after="0" w:line="259" w:lineRule="auto"/>
        <w:rPr>
          <w:sz w:val="20"/>
          <w:szCs w:val="20"/>
          <w:color w:val="auto"/>
        </w:rPr>
      </w:pPr>
      <w:r>
        <w:rPr>
          <w:rFonts w:ascii="Times New Roman" w:cs="Times New Roman" w:eastAsia="Times New Roman" w:hAnsi="Times New Roman"/>
          <w:sz w:val="22"/>
          <w:szCs w:val="22"/>
          <w:b w:val="1"/>
          <w:bCs w:val="1"/>
          <w:color w:val="auto"/>
        </w:rPr>
        <w:t>AMENDED AND RESTATED DIRECTOR COMPENSATION AND EXPENSE REIMBURSEMENT POLICIES Effective as of January 1, 2027</w:t>
      </w:r>
    </w:p>
    <w:p>
      <w:pPr>
        <w:spacing w:after="0" w:line="193"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DIRECTOR COMPENSATION</w:t>
      </w:r>
    </w:p>
    <w:p>
      <w:pPr>
        <w:spacing w:after="0" w:line="246"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   ROLE OF THE EXECUTIVE COMPENSATION COMMITTEE</w:t>
      </w:r>
    </w:p>
    <w:p>
      <w:pPr>
        <w:spacing w:after="0" w:line="264" w:lineRule="exact"/>
        <w:rPr>
          <w:sz w:val="20"/>
          <w:szCs w:val="20"/>
          <w:color w:val="auto"/>
        </w:rPr>
      </w:pPr>
    </w:p>
    <w:p>
      <w:pPr>
        <w:jc w:val="both"/>
        <w:ind w:firstLine="309"/>
        <w:spacing w:after="0" w:line="252" w:lineRule="auto"/>
        <w:rPr>
          <w:sz w:val="20"/>
          <w:szCs w:val="20"/>
          <w:color w:val="auto"/>
        </w:rPr>
      </w:pPr>
      <w:r>
        <w:rPr>
          <w:rFonts w:ascii="Times New Roman" w:cs="Times New Roman" w:eastAsia="Times New Roman" w:hAnsi="Times New Roman"/>
          <w:sz w:val="22"/>
          <w:szCs w:val="22"/>
          <w:color w:val="auto"/>
        </w:rPr>
        <w:t>H2O America (the “Corporation”) Board of Directors (the “Board”), through its Executive Compensation Committee, will review, or request management or outside consultants to review, appropriate compensation policies for the directors serving on the Board and its committees. This review may consider board compensation practices of other similar public companies, contributions to Board functions, service as committee chairs, and other appropriate factors.</w:t>
      </w:r>
    </w:p>
    <w:p>
      <w:pPr>
        <w:spacing w:after="0" w:line="202" w:lineRule="exact"/>
        <w:rPr>
          <w:sz w:val="20"/>
          <w:szCs w:val="20"/>
          <w:color w:val="auto"/>
        </w:rPr>
      </w:pPr>
    </w:p>
    <w:p>
      <w:pPr>
        <w:ind w:left="1120" w:hanging="464"/>
        <w:spacing w:after="0"/>
        <w:tabs>
          <w:tab w:leader="none" w:pos="11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COMPENSATION POLICIES</w:t>
      </w:r>
    </w:p>
    <w:p>
      <w:pPr>
        <w:spacing w:after="0" w:line="223"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w:t>
      </w:r>
    </w:p>
    <w:p>
      <w:pPr>
        <w:spacing w:after="0" w:line="233"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The Corporation shall pay the members of its Board who are not employed by the Corporation or any of its subsidiaries (each a “Non-Employee Director”) the following annual retainers:</w:t>
      </w:r>
    </w:p>
    <w:p>
      <w:pPr>
        <w:spacing w:after="0" w:line="179" w:lineRule="exact"/>
        <w:rPr>
          <w:sz w:val="20"/>
          <w:szCs w:val="20"/>
          <w:color w:val="auto"/>
        </w:rPr>
      </w:pPr>
    </w:p>
    <w:tbl>
      <w:tblPr>
        <w:tblLayout w:type="fixed"/>
        <w:tblInd w:w="1070" w:type="dxa"/>
        <w:tblCellMar>
          <w:top w:w="0" w:type="dxa"/>
          <w:left w:w="0" w:type="dxa"/>
          <w:bottom w:w="0" w:type="dxa"/>
          <w:right w:w="0" w:type="dxa"/>
        </w:tblCellMar>
      </w:tblPr>
      <w:tr>
        <w:trPr>
          <w:trHeight w:val="283"/>
        </w:trPr>
        <w:tc>
          <w:tcPr>
            <w:tcW w:w="21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Board/Committee</w:t>
            </w:r>
          </w:p>
        </w:tc>
        <w:tc>
          <w:tcPr>
            <w:tcW w:w="3520" w:type="dxa"/>
            <w:vAlign w:val="bottom"/>
            <w:tcBorders>
              <w:top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22"/>
                <w:szCs w:val="22"/>
                <w:b w:val="1"/>
                <w:bCs w:val="1"/>
                <w:color w:val="auto"/>
              </w:rPr>
              <w:t>Role</w:t>
            </w:r>
          </w:p>
        </w:tc>
        <w:tc>
          <w:tcPr>
            <w:tcW w:w="420" w:type="dxa"/>
            <w:vAlign w:val="bottom"/>
            <w:tcBorders>
              <w:top w:val="single" w:sz="8" w:color="auto"/>
              <w:bottom w:val="single" w:sz="8" w:color="auto"/>
            </w:tcBorders>
          </w:tcPr>
          <w:p>
            <w:pPr>
              <w:spacing w:after="0"/>
              <w:rPr>
                <w:sz w:val="24"/>
                <w:szCs w:val="24"/>
                <w:color w:val="auto"/>
              </w:rPr>
            </w:pPr>
          </w:p>
        </w:tc>
        <w:tc>
          <w:tcPr>
            <w:tcW w:w="2620" w:type="dxa"/>
            <w:vAlign w:val="bottom"/>
            <w:tcBorders>
              <w:top w:val="single" w:sz="8" w:color="auto"/>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Annual Retainer</w:t>
            </w:r>
          </w:p>
        </w:tc>
      </w:tr>
      <w:tr>
        <w:trPr>
          <w:trHeight w:val="276"/>
        </w:trPr>
        <w:tc>
          <w:tcPr>
            <w:tcW w:w="2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Board</w:t>
            </w: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Non-Executive Chair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225,000</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117,500</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Member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190"/>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Audit</w:t>
            </w: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Chair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Member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190"/>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Chair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20,000</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Member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7,500</w:t>
            </w:r>
          </w:p>
        </w:tc>
      </w:tr>
      <w:tr>
        <w:trPr>
          <w:trHeight w:val="190"/>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Finance</w:t>
            </w: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Chair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Member</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r>
      <w:tr>
        <w:trPr>
          <w:trHeight w:val="190"/>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240"/>
          </w:cols>
          <w:pgMar w:left="320" w:top="1015" w:right="339" w:bottom="1440" w:gutter="0" w:footer="0" w:header="0"/>
        </w:sectPr>
      </w:pPr>
    </w:p>
    <w:bookmarkStart w:id="39" w:name="page40"/>
    <w:bookmarkEnd w:id="39"/>
    <w:p>
      <w:pPr>
        <w:spacing w:after="0" w:line="1" w:lineRule="exact"/>
        <w:rPr>
          <w:sz w:val="20"/>
          <w:szCs w:val="20"/>
          <w:color w:val="auto"/>
        </w:rPr>
      </w:pPr>
    </w:p>
    <w:tbl>
      <w:tblPr>
        <w:tblLayout w:type="fixed"/>
        <w:tblInd w:w="1070" w:type="dxa"/>
        <w:tblCellMar>
          <w:top w:w="0" w:type="dxa"/>
          <w:left w:w="0" w:type="dxa"/>
          <w:bottom w:w="0" w:type="dxa"/>
          <w:right w:w="0" w:type="dxa"/>
        </w:tblCellMar>
      </w:tblPr>
      <w:tr>
        <w:trPr>
          <w:trHeight w:val="216"/>
        </w:trPr>
        <w:tc>
          <w:tcPr>
            <w:tcW w:w="21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Nominating &amp;</w:t>
            </w:r>
          </w:p>
        </w:tc>
        <w:tc>
          <w:tcPr>
            <w:tcW w:w="3520" w:type="dxa"/>
            <w:vAlign w:val="bottom"/>
            <w:tcBorders>
              <w:top w:val="single" w:sz="8" w:color="auto"/>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Chair</w:t>
            </w:r>
          </w:p>
        </w:tc>
        <w:tc>
          <w:tcPr>
            <w:tcW w:w="1220" w:type="dxa"/>
            <w:vAlign w:val="bottom"/>
            <w:tcBorders>
              <w:top w:val="single" w:sz="8" w:color="auto"/>
            </w:tcBorders>
          </w:tcPr>
          <w:p>
            <w:pPr>
              <w:jc w:val="right"/>
              <w:ind w:right="99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820" w:type="dxa"/>
            <w:vAlign w:val="bottom"/>
            <w:tcBorders>
              <w:top w:val="single" w:sz="8" w:color="auto"/>
              <w:right w:val="single" w:sz="8" w:color="auto"/>
            </w:tcBorders>
          </w:tcPr>
          <w:p>
            <w:pPr>
              <w:jc w:val="right"/>
              <w:spacing w:after="0" w:line="216" w:lineRule="exact"/>
              <w:rPr>
                <w:sz w:val="20"/>
                <w:szCs w:val="20"/>
                <w:color w:val="auto"/>
              </w:rPr>
            </w:pPr>
            <w:r>
              <w:rPr>
                <w:rFonts w:ascii="Times New Roman" w:cs="Times New Roman" w:eastAsia="Times New Roman" w:hAnsi="Times New Roman"/>
                <w:sz w:val="22"/>
                <w:szCs w:val="22"/>
                <w:color w:val="auto"/>
              </w:rPr>
              <w:t>15,000</w:t>
            </w:r>
          </w:p>
        </w:tc>
      </w:tr>
      <w:tr>
        <w:trPr>
          <w:trHeight w:val="270"/>
        </w:trPr>
        <w:tc>
          <w:tcPr>
            <w:tcW w:w="21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Governance</w:t>
            </w:r>
          </w:p>
        </w:tc>
        <w:tc>
          <w:tcPr>
            <w:tcW w:w="352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Member</w:t>
            </w:r>
          </w:p>
        </w:tc>
        <w:tc>
          <w:tcPr>
            <w:tcW w:w="12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w w:val="90"/>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r>
      <w:tr>
        <w:trPr>
          <w:trHeight w:val="190"/>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Sustainability</w:t>
            </w: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Chair</w:t>
            </w:r>
          </w:p>
        </w:tc>
        <w:tc>
          <w:tcPr>
            <w:tcW w:w="12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w w:val="90"/>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r>
      <w:tr>
        <w:trPr>
          <w:trHeight w:val="276"/>
        </w:trPr>
        <w:tc>
          <w:tcPr>
            <w:tcW w:w="2100" w:type="dxa"/>
            <w:vAlign w:val="bottom"/>
            <w:tcBorders>
              <w:left w:val="single" w:sz="8" w:color="auto"/>
              <w:right w:val="single" w:sz="8" w:color="auto"/>
            </w:tcBorders>
          </w:tcPr>
          <w:p>
            <w:pPr>
              <w:spacing w:after="0"/>
              <w:rPr>
                <w:sz w:val="23"/>
                <w:szCs w:val="23"/>
                <w:color w:val="auto"/>
              </w:rPr>
            </w:pPr>
          </w:p>
        </w:tc>
        <w:tc>
          <w:tcPr>
            <w:tcW w:w="3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Member</w:t>
            </w:r>
          </w:p>
        </w:tc>
        <w:tc>
          <w:tcPr>
            <w:tcW w:w="12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w w:val="90"/>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r>
      <w:tr>
        <w:trPr>
          <w:trHeight w:val="190"/>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340" w:lineRule="exact"/>
        <w:rPr>
          <w:sz w:val="20"/>
          <w:szCs w:val="20"/>
          <w:color w:val="auto"/>
        </w:rPr>
      </w:pPr>
    </w:p>
    <w:p>
      <w:pPr>
        <w:ind w:left="660" w:right="60" w:firstLine="648"/>
        <w:spacing w:after="0" w:line="252" w:lineRule="auto"/>
        <w:rPr>
          <w:sz w:val="20"/>
          <w:szCs w:val="20"/>
          <w:color w:val="auto"/>
        </w:rPr>
      </w:pPr>
      <w:r>
        <w:rPr>
          <w:rFonts w:ascii="Times New Roman" w:cs="Times New Roman" w:eastAsia="Times New Roman" w:hAnsi="Times New Roman"/>
          <w:sz w:val="22"/>
          <w:szCs w:val="22"/>
          <w:color w:val="auto"/>
        </w:rPr>
        <w:t>No additional retainer shall be paid to a Non-Employee Director for serving on the board of directors of a subsidiary (“Subsidiary Board”) of the Corporation, except that the special independent director who will serve on the board of SJWNE LLC (and will not be serving on the Corporation’s Board) will receive an aggregate annual retainer of $57,500 for serving on such board and any other Subsidiary Boards.</w:t>
      </w:r>
    </w:p>
    <w:p>
      <w:pPr>
        <w:spacing w:after="0" w:line="193" w:lineRule="exact"/>
        <w:rPr>
          <w:sz w:val="20"/>
          <w:szCs w:val="20"/>
          <w:color w:val="auto"/>
        </w:rPr>
      </w:pPr>
    </w:p>
    <w:p>
      <w:pPr>
        <w:ind w:left="820" w:hanging="380"/>
        <w:spacing w:after="0"/>
        <w:tabs>
          <w:tab w:leader="none" w:pos="8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p>
    <w:p>
      <w:pPr>
        <w:spacing w:after="0" w:line="22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22"/>
          <w:szCs w:val="22"/>
          <w:color w:val="auto"/>
        </w:rPr>
        <w:t>Non-Employee Directors may be eligible to participate in the Corporation’s 2023 Long-Term Incentive Plan (“LTIP”), and as hereafter amended, and may also be eligible to participate in programs now or hereafter established thereunder, as more fully set forth in the LTIP and the programs established thereunder.</w:t>
      </w:r>
    </w:p>
    <w:p>
      <w:pPr>
        <w:spacing w:after="0" w:line="169"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 REIMBURSEMENT</w:t>
      </w:r>
    </w:p>
    <w:p>
      <w:pPr>
        <w:spacing w:after="0" w:line="25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All reasonable expenses incurred by a Non-Employee Director in connection with his or her attendance at the Corporation’s Board meetings, Subsidiary Board meetings, Committee Meeting, or other meetings of the Corporation, which may include the expense of traveling first class for any travel within the United States, shall be reimbursed.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1051" w:right="539" w:bottom="1440" w:gutter="0" w:footer="0" w:header="0"/>
        </w:sectPr>
      </w:pPr>
    </w:p>
    <w:bookmarkStart w:id="40" w:name="page41"/>
    <w:bookmarkEnd w:id="40"/>
    <w:p>
      <w:pPr>
        <w:ind w:left="4000"/>
        <w:spacing w:after="0"/>
        <w:rPr>
          <w:sz w:val="20"/>
          <w:szCs w:val="20"/>
          <w:color w:val="auto"/>
        </w:rPr>
      </w:pPr>
      <w:r>
        <w:rPr>
          <w:rFonts w:ascii="Times New Roman" w:cs="Times New Roman" w:eastAsia="Times New Roman" w:hAnsi="Times New Roman"/>
          <w:sz w:val="22"/>
          <w:szCs w:val="22"/>
          <w:b w:val="1"/>
          <w:bCs w:val="1"/>
          <w:color w:val="auto"/>
        </w:rPr>
        <w:t>2017 Connecticut Water Company</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as of January 1, 2027</w:t>
      </w:r>
    </w:p>
    <w:p>
      <w:pPr>
        <w:spacing w:after="0" w:line="200" w:lineRule="exact"/>
        <w:rPr>
          <w:sz w:val="20"/>
          <w:szCs w:val="20"/>
          <w:color w:val="auto"/>
        </w:rPr>
      </w:pPr>
    </w:p>
    <w:p>
      <w:pPr>
        <w:spacing w:after="0" w:line="249" w:lineRule="exact"/>
        <w:rPr>
          <w:sz w:val="20"/>
          <w:szCs w:val="20"/>
          <w:color w:val="auto"/>
        </w:rPr>
      </w:pPr>
    </w:p>
    <w:p>
      <w:pPr>
        <w:jc w:val="both"/>
        <w:ind w:left="660" w:hanging="652"/>
        <w:spacing w:after="0" w:line="218" w:lineRule="auto"/>
        <w:tabs>
          <w:tab w:leader="none" w:pos="6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ESTABLISHMENT OF PLAN</w:t>
      </w:r>
      <w:r>
        <w:rPr>
          <w:rFonts w:ascii="Times New Roman" w:cs="Times New Roman" w:eastAsia="Times New Roman" w:hAnsi="Times New Roman"/>
          <w:sz w:val="22"/>
          <w:szCs w:val="22"/>
          <w:color w:val="auto"/>
        </w:rPr>
        <w:t>. Connecticut Water Service, Inc. established the 2017 Connecticut Water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Compensation Plan, effective as of January 1, 2017, as an unfunded deferred compensation plan for a select group of key management or highly compensated employees of the Company and its Affiliates. The Plan is now amended and restated, effective as of January 1, 2027, to incorporate prior amendments and make certain changes to facilitate the Plan’s administration.</w:t>
      </w:r>
    </w:p>
    <w:p>
      <w:pPr>
        <w:spacing w:after="0" w:line="147" w:lineRule="exact"/>
        <w:rPr>
          <w:rFonts w:ascii="Times New Roman" w:cs="Times New Roman" w:eastAsia="Times New Roman" w:hAnsi="Times New Roman"/>
          <w:sz w:val="22"/>
          <w:szCs w:val="22"/>
          <w:b w:val="1"/>
          <w:bCs w:val="1"/>
          <w:color w:val="auto"/>
        </w:rPr>
      </w:pPr>
    </w:p>
    <w:p>
      <w:pPr>
        <w:jc w:val="both"/>
        <w:ind w:left="660" w:hanging="652"/>
        <w:spacing w:after="0" w:line="227" w:lineRule="auto"/>
        <w:tabs>
          <w:tab w:leader="none" w:pos="6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OF PLAN</w:t>
      </w:r>
      <w:r>
        <w:rPr>
          <w:rFonts w:ascii="Times New Roman" w:cs="Times New Roman" w:eastAsia="Times New Roman" w:hAnsi="Times New Roman"/>
          <w:sz w:val="22"/>
          <w:szCs w:val="22"/>
          <w:color w:val="auto"/>
        </w:rPr>
        <w:t>. The purpose of the Plan is to provide a select group of management or highly compensated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(within the meaning of Sections 201(2), 301(a)(3) and 401(a)(1) of ERISA) of the Company and its Affiliates with benefits through the deferral of Base Salary and Incentive Compensation.</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“Acceleration Events”</w:t>
      </w:r>
      <w:r>
        <w:rPr>
          <w:rFonts w:ascii="Times New Roman" w:cs="Times New Roman" w:eastAsia="Times New Roman" w:hAnsi="Times New Roman"/>
          <w:sz w:val="22"/>
          <w:szCs w:val="22"/>
          <w:color w:val="auto"/>
        </w:rPr>
        <w:t xml:space="preserve"> is defined in Section 9.1.</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2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“Accounts”</w:t>
      </w:r>
      <w:r>
        <w:rPr>
          <w:rFonts w:ascii="Times New Roman" w:cs="Times New Roman" w:eastAsia="Times New Roman" w:hAnsi="Times New Roman"/>
          <w:sz w:val="22"/>
          <w:szCs w:val="22"/>
          <w:color w:val="auto"/>
        </w:rPr>
        <w:t xml:space="preserve"> means the hypothetical bookkeeping accounts established in the name of each Participant and maintained by the Company to reflect the Participant’s interests under the Plan and includes any or all of the following: (a) a Base Salary Deferral Account; (b) an Incentive Deferral Account; and (c) a Discretionary Contribution Account.</w:t>
      </w:r>
    </w:p>
    <w:p>
      <w:pPr>
        <w:spacing w:after="0" w:line="148"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means:</w:t>
      </w:r>
    </w:p>
    <w:p>
      <w:pPr>
        <w:spacing w:after="0" w:line="183" w:lineRule="exact"/>
        <w:rPr>
          <w:rFonts w:ascii="Times New Roman" w:cs="Times New Roman" w:eastAsia="Times New Roman" w:hAnsi="Times New Roman"/>
          <w:sz w:val="22"/>
          <w:szCs w:val="22"/>
          <w:b w:val="1"/>
          <w:bCs w:val="1"/>
          <w:color w:val="auto"/>
        </w:rPr>
      </w:pPr>
    </w:p>
    <w:p>
      <w:pPr>
        <w:jc w:val="both"/>
        <w:ind w:left="1960" w:hanging="656"/>
        <w:spacing w:after="0" w:line="225" w:lineRule="auto"/>
        <w:tabs>
          <w:tab w:leader="none" w:pos="202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trade or business which is treated as a single employer with the Company under Code Sections 414(b) or 414(c) and designated by the Plan Administrator as an “Affiliate” for purposes of the Plan;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entity designated by the Plan Administrator as an “Affiliate” for purposes of the Plan.</w:t>
      </w:r>
    </w:p>
    <w:p>
      <w:pPr>
        <w:spacing w:after="0" w:line="175" w:lineRule="exact"/>
        <w:rPr>
          <w:sz w:val="20"/>
          <w:szCs w:val="20"/>
          <w:color w:val="auto"/>
        </w:rPr>
      </w:pPr>
    </w:p>
    <w:p>
      <w:pPr>
        <w:ind w:left="13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means the annual rate of base pay paid by the Company or an Affiliate to or for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for services rendered in a given Plan Year.</w:t>
      </w:r>
    </w:p>
    <w:p>
      <w:pPr>
        <w:spacing w:after="0" w:line="146" w:lineRule="exact"/>
        <w:rPr>
          <w:sz w:val="20"/>
          <w:szCs w:val="20"/>
          <w:color w:val="auto"/>
        </w:rPr>
      </w:pPr>
    </w:p>
    <w:p>
      <w:pPr>
        <w:ind w:left="1300" w:right="2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b w:val="1"/>
          <w:bCs w:val="1"/>
          <w:color w:val="auto"/>
        </w:rPr>
        <w:t xml:space="preserve">“Base Salary Deferral Account” </w:t>
      </w:r>
      <w:r>
        <w:rPr>
          <w:rFonts w:ascii="Times New Roman" w:cs="Times New Roman" w:eastAsia="Times New Roman" w:hAnsi="Times New Roman"/>
          <w:sz w:val="22"/>
          <w:szCs w:val="22"/>
          <w:color w:val="auto"/>
        </w:rPr>
        <w:t>means a separate account maintained for each Participant to record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Base Salary Deferrals made to the Plan and all earnings and losses allocable thereto.</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b w:val="1"/>
          <w:bCs w:val="1"/>
          <w:color w:val="auto"/>
        </w:rPr>
        <w:t xml:space="preserve">“Base Salary Deferrals” </w:t>
      </w:r>
      <w:r>
        <w:rPr>
          <w:rFonts w:ascii="Times New Roman" w:cs="Times New Roman" w:eastAsia="Times New Roman" w:hAnsi="Times New Roman"/>
          <w:sz w:val="21"/>
          <w:szCs w:val="21"/>
          <w:color w:val="auto"/>
        </w:rPr>
        <w:t>means deferrals of a Participant’s Base Salary for a given Plan Year.</w:t>
      </w:r>
    </w:p>
    <w:p>
      <w:pPr>
        <w:spacing w:after="0" w:line="179" w:lineRule="exact"/>
        <w:rPr>
          <w:sz w:val="20"/>
          <w:szCs w:val="20"/>
          <w:color w:val="auto"/>
        </w:rPr>
      </w:pPr>
    </w:p>
    <w:p>
      <w:pPr>
        <w:ind w:left="1300" w:right="4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2"/>
          <w:szCs w:val="22"/>
          <w:b w:val="1"/>
          <w:bCs w:val="1"/>
          <w:color w:val="auto"/>
        </w:rPr>
        <w:t xml:space="preserve">“Beneficiary” </w:t>
      </w:r>
      <w:r>
        <w:rPr>
          <w:rFonts w:ascii="Times New Roman" w:cs="Times New Roman" w:eastAsia="Times New Roman" w:hAnsi="Times New Roman"/>
          <w:sz w:val="22"/>
          <w:szCs w:val="22"/>
          <w:color w:val="auto"/>
        </w:rPr>
        <w:t>means any person or entity, designated in accordance with Section 13.7, entitled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which are payable upon or after a Participant’s death pursuant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418" w:right="339" w:bottom="1440" w:gutter="0" w:footer="0" w:header="0"/>
        </w:sectPr>
      </w:pPr>
    </w:p>
    <w:bookmarkStart w:id="41" w:name="page42"/>
    <w:bookmarkEnd w:id="41"/>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b w:val="1"/>
          <w:bCs w:val="1"/>
          <w:color w:val="auto"/>
        </w:rPr>
        <w:t xml:space="preserve">“Board” </w:t>
      </w:r>
      <w:r>
        <w:rPr>
          <w:rFonts w:ascii="Times New Roman" w:cs="Times New Roman" w:eastAsia="Times New Roman" w:hAnsi="Times New Roman"/>
          <w:sz w:val="21"/>
          <w:szCs w:val="21"/>
          <w:color w:val="auto"/>
        </w:rPr>
        <w:t>means the Board of Directors of the Company, as constituted from time to time.</w:t>
      </w:r>
    </w:p>
    <w:p>
      <w:pPr>
        <w:spacing w:after="0" w:line="1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means of a change in control under the following circumstances:</w:t>
      </w:r>
    </w:p>
    <w:p>
      <w:pPr>
        <w:spacing w:after="0" w:line="399" w:lineRule="exact"/>
        <w:rPr>
          <w:sz w:val="20"/>
          <w:szCs w:val="20"/>
          <w:color w:val="auto"/>
        </w:rPr>
      </w:pPr>
    </w:p>
    <w:p>
      <w:pPr>
        <w:jc w:val="both"/>
        <w:ind w:left="1940" w:hanging="656"/>
        <w:spacing w:after="0" w:line="213" w:lineRule="auto"/>
        <w:tabs>
          <w:tab w:leader="none" w:pos="193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announcement shall be made or a report on Schedule 13D shall be filed with the Securities and Exchange Commission pursuant to Section 13(d) of the Exchange Act disclosing that any person, other than the Company or a Subsidiary or any employee benefit plan sponsored by the Company or a Subsidiary is the beneficial owner (as the term is defined in Rule 13d-3 under the Exchange Act) directly or indirectly, of twenty percent (20%) or more of the total voting power represented by the Company’s then-outstanding voting common stock (calculated as provided in paragraph (d) of Rule 13d-3 under the Exchange Act in the case of rights to acquire voting common stock); or</w:t>
      </w:r>
    </w:p>
    <w:p>
      <w:pPr>
        <w:spacing w:after="0" w:line="156" w:lineRule="exact"/>
        <w:rPr>
          <w:rFonts w:ascii="Times New Roman" w:cs="Times New Roman" w:eastAsia="Times New Roman" w:hAnsi="Times New Roman"/>
          <w:sz w:val="22"/>
          <w:szCs w:val="22"/>
          <w:color w:val="auto"/>
        </w:rPr>
      </w:pPr>
    </w:p>
    <w:p>
      <w:pPr>
        <w:jc w:val="both"/>
        <w:ind w:left="1940" w:hanging="656"/>
        <w:spacing w:after="0" w:line="213" w:lineRule="auto"/>
        <w:tabs>
          <w:tab w:leader="none" w:pos="193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the Company or a Subsidiary or any employee benefit plan sponsored by the Company or a Subsidiary, shall purchase shares pursuant to a tender offer or exchange offer to acquire any voting common stock of the Company (or securities convertible into such voting common stock) for cash, securities or other consideration, provided that after consummation of the offer, the person in question is the beneficial owner directly or indirectly, of twenty percent (20%) or more of the total voting power represented by the Company’s then-outstanding voting common stock (as calculated under clause (a), above); or</w:t>
      </w:r>
    </w:p>
    <w:p>
      <w:pPr>
        <w:spacing w:after="0" w:line="156" w:lineRule="exact"/>
        <w:rPr>
          <w:rFonts w:ascii="Times New Roman" w:cs="Times New Roman" w:eastAsia="Times New Roman" w:hAnsi="Times New Roman"/>
          <w:sz w:val="22"/>
          <w:szCs w:val="22"/>
          <w:color w:val="auto"/>
        </w:rPr>
      </w:pPr>
    </w:p>
    <w:p>
      <w:pPr>
        <w:jc w:val="both"/>
        <w:ind w:left="1940" w:hanging="656"/>
        <w:spacing w:after="0" w:line="215" w:lineRule="auto"/>
        <w:tabs>
          <w:tab w:leader="none" w:pos="193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consolidation or merger of the Company in which the Company is not the continuing or surviving corporation (other than a consolidation or merger of the Company in which holders of the outstanding capital stock of the Company immediately prior to the consolidation or merger have the same proportionate ownership of the outstanding capital stock of the surviving corporation immediately after the consolidation or merger as immediately before), or pursuant to which the outstanding capital stock of the Company would be converted into cash, securities or other property; or</w:t>
      </w:r>
    </w:p>
    <w:p>
      <w:pPr>
        <w:spacing w:after="0" w:line="152"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complete liquidation or dissolution of the Company; or</w:t>
      </w:r>
    </w:p>
    <w:p>
      <w:pPr>
        <w:spacing w:after="0" w:line="179" w:lineRule="exact"/>
        <w:rPr>
          <w:rFonts w:ascii="Times New Roman" w:cs="Times New Roman" w:eastAsia="Times New Roman" w:hAnsi="Times New Roman"/>
          <w:sz w:val="22"/>
          <w:szCs w:val="22"/>
          <w:color w:val="auto"/>
        </w:rPr>
      </w:pPr>
    </w:p>
    <w:p>
      <w:pPr>
        <w:ind w:left="1940" w:hanging="656"/>
        <w:spacing w:after="0" w:line="236" w:lineRule="auto"/>
        <w:tabs>
          <w:tab w:leader="none" w:pos="193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sale, lease, exchange or other transfer (in one transaction or a series of related transactions) of all or substantially all of the assets of the Company; or</w:t>
      </w:r>
    </w:p>
    <w:p>
      <w:pPr>
        <w:spacing w:after="0" w:line="150"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Incumbent Directors cease for any reason to constitute at least a majority of the Board; or</w:t>
      </w:r>
    </w:p>
    <w:p>
      <w:pPr>
        <w:spacing w:after="0" w:line="179" w:lineRule="exact"/>
        <w:rPr>
          <w:rFonts w:ascii="Times New Roman" w:cs="Times New Roman" w:eastAsia="Times New Roman" w:hAnsi="Times New Roman"/>
          <w:sz w:val="22"/>
          <w:szCs w:val="22"/>
          <w:color w:val="auto"/>
        </w:rPr>
      </w:pPr>
    </w:p>
    <w:p>
      <w:pPr>
        <w:ind w:left="1940" w:hanging="656"/>
        <w:spacing w:after="0" w:line="236" w:lineRule="auto"/>
        <w:tabs>
          <w:tab w:leader="none" w:pos="193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by a vote of a majority of all the Directors adopts a resolution to the effect that a Change in Control has occurred for purposes of the Plan.</w:t>
      </w:r>
    </w:p>
    <w:p>
      <w:pPr>
        <w:spacing w:after="0" w:line="146" w:lineRule="exact"/>
        <w:rPr>
          <w:sz w:val="20"/>
          <w:szCs w:val="20"/>
          <w:color w:val="auto"/>
        </w:rPr>
      </w:pPr>
    </w:p>
    <w:p>
      <w:pPr>
        <w:ind w:left="128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3.10</w:t>
        <w:tab/>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or any successor statute, and the Treasury Regulations and other authoritative guidance issued thereunder.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1" w:right="339" w:bottom="1440" w:gutter="0" w:footer="0" w:header="0"/>
        </w:sectPr>
      </w:pPr>
    </w:p>
    <w:bookmarkStart w:id="42" w:name="page43"/>
    <w:bookmarkEnd w:id="42"/>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b w:val="1"/>
          <w:bCs w:val="1"/>
          <w:color w:val="auto"/>
        </w:rPr>
        <w:t xml:space="preserve">“Company” </w:t>
      </w:r>
      <w:r>
        <w:rPr>
          <w:rFonts w:ascii="Times New Roman" w:cs="Times New Roman" w:eastAsia="Times New Roman" w:hAnsi="Times New Roman"/>
          <w:sz w:val="21"/>
          <w:szCs w:val="21"/>
          <w:color w:val="auto"/>
        </w:rPr>
        <w:t>means Connecticut Water Service, Inc., a Connecticut corporation, or any successor thereto.</w:t>
      </w:r>
    </w:p>
    <w:p>
      <w:pPr>
        <w:spacing w:after="0" w:line="179" w:lineRule="exact"/>
        <w:rPr>
          <w:sz w:val="20"/>
          <w:szCs w:val="20"/>
          <w:color w:val="auto"/>
        </w:rPr>
      </w:pPr>
    </w:p>
    <w:p>
      <w:pPr>
        <w:jc w:val="both"/>
        <w:ind w:left="128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2"/>
          <w:szCs w:val="22"/>
          <w:b w:val="1"/>
          <w:bCs w:val="1"/>
          <w:color w:val="auto"/>
        </w:rPr>
        <w:t xml:space="preserve">“Deferral Election” </w:t>
      </w:r>
      <w:r>
        <w:rPr>
          <w:rFonts w:ascii="Times New Roman" w:cs="Times New Roman" w:eastAsia="Times New Roman" w:hAnsi="Times New Roman"/>
          <w:sz w:val="22"/>
          <w:szCs w:val="22"/>
          <w:color w:val="auto"/>
        </w:rPr>
        <w:t>means an election by an Eligible Employee to make Base Salary Deferrals and/or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Deferrals. A Participant shall make a new Deferral Election with respect to each Plan Year.</w:t>
      </w:r>
    </w:p>
    <w:p>
      <w:pPr>
        <w:spacing w:after="0" w:line="146" w:lineRule="exact"/>
        <w:rPr>
          <w:sz w:val="20"/>
          <w:szCs w:val="20"/>
          <w:color w:val="auto"/>
        </w:rPr>
      </w:pPr>
    </w:p>
    <w:p>
      <w:pPr>
        <w:jc w:val="both"/>
        <w:ind w:left="128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2"/>
          <w:szCs w:val="22"/>
          <w:b w:val="1"/>
          <w:bCs w:val="1"/>
          <w:color w:val="auto"/>
        </w:rPr>
        <w:t xml:space="preserve">“Discretionary Contribution” </w:t>
      </w:r>
      <w:r>
        <w:rPr>
          <w:rFonts w:ascii="Times New Roman" w:cs="Times New Roman" w:eastAsia="Times New Roman" w:hAnsi="Times New Roman"/>
          <w:sz w:val="22"/>
          <w:szCs w:val="22"/>
          <w:color w:val="auto"/>
        </w:rPr>
        <w:t>means the amount (if any) that the Company contributes to the Plan on behalf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Section 5.4.</w:t>
      </w:r>
    </w:p>
    <w:p>
      <w:pPr>
        <w:spacing w:after="0" w:line="146" w:lineRule="exact"/>
        <w:rPr>
          <w:sz w:val="20"/>
          <w:szCs w:val="20"/>
          <w:color w:val="auto"/>
        </w:rPr>
      </w:pPr>
    </w:p>
    <w:p>
      <w:pPr>
        <w:jc w:val="both"/>
        <w:ind w:left="1280" w:right="2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2"/>
          <w:szCs w:val="22"/>
          <w:b w:val="1"/>
          <w:bCs w:val="1"/>
          <w:color w:val="auto"/>
        </w:rPr>
        <w:t xml:space="preserve">“Discretionary Contribution Account” </w:t>
      </w:r>
      <w:r>
        <w:rPr>
          <w:rFonts w:ascii="Times New Roman" w:cs="Times New Roman" w:eastAsia="Times New Roman" w:hAnsi="Times New Roman"/>
          <w:sz w:val="22"/>
          <w:szCs w:val="22"/>
          <w:color w:val="auto"/>
        </w:rPr>
        <w:t>means a separate account maintained for each Participant to record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Discretionary Contributions (if any) made to the Plan and all earnings and losses allocable thereto.</w:t>
      </w:r>
    </w:p>
    <w:p>
      <w:pPr>
        <w:spacing w:after="0" w:line="1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3.15</w:t>
      </w:r>
      <w:r>
        <w:rPr>
          <w:sz w:val="20"/>
          <w:szCs w:val="20"/>
          <w:color w:val="auto"/>
        </w:rPr>
        <w:tab/>
      </w:r>
      <w:r>
        <w:rPr>
          <w:rFonts w:ascii="Times New Roman" w:cs="Times New Roman" w:eastAsia="Times New Roman" w:hAnsi="Times New Roman"/>
          <w:sz w:val="21"/>
          <w:szCs w:val="21"/>
          <w:b w:val="1"/>
          <w:bCs w:val="1"/>
          <w:color w:val="auto"/>
        </w:rPr>
        <w:t xml:space="preserve">“Effective Date” </w:t>
      </w:r>
      <w:r>
        <w:rPr>
          <w:rFonts w:ascii="Times New Roman" w:cs="Times New Roman" w:eastAsia="Times New Roman" w:hAnsi="Times New Roman"/>
          <w:sz w:val="21"/>
          <w:szCs w:val="21"/>
          <w:color w:val="auto"/>
        </w:rPr>
        <w:t>means January 1, 2017.</w:t>
      </w:r>
    </w:p>
    <w:p>
      <w:pPr>
        <w:spacing w:after="0" w:line="179" w:lineRule="exact"/>
        <w:rPr>
          <w:sz w:val="20"/>
          <w:szCs w:val="20"/>
          <w:color w:val="auto"/>
        </w:rPr>
      </w:pPr>
    </w:p>
    <w:p>
      <w:pPr>
        <w:jc w:val="both"/>
        <w:ind w:left="1280" w:hanging="647"/>
        <w:spacing w:after="0" w:line="211" w:lineRule="auto"/>
        <w:tabs>
          <w:tab w:leader="none" w:pos="1260" w:val="left"/>
        </w:tabs>
        <w:rPr>
          <w:sz w:val="20"/>
          <w:szCs w:val="20"/>
          <w:color w:val="auto"/>
        </w:rPr>
      </w:pPr>
      <w:r>
        <w:rPr>
          <w:rFonts w:ascii="Times New Roman" w:cs="Times New Roman" w:eastAsia="Times New Roman" w:hAnsi="Times New Roman"/>
          <w:sz w:val="22"/>
          <w:szCs w:val="22"/>
          <w:color w:val="auto"/>
        </w:rPr>
        <w:t>3.16</w:t>
      </w:r>
      <w:r>
        <w:rPr>
          <w:sz w:val="20"/>
          <w:szCs w:val="20"/>
          <w:color w:val="auto"/>
        </w:rPr>
        <w:tab/>
      </w:r>
      <w:r>
        <w:rPr>
          <w:rFonts w:ascii="Times New Roman" w:cs="Times New Roman" w:eastAsia="Times New Roman" w:hAnsi="Times New Roman"/>
          <w:sz w:val="22"/>
          <w:szCs w:val="22"/>
          <w:b w:val="1"/>
          <w:bCs w:val="1"/>
          <w:color w:val="auto"/>
        </w:rPr>
        <w:t xml:space="preserve">“Election Form” </w:t>
      </w:r>
      <w:r>
        <w:rPr>
          <w:rFonts w:ascii="Times New Roman" w:cs="Times New Roman" w:eastAsia="Times New Roman" w:hAnsi="Times New Roman"/>
          <w:sz w:val="22"/>
          <w:szCs w:val="22"/>
          <w:color w:val="auto"/>
        </w:rPr>
        <w:t>means the notice or notices established from time to time by the Plan Administrator for making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Deferral Elections under the Plan. The Election Form includes the amount or percentage of Base Salary Deferrals and/or Incentive Deferrals (subject to any minimum or maximum amounts established by the Plan Administrator and subject further to the Plan Administrator’s discretion to reduce any election before December 31 prior to the Plan Year to which such Election Form applies); the amount of Discretionary Contributions made by the Company, if any; the Payment Date(s), if applicable; the form of payment (lump sum or installments); and the selected Investment Options. Each Election Form shall become irrevocable as of the last day of the applicable Election Period, except with respect to Investment Options, as set forth in Section 6, in accordance with procedures established by the Plan Administrator. Election Forms may be distributed and/or submitted in paper or electronic form, and in one or more parts, as established by the Plan Administrator in its sole discretion.</w:t>
      </w:r>
    </w:p>
    <w:p>
      <w:pPr>
        <w:spacing w:after="0" w:line="152" w:lineRule="exact"/>
        <w:rPr>
          <w:sz w:val="20"/>
          <w:szCs w:val="20"/>
          <w:color w:val="auto"/>
        </w:rPr>
      </w:pPr>
    </w:p>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3.17</w:t>
      </w:r>
      <w:r>
        <w:rPr>
          <w:sz w:val="20"/>
          <w:szCs w:val="20"/>
          <w:color w:val="auto"/>
        </w:rPr>
        <w:tab/>
      </w:r>
      <w:r>
        <w:rPr>
          <w:rFonts w:ascii="Times New Roman" w:cs="Times New Roman" w:eastAsia="Times New Roman" w:hAnsi="Times New Roman"/>
          <w:sz w:val="22"/>
          <w:szCs w:val="22"/>
          <w:b w:val="1"/>
          <w:bCs w:val="1"/>
          <w:color w:val="auto"/>
        </w:rPr>
        <w:t xml:space="preserve">“Election Period” </w:t>
      </w:r>
      <w:r>
        <w:rPr>
          <w:rFonts w:ascii="Times New Roman" w:cs="Times New Roman" w:eastAsia="Times New Roman" w:hAnsi="Times New Roman"/>
          <w:sz w:val="22"/>
          <w:szCs w:val="22"/>
          <w:color w:val="auto"/>
        </w:rPr>
        <w:t>means the period established by the Plan Administrator with respect to each Plan Year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Deferral Elections for such Plan Year must be made in accordance with the requirements of Code Section 409A, as follows:</w:t>
      </w:r>
    </w:p>
    <w:p>
      <w:pPr>
        <w:spacing w:after="0" w:line="150" w:lineRule="exact"/>
        <w:rPr>
          <w:sz w:val="20"/>
          <w:szCs w:val="20"/>
          <w:color w:val="auto"/>
        </w:rPr>
      </w:pPr>
    </w:p>
    <w:p>
      <w:pPr>
        <w:ind w:left="1940" w:hanging="656"/>
        <w:spacing w:after="0" w:line="236" w:lineRule="auto"/>
        <w:tabs>
          <w:tab w:leader="none" w:pos="193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provided in (b) below, the Election Period shall end no later than the last day of the Plan Year immediately preceding the Plan Year to which the Deferral Election relates.</w:t>
      </w:r>
    </w:p>
    <w:p>
      <w:pPr>
        <w:spacing w:after="0" w:line="150" w:lineRule="exact"/>
        <w:rPr>
          <w:rFonts w:ascii="Times New Roman" w:cs="Times New Roman" w:eastAsia="Times New Roman" w:hAnsi="Times New Roman"/>
          <w:sz w:val="22"/>
          <w:szCs w:val="22"/>
          <w:color w:val="auto"/>
        </w:rPr>
      </w:pPr>
    </w:p>
    <w:p>
      <w:pPr>
        <w:jc w:val="both"/>
        <w:ind w:left="1940" w:hanging="656"/>
        <w:spacing w:after="0" w:line="220" w:lineRule="auto"/>
        <w:tabs>
          <w:tab w:leader="none" w:pos="193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Newly-Eligible Employees</w:t>
      </w:r>
      <w:r>
        <w:rPr>
          <w:rFonts w:ascii="Times New Roman" w:cs="Times New Roman" w:eastAsia="Times New Roman" w:hAnsi="Times New Roman"/>
          <w:sz w:val="22"/>
          <w:szCs w:val="22"/>
          <w:color w:val="auto"/>
        </w:rPr>
        <w:t>. The Election Period for newly-eligible Eligible Employees shall end no later than thirty (30) days after the Employee first becomes eligible to participate in the Plan and shall apply only with respect to Base Salary earned after the effective date of the Deferral Election. Any election by a newly-eligible Eligible Employee shall be made in accordance with Code Section 409A.</w:t>
      </w:r>
    </w:p>
    <w:p>
      <w:pPr>
        <w:spacing w:after="0" w:line="148" w:lineRule="exact"/>
        <w:rPr>
          <w:sz w:val="20"/>
          <w:szCs w:val="20"/>
          <w:color w:val="auto"/>
        </w:rPr>
      </w:pPr>
    </w:p>
    <w:p>
      <w:pPr>
        <w:ind w:left="1280" w:right="2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3.18</w:t>
      </w:r>
      <w:r>
        <w:rPr>
          <w:sz w:val="20"/>
          <w:szCs w:val="20"/>
          <w:color w:val="auto"/>
        </w:rPr>
        <w:tab/>
      </w:r>
      <w:r>
        <w:rPr>
          <w:rFonts w:ascii="Times New Roman" w:cs="Times New Roman" w:eastAsia="Times New Roman" w:hAnsi="Times New Roman"/>
          <w:sz w:val="22"/>
          <w:szCs w:val="22"/>
          <w:b w:val="1"/>
          <w:bCs w:val="1"/>
          <w:color w:val="auto"/>
        </w:rPr>
        <w:t xml:space="preserve">“Eligible Employee” </w:t>
      </w:r>
      <w:r>
        <w:rPr>
          <w:rFonts w:ascii="Times New Roman" w:cs="Times New Roman" w:eastAsia="Times New Roman" w:hAnsi="Times New Roman"/>
          <w:sz w:val="22"/>
          <w:szCs w:val="22"/>
          <w:color w:val="auto"/>
        </w:rPr>
        <w:t>means a management or highly compensated Employee who is selected by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to participate in the Plan.</w:t>
      </w:r>
    </w:p>
    <w:p>
      <w:pPr>
        <w:spacing w:after="0" w:line="1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3.19</w:t>
      </w:r>
      <w:r>
        <w:rPr>
          <w:sz w:val="20"/>
          <w:szCs w:val="20"/>
          <w:color w:val="auto"/>
        </w:rPr>
        <w:tab/>
      </w:r>
      <w:r>
        <w:rPr>
          <w:rFonts w:ascii="Times New Roman" w:cs="Times New Roman" w:eastAsia="Times New Roman" w:hAnsi="Times New Roman"/>
          <w:sz w:val="21"/>
          <w:szCs w:val="21"/>
          <w:b w:val="1"/>
          <w:bCs w:val="1"/>
          <w:color w:val="auto"/>
        </w:rPr>
        <w:t xml:space="preserve">“Employee” </w:t>
      </w:r>
      <w:r>
        <w:rPr>
          <w:rFonts w:ascii="Times New Roman" w:cs="Times New Roman" w:eastAsia="Times New Roman" w:hAnsi="Times New Roman"/>
          <w:sz w:val="21"/>
          <w:szCs w:val="21"/>
          <w:color w:val="auto"/>
        </w:rPr>
        <w:t>means an employee of the Company or an Affiliate.</w:t>
      </w:r>
    </w:p>
    <w:p>
      <w:pPr>
        <w:spacing w:after="0" w:line="1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3.20</w:t>
      </w:r>
      <w:r>
        <w:rPr>
          <w:sz w:val="20"/>
          <w:szCs w:val="20"/>
          <w:color w:val="auto"/>
        </w:rPr>
        <w:tab/>
      </w:r>
      <w:r>
        <w:rPr>
          <w:rFonts w:ascii="Times New Roman" w:cs="Times New Roman" w:eastAsia="Times New Roman" w:hAnsi="Times New Roman"/>
          <w:sz w:val="21"/>
          <w:szCs w:val="21"/>
          <w:b w:val="1"/>
          <w:bCs w:val="1"/>
          <w:color w:val="auto"/>
        </w:rPr>
        <w:t xml:space="preserve">“ERISA” </w:t>
      </w:r>
      <w:r>
        <w:rPr>
          <w:rFonts w:ascii="Times New Roman" w:cs="Times New Roman" w:eastAsia="Times New Roman" w:hAnsi="Times New Roman"/>
          <w:sz w:val="21"/>
          <w:szCs w:val="21"/>
          <w:color w:val="auto"/>
        </w:rPr>
        <w:t>means the Employee Retirement Income Security Act of 1974,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1" w:right="339" w:bottom="1440" w:gutter="0" w:footer="0" w:header="0"/>
        </w:sectPr>
      </w:pPr>
    </w:p>
    <w:bookmarkStart w:id="43" w:name="page44"/>
    <w:bookmarkEnd w:id="43"/>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b w:val="1"/>
          <w:bCs w:val="1"/>
          <w:color w:val="auto"/>
        </w:rPr>
        <w:t xml:space="preserve">“Exchange Act” </w:t>
      </w:r>
      <w:r>
        <w:rPr>
          <w:rFonts w:ascii="Times New Roman" w:cs="Times New Roman" w:eastAsia="Times New Roman" w:hAnsi="Times New Roman"/>
          <w:sz w:val="21"/>
          <w:szCs w:val="21"/>
          <w:color w:val="auto"/>
        </w:rPr>
        <w:t>means the Securities Exchange Act of 1934, as amended.</w:t>
      </w:r>
    </w:p>
    <w:p>
      <w:pPr>
        <w:spacing w:after="0" w:line="1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b w:val="1"/>
          <w:bCs w:val="1"/>
          <w:color w:val="auto"/>
        </w:rPr>
        <w:t xml:space="preserve">“FICA Amount” </w:t>
      </w:r>
      <w:r>
        <w:rPr>
          <w:rFonts w:ascii="Times New Roman" w:cs="Times New Roman" w:eastAsia="Times New Roman" w:hAnsi="Times New Roman"/>
          <w:sz w:val="21"/>
          <w:szCs w:val="21"/>
          <w:color w:val="auto"/>
        </w:rPr>
        <w:t>has the meaning set forth in Section 9.1.</w:t>
      </w:r>
    </w:p>
    <w:p>
      <w:pPr>
        <w:spacing w:after="0" w:line="179" w:lineRule="exact"/>
        <w:rPr>
          <w:sz w:val="20"/>
          <w:szCs w:val="20"/>
          <w:color w:val="auto"/>
        </w:rPr>
      </w:pPr>
    </w:p>
    <w:p>
      <w:pPr>
        <w:jc w:val="both"/>
        <w:ind w:left="1280" w:hanging="647"/>
        <w:spacing w:after="0" w:line="232" w:lineRule="auto"/>
        <w:tabs>
          <w:tab w:leader="none" w:pos="1260" w:val="left"/>
        </w:tabs>
        <w:rPr>
          <w:sz w:val="20"/>
          <w:szCs w:val="20"/>
          <w:color w:val="auto"/>
        </w:rPr>
      </w:pPr>
      <w:r>
        <w:rPr>
          <w:rFonts w:ascii="Times New Roman" w:cs="Times New Roman" w:eastAsia="Times New Roman" w:hAnsi="Times New Roman"/>
          <w:sz w:val="22"/>
          <w:szCs w:val="22"/>
          <w:color w:val="auto"/>
        </w:rPr>
        <w:t>3.23</w:t>
      </w:r>
      <w:r>
        <w:rPr>
          <w:sz w:val="20"/>
          <w:szCs w:val="20"/>
          <w:color w:val="auto"/>
        </w:rPr>
        <w:tab/>
      </w:r>
      <w:r>
        <w:rPr>
          <w:rFonts w:ascii="Times New Roman" w:cs="Times New Roman" w:eastAsia="Times New Roman" w:hAnsi="Times New Roman"/>
          <w:sz w:val="21"/>
          <w:szCs w:val="21"/>
          <w:b w:val="1"/>
          <w:bCs w:val="1"/>
          <w:color w:val="auto"/>
        </w:rPr>
        <w:t xml:space="preserve">“Incentive Compensation” </w:t>
      </w:r>
      <w:r>
        <w:rPr>
          <w:rFonts w:ascii="Times New Roman" w:cs="Times New Roman" w:eastAsia="Times New Roman" w:hAnsi="Times New Roman"/>
          <w:sz w:val="21"/>
          <w:szCs w:val="21"/>
          <w:color w:val="auto"/>
        </w:rPr>
        <w:t>means the portion of a Participant’s annual cash award under a short-term incentive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program that the Company has identified as eligible for deferral under this Plan for a given Plan Year. Incentive Compensation eligible for deferral under this Plan does not include any equity award under H2O America’s Long-Term Incentive Plan or any successor or predecessor equity compensation plan of the Company or any Affiliate.</w:t>
      </w:r>
    </w:p>
    <w:p>
      <w:pPr>
        <w:spacing w:after="0" w:line="1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3.24</w:t>
      </w:r>
      <w:r>
        <w:rPr>
          <w:sz w:val="20"/>
          <w:szCs w:val="20"/>
          <w:color w:val="auto"/>
        </w:rPr>
        <w:tab/>
      </w:r>
      <w:r>
        <w:rPr>
          <w:rFonts w:ascii="Times New Roman" w:cs="Times New Roman" w:eastAsia="Times New Roman" w:hAnsi="Times New Roman"/>
          <w:sz w:val="21"/>
          <w:szCs w:val="21"/>
          <w:b w:val="1"/>
          <w:bCs w:val="1"/>
          <w:color w:val="auto"/>
        </w:rPr>
        <w:t xml:space="preserve">“Incentive Deferrals” </w:t>
      </w:r>
      <w:r>
        <w:rPr>
          <w:rFonts w:ascii="Times New Roman" w:cs="Times New Roman" w:eastAsia="Times New Roman" w:hAnsi="Times New Roman"/>
          <w:sz w:val="21"/>
          <w:szCs w:val="21"/>
          <w:color w:val="auto"/>
        </w:rPr>
        <w:t>means deferrals of a Participant’s Incentive Compensation for a given Plan Year.</w:t>
      </w:r>
    </w:p>
    <w:p>
      <w:pPr>
        <w:spacing w:after="0" w:line="179" w:lineRule="exact"/>
        <w:rPr>
          <w:sz w:val="20"/>
          <w:szCs w:val="20"/>
          <w:color w:val="auto"/>
        </w:rPr>
      </w:pPr>
    </w:p>
    <w:p>
      <w:pPr>
        <w:jc w:val="both"/>
        <w:ind w:left="1280" w:right="2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3.25</w:t>
      </w:r>
      <w:r>
        <w:rPr>
          <w:sz w:val="20"/>
          <w:szCs w:val="20"/>
          <w:color w:val="auto"/>
        </w:rPr>
        <w:tab/>
      </w:r>
      <w:r>
        <w:rPr>
          <w:rFonts w:ascii="Times New Roman" w:cs="Times New Roman" w:eastAsia="Times New Roman" w:hAnsi="Times New Roman"/>
          <w:sz w:val="22"/>
          <w:szCs w:val="22"/>
          <w:b w:val="1"/>
          <w:bCs w:val="1"/>
          <w:color w:val="auto"/>
        </w:rPr>
        <w:t xml:space="preserve">“Incentive Deferral Account” </w:t>
      </w:r>
      <w:r>
        <w:rPr>
          <w:rFonts w:ascii="Times New Roman" w:cs="Times New Roman" w:eastAsia="Times New Roman" w:hAnsi="Times New Roman"/>
          <w:sz w:val="22"/>
          <w:szCs w:val="22"/>
          <w:color w:val="auto"/>
        </w:rPr>
        <w:t>means a separate account maintained for each Participant to record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Incentive Deferrals made to the Plan and all earnings and losses allocable thereto.</w:t>
      </w:r>
    </w:p>
    <w:p>
      <w:pPr>
        <w:spacing w:after="0" w:line="146" w:lineRule="exact"/>
        <w:rPr>
          <w:sz w:val="20"/>
          <w:szCs w:val="20"/>
          <w:color w:val="auto"/>
        </w:rPr>
      </w:pPr>
    </w:p>
    <w:p>
      <w:pPr>
        <w:jc w:val="both"/>
        <w:ind w:left="1280" w:hanging="647"/>
        <w:spacing w:after="0" w:line="213" w:lineRule="auto"/>
        <w:tabs>
          <w:tab w:leader="none" w:pos="1260" w:val="left"/>
        </w:tabs>
        <w:rPr>
          <w:sz w:val="20"/>
          <w:szCs w:val="20"/>
          <w:color w:val="auto"/>
        </w:rPr>
      </w:pPr>
      <w:r>
        <w:rPr>
          <w:rFonts w:ascii="Times New Roman" w:cs="Times New Roman" w:eastAsia="Times New Roman" w:hAnsi="Times New Roman"/>
          <w:sz w:val="22"/>
          <w:szCs w:val="22"/>
          <w:color w:val="auto"/>
        </w:rPr>
        <w:t>3.26</w:t>
      </w:r>
      <w:r>
        <w:rPr>
          <w:sz w:val="20"/>
          <w:szCs w:val="20"/>
          <w:color w:val="auto"/>
        </w:rPr>
        <w:tab/>
      </w:r>
      <w:r>
        <w:rPr>
          <w:rFonts w:ascii="Times New Roman" w:cs="Times New Roman" w:eastAsia="Times New Roman" w:hAnsi="Times New Roman"/>
          <w:sz w:val="22"/>
          <w:szCs w:val="22"/>
          <w:b w:val="1"/>
          <w:bCs w:val="1"/>
          <w:color w:val="auto"/>
        </w:rPr>
        <w:t xml:space="preserve">“Incumbent Directors” </w:t>
      </w:r>
      <w:r>
        <w:rPr>
          <w:rFonts w:ascii="Times New Roman" w:cs="Times New Roman" w:eastAsia="Times New Roman" w:hAnsi="Times New Roman"/>
          <w:sz w:val="22"/>
          <w:szCs w:val="22"/>
          <w:color w:val="auto"/>
        </w:rPr>
        <w:t>means those individuals who, on the Effective Date, constitute the Board, provided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individual becoming a director subsequent to the Effective Date whose election or nomination for election to the Board was approved by a vote of at least two-thirds (2/3)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3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3.27</w:t>
      </w:r>
      <w:r>
        <w:rPr>
          <w:sz w:val="20"/>
          <w:szCs w:val="20"/>
          <w:color w:val="auto"/>
        </w:rPr>
        <w:tab/>
      </w:r>
      <w:r>
        <w:rPr>
          <w:rFonts w:ascii="Times New Roman" w:cs="Times New Roman" w:eastAsia="Times New Roman" w:hAnsi="Times New Roman"/>
          <w:sz w:val="22"/>
          <w:szCs w:val="22"/>
          <w:b w:val="1"/>
          <w:bCs w:val="1"/>
          <w:color w:val="auto"/>
        </w:rPr>
        <w:t xml:space="preserve">“Investment Option” </w:t>
      </w:r>
      <w:r>
        <w:rPr>
          <w:rFonts w:ascii="Times New Roman" w:cs="Times New Roman" w:eastAsia="Times New Roman" w:hAnsi="Times New Roman"/>
          <w:sz w:val="22"/>
          <w:szCs w:val="22"/>
          <w:color w:val="auto"/>
        </w:rPr>
        <w:t>means any one or more of the following, as determined by the Plan Administrator, either</w:t>
      </w:r>
    </w:p>
    <w:p>
      <w:pPr>
        <w:jc w:val="both"/>
        <w:ind w:left="1280" w:firstLine="4"/>
        <w:spacing w:after="0" w:line="218" w:lineRule="auto"/>
        <w:tabs>
          <w:tab w:leader="none" w:pos="16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fixed interest rate established by the Plan Administrator or (b) any investment fund, index or other investment vehicle designated by the Plan Administrator for purposes of determining the notional investment return on all or any portion of a Participant’s Account in accordance with the provisions of Section 6.</w:t>
      </w:r>
    </w:p>
    <w:p>
      <w:pPr>
        <w:spacing w:after="0" w:line="147" w:lineRule="exact"/>
        <w:rPr>
          <w:sz w:val="20"/>
          <w:szCs w:val="20"/>
          <w:color w:val="auto"/>
        </w:rPr>
      </w:pPr>
    </w:p>
    <w:p>
      <w:pPr>
        <w:jc w:val="both"/>
        <w:ind w:left="128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3.28</w:t>
      </w:r>
      <w:r>
        <w:rPr>
          <w:sz w:val="20"/>
          <w:szCs w:val="20"/>
          <w:color w:val="auto"/>
        </w:rPr>
        <w:tab/>
      </w:r>
      <w:r>
        <w:rPr>
          <w:rFonts w:ascii="Times New Roman" w:cs="Times New Roman" w:eastAsia="Times New Roman" w:hAnsi="Times New Roman"/>
          <w:sz w:val="21"/>
          <w:szCs w:val="21"/>
          <w:b w:val="1"/>
          <w:bCs w:val="1"/>
          <w:color w:val="auto"/>
        </w:rPr>
        <w:t xml:space="preserve">“Participant” </w:t>
      </w:r>
      <w:r>
        <w:rPr>
          <w:rFonts w:ascii="Times New Roman" w:cs="Times New Roman" w:eastAsia="Times New Roman" w:hAnsi="Times New Roman"/>
          <w:sz w:val="21"/>
          <w:szCs w:val="21"/>
          <w:color w:val="auto"/>
        </w:rPr>
        <w:t>means an Eligible Employee who elects to participate in the Plan by filing an Election Form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Section 5 and any former Eligible Employee who no longer makes Base Salary Deferrals or Incentive Deferrals or receives Discretionary Contributions but continues to be entitled to a benefit under the Plan.</w:t>
      </w:r>
    </w:p>
    <w:p>
      <w:pPr>
        <w:spacing w:after="0" w:line="146" w:lineRule="exact"/>
        <w:rPr>
          <w:sz w:val="20"/>
          <w:szCs w:val="20"/>
          <w:color w:val="auto"/>
        </w:rPr>
      </w:pPr>
    </w:p>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3.29</w:t>
        <w:tab/>
        <w:t>“</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means a fixed date or dates selected by a Participant in the Participant’s Election Form, or Subsequent Deferral Election Form, as applicable, for the payment of all or a portion of such Participant’s Accounts. The Payment Date must be July 1 of the calendar year specified by the Participant.</w:t>
      </w:r>
    </w:p>
    <w:p>
      <w:pPr>
        <w:spacing w:after="0" w:line="146" w:lineRule="exact"/>
        <w:rPr>
          <w:sz w:val="20"/>
          <w:szCs w:val="20"/>
          <w:color w:val="auto"/>
        </w:rPr>
      </w:pPr>
    </w:p>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3.30</w:t>
        <w:tab/>
        <w:t>“</w:t>
      </w:r>
      <w:r>
        <w:rPr>
          <w:rFonts w:ascii="Times New Roman" w:cs="Times New Roman" w:eastAsia="Times New Roman" w:hAnsi="Times New Roman"/>
          <w:sz w:val="22"/>
          <w:szCs w:val="22"/>
          <w:b w:val="1"/>
          <w:bCs w:val="1"/>
          <w:color w:val="auto"/>
        </w:rPr>
        <w:t>Payment Event</w:t>
      </w:r>
      <w:r>
        <w:rPr>
          <w:rFonts w:ascii="Times New Roman" w:cs="Times New Roman" w:eastAsia="Times New Roman" w:hAnsi="Times New Roman"/>
          <w:sz w:val="22"/>
          <w:szCs w:val="22"/>
          <w:color w:val="auto"/>
        </w:rPr>
        <w:t>” means the earliest to occur of (a) the fixed July 1 (if any) specified in the Participant’s Election Form, or Subsequent Deferral Election Form, as applicable, (b) a Participant’s Separation from Service, and (c) a Participant’s death.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1" w:right="339" w:bottom="1440" w:gutter="0" w:footer="0" w:header="0"/>
        </w:sectPr>
      </w:pPr>
    </w:p>
    <w:bookmarkStart w:id="44" w:name="page45"/>
    <w:bookmarkEnd w:id="44"/>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2017 Connecticut Water Company Deferred Compensation Plan, as amended from time to time.</w:t>
      </w:r>
    </w:p>
    <w:p>
      <w:pPr>
        <w:spacing w:after="0" w:line="179"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3.32</w:t>
        <w:tab/>
        <w:t>“</w:t>
      </w:r>
      <w:r>
        <w:rPr>
          <w:rFonts w:ascii="Times New Roman" w:cs="Times New Roman" w:eastAsia="Times New Roman" w:hAnsi="Times New Roman"/>
          <w:sz w:val="22"/>
          <w:szCs w:val="22"/>
          <w:b w:val="1"/>
          <w:bCs w:val="1"/>
          <w:color w:val="auto"/>
        </w:rPr>
        <w:t>Plan Year</w:t>
      </w:r>
      <w:r>
        <w:rPr>
          <w:rFonts w:ascii="Times New Roman" w:cs="Times New Roman" w:eastAsia="Times New Roman" w:hAnsi="Times New Roman"/>
          <w:sz w:val="22"/>
          <w:szCs w:val="22"/>
          <w:color w:val="auto"/>
        </w:rPr>
        <w:t>” means the twelve consecutive month period which begins on January 1 and ends on the following December 31.</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3.33</w:t>
        <w:tab/>
        <w:t>“</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has the meaning set forth in Code Section 409A(a)(2)(A)(i) and Treas. Reg. Section</w:t>
      </w:r>
    </w:p>
    <w:p>
      <w:pPr>
        <w:ind w:left="1300"/>
        <w:spacing w:after="0"/>
        <w:rPr>
          <w:sz w:val="20"/>
          <w:szCs w:val="20"/>
          <w:color w:val="auto"/>
        </w:rPr>
      </w:pPr>
      <w:r>
        <w:rPr>
          <w:rFonts w:ascii="Times New Roman" w:cs="Times New Roman" w:eastAsia="Times New Roman" w:hAnsi="Times New Roman"/>
          <w:sz w:val="22"/>
          <w:szCs w:val="22"/>
          <w:color w:val="auto"/>
        </w:rPr>
        <w:t>1.409A-1(h) including the default presumptions thereunder.</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3.34</w:t>
        <w:tab/>
        <w:t>“</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has the meaning set forth in Code Section 409A(a)(2)(B)(i) and Treas. Reg. Section</w:t>
      </w:r>
    </w:p>
    <w:p>
      <w:pPr>
        <w:ind w:left="1300"/>
        <w:spacing w:after="0"/>
        <w:rPr>
          <w:sz w:val="20"/>
          <w:szCs w:val="20"/>
          <w:color w:val="auto"/>
        </w:rPr>
      </w:pPr>
      <w:r>
        <w:rPr>
          <w:rFonts w:ascii="Times New Roman" w:cs="Times New Roman" w:eastAsia="Times New Roman" w:hAnsi="Times New Roman"/>
          <w:sz w:val="22"/>
          <w:szCs w:val="22"/>
          <w:color w:val="auto"/>
        </w:rPr>
        <w:t>1.409A-1(i).</w:t>
      </w:r>
    </w:p>
    <w:p>
      <w:pPr>
        <w:spacing w:after="0" w:line="151"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3.35</w:t>
        <w:tab/>
        <w:t>“</w:t>
      </w:r>
      <w:r>
        <w:rPr>
          <w:rFonts w:ascii="Times New Roman" w:cs="Times New Roman" w:eastAsia="Times New Roman" w:hAnsi="Times New Roman"/>
          <w:sz w:val="22"/>
          <w:szCs w:val="22"/>
          <w:b w:val="1"/>
          <w:bCs w:val="1"/>
          <w:color w:val="auto"/>
        </w:rPr>
        <w:t>Specified Employee Payment Date</w:t>
      </w:r>
      <w:r>
        <w:rPr>
          <w:rFonts w:ascii="Times New Roman" w:cs="Times New Roman" w:eastAsia="Times New Roman" w:hAnsi="Times New Roman"/>
          <w:sz w:val="22"/>
          <w:szCs w:val="22"/>
          <w:color w:val="auto"/>
        </w:rPr>
        <w:t>” means the first payroll date of the seventh month following the Participant’s Separation from Service (or, if earlier, upon the date of the Participant’s death).</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State, Local and Foreign Tax Amount</w:t>
      </w:r>
      <w:r>
        <w:rPr>
          <w:rFonts w:ascii="Times New Roman" w:cs="Times New Roman" w:eastAsia="Times New Roman" w:hAnsi="Times New Roman"/>
          <w:sz w:val="21"/>
          <w:szCs w:val="21"/>
          <w:color w:val="auto"/>
        </w:rPr>
        <w:t>” has the meaning set forth in Section 9.</w:t>
      </w:r>
    </w:p>
    <w:p>
      <w:pPr>
        <w:spacing w:after="0" w:line="179" w:lineRule="exact"/>
        <w:rPr>
          <w:sz w:val="20"/>
          <w:szCs w:val="20"/>
          <w:color w:val="auto"/>
        </w:rPr>
      </w:pPr>
    </w:p>
    <w:p>
      <w:pPr>
        <w:jc w:val="both"/>
        <w:ind w:left="1300" w:hanging="647"/>
        <w:spacing w:after="0" w:line="227" w:lineRule="auto"/>
        <w:tabs>
          <w:tab w:leader="none" w:pos="1280" w:val="left"/>
        </w:tabs>
        <w:rPr>
          <w:sz w:val="20"/>
          <w:szCs w:val="20"/>
          <w:color w:val="auto"/>
        </w:rPr>
      </w:pPr>
      <w:r>
        <w:rPr>
          <w:rFonts w:ascii="Times New Roman" w:cs="Times New Roman" w:eastAsia="Times New Roman" w:hAnsi="Times New Roman"/>
          <w:sz w:val="22"/>
          <w:szCs w:val="22"/>
          <w:color w:val="auto"/>
        </w:rPr>
        <w:t>3.37</w:t>
      </w:r>
      <w:r>
        <w:rPr>
          <w:sz w:val="20"/>
          <w:szCs w:val="20"/>
          <w:color w:val="auto"/>
        </w:rPr>
        <w:tab/>
      </w:r>
      <w:r>
        <w:rPr>
          <w:rFonts w:ascii="Times New Roman" w:cs="Times New Roman" w:eastAsia="Times New Roman" w:hAnsi="Times New Roman"/>
          <w:sz w:val="22"/>
          <w:szCs w:val="22"/>
          <w:b w:val="1"/>
          <w:bCs w:val="1"/>
          <w:color w:val="auto"/>
        </w:rPr>
        <w:t xml:space="preserve">“Subsequent Deferral Election” </w:t>
      </w:r>
      <w:r>
        <w:rPr>
          <w:rFonts w:ascii="Times New Roman" w:cs="Times New Roman" w:eastAsia="Times New Roman" w:hAnsi="Times New Roman"/>
          <w:sz w:val="22"/>
          <w:szCs w:val="22"/>
          <w:color w:val="auto"/>
        </w:rPr>
        <w:t>means an election by a Participant, in accordance with Section 8.3, to defer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Date and/or change the form of payment (lump sum or installments), each with respect to amounts deferred under an Election Form or Subsequent Deferral Election Form previously submitted by the Participant.</w:t>
      </w:r>
    </w:p>
    <w:p>
      <w:pPr>
        <w:spacing w:after="0" w:line="146" w:lineRule="exact"/>
        <w:rPr>
          <w:sz w:val="20"/>
          <w:szCs w:val="20"/>
          <w:color w:val="auto"/>
        </w:rPr>
      </w:pPr>
    </w:p>
    <w:p>
      <w:pPr>
        <w:jc w:val="both"/>
        <w:ind w:left="1300" w:hanging="647"/>
        <w:spacing w:after="0" w:line="227" w:lineRule="auto"/>
        <w:tabs>
          <w:tab w:leader="none" w:pos="1280" w:val="left"/>
        </w:tabs>
        <w:rPr>
          <w:sz w:val="20"/>
          <w:szCs w:val="20"/>
          <w:color w:val="auto"/>
        </w:rPr>
      </w:pPr>
      <w:r>
        <w:rPr>
          <w:rFonts w:ascii="Times New Roman" w:cs="Times New Roman" w:eastAsia="Times New Roman" w:hAnsi="Times New Roman"/>
          <w:sz w:val="22"/>
          <w:szCs w:val="22"/>
          <w:color w:val="auto"/>
        </w:rPr>
        <w:t>3.38</w:t>
      </w:r>
      <w:r>
        <w:rPr>
          <w:sz w:val="20"/>
          <w:szCs w:val="20"/>
          <w:color w:val="auto"/>
        </w:rPr>
        <w:tab/>
      </w:r>
      <w:r>
        <w:rPr>
          <w:rFonts w:ascii="Times New Roman" w:cs="Times New Roman" w:eastAsia="Times New Roman" w:hAnsi="Times New Roman"/>
          <w:sz w:val="22"/>
          <w:szCs w:val="22"/>
          <w:b w:val="1"/>
          <w:bCs w:val="1"/>
          <w:color w:val="auto"/>
        </w:rPr>
        <w:t xml:space="preserve">“Subsequent Deferral Election Form” </w:t>
      </w:r>
      <w:r>
        <w:rPr>
          <w:rFonts w:ascii="Times New Roman" w:cs="Times New Roman" w:eastAsia="Times New Roman" w:hAnsi="Times New Roman"/>
          <w:sz w:val="22"/>
          <w:szCs w:val="22"/>
          <w:color w:val="auto"/>
        </w:rPr>
        <w:t>means the notice or notices established from time to time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for making a Subsequent Deferral Election under the Plan. Subsequent Deferral Election Forms may be distributed and/or submitted in paper or electronic form.</w:t>
      </w:r>
    </w:p>
    <w:p>
      <w:pPr>
        <w:spacing w:after="0" w:line="146"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Times New Roman" w:cs="Times New Roman" w:eastAsia="Times New Roman" w:hAnsi="Times New Roman"/>
          <w:sz w:val="22"/>
          <w:szCs w:val="22"/>
          <w:color w:val="auto"/>
        </w:rPr>
        <w:t>3.39</w:t>
        <w:tab/>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or other entity, 50% or more of whose outstanding voting stock or general voting power is beneficially owned directly or indirectly by the Company.</w:t>
      </w:r>
    </w:p>
    <w:p>
      <w:pPr>
        <w:spacing w:after="0" w:line="146"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Times New Roman" w:cs="Times New Roman" w:eastAsia="Times New Roman" w:hAnsi="Times New Roman"/>
          <w:sz w:val="22"/>
          <w:szCs w:val="22"/>
          <w:color w:val="auto"/>
        </w:rPr>
        <w:t>3.40</w:t>
        <w:tab/>
        <w:t>“</w:t>
      </w:r>
      <w:r>
        <w:rPr>
          <w:rFonts w:ascii="Times New Roman" w:cs="Times New Roman" w:eastAsia="Times New Roman" w:hAnsi="Times New Roman"/>
          <w:sz w:val="22"/>
          <w:szCs w:val="22"/>
          <w:b w:val="1"/>
          <w:bCs w:val="1"/>
          <w:color w:val="auto"/>
        </w:rPr>
        <w:t>Valuation Date</w:t>
      </w:r>
      <w:r>
        <w:rPr>
          <w:rFonts w:ascii="Times New Roman" w:cs="Times New Roman" w:eastAsia="Times New Roman" w:hAnsi="Times New Roman"/>
          <w:sz w:val="22"/>
          <w:szCs w:val="22"/>
          <w:color w:val="auto"/>
        </w:rPr>
        <w:t>” means any date as of which the balance credited to each of the Participant’s Accounts under the Plan is to be determined. If the date in question is coincident with a date on which the U.S. financial markets are open for business, then the Valuation Date shall be that same date; otherwise, the Valuation Date shall be first date immediately preceding the date in question on which the U.S. financial markets are open for business.</w:t>
      </w:r>
    </w:p>
    <w:p>
      <w:pPr>
        <w:spacing w:after="0" w:line="14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PARTICIPATION.</w:t>
      </w:r>
    </w:p>
    <w:p>
      <w:pPr>
        <w:spacing w:after="0" w:line="17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Requirements for Participation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1960" w:hanging="656"/>
        <w:spacing w:after="0" w:line="215" w:lineRule="auto"/>
        <w:tabs>
          <w:tab w:leader="none" w:pos="195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Participation</w:t>
      </w:r>
      <w:r>
        <w:rPr>
          <w:rFonts w:ascii="Times New Roman" w:cs="Times New Roman" w:eastAsia="Times New Roman" w:hAnsi="Times New Roman"/>
          <w:sz w:val="22"/>
          <w:szCs w:val="22"/>
          <w:color w:val="auto"/>
        </w:rPr>
        <w:t>. Before the beginning of each Plan Year, the Plan Administrator shall select those Employees who shall be Eligible Employees for such Plan Year. Any Eligible Employee may participate in the Plan commencing as of the January 1 occurring after the date on which the Employee becomes an Eligible Employee. No Employee or other person shall have any claim or right to be an Eligible Employee under the Plan or, having been selected to be an Eligible Employee in one Plan Year, to be selected as an Eligible Employee in any other Plan Year.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1" w:right="339" w:bottom="1440" w:gutter="0" w:footer="0" w:header="0"/>
        </w:sectPr>
      </w:pPr>
    </w:p>
    <w:bookmarkStart w:id="45" w:name="page46"/>
    <w:bookmarkEnd w:id="45"/>
    <w:p>
      <w:pPr>
        <w:jc w:val="both"/>
        <w:ind w:left="1960" w:hanging="656"/>
        <w:spacing w:after="0" w:line="220" w:lineRule="auto"/>
        <w:tabs>
          <w:tab w:leader="none" w:pos="19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Hires</w:t>
      </w:r>
      <w:r>
        <w:rPr>
          <w:rFonts w:ascii="Times New Roman" w:cs="Times New Roman" w:eastAsia="Times New Roman" w:hAnsi="Times New Roman"/>
          <w:sz w:val="22"/>
          <w:szCs w:val="22"/>
          <w:color w:val="auto"/>
        </w:rPr>
        <w:t>. The Plan Administrator shall determine whether a newly hired Employee is an Eligible Employee at hire. A newly-hired Eligible Employee may participate in the Plan immediately upon submitting an Election Form in the time and manner prescribed by the Plan Administrator, and in no event later than 30 days following the date the newly hired Employee becomes an Eligible Employee.</w:t>
      </w:r>
    </w:p>
    <w:p>
      <w:pPr>
        <w:spacing w:after="0" w:line="148" w:lineRule="exact"/>
        <w:rPr>
          <w:sz w:val="20"/>
          <w:szCs w:val="20"/>
          <w:color w:val="auto"/>
        </w:rPr>
      </w:pPr>
    </w:p>
    <w:p>
      <w:pPr>
        <w:jc w:val="both"/>
        <w:ind w:left="1300" w:hanging="647"/>
        <w:spacing w:after="0" w:line="228" w:lineRule="auto"/>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b w:val="1"/>
          <w:bCs w:val="1"/>
          <w:color w:val="auto"/>
        </w:rPr>
        <w:t>Election to Participate; Benefits of Participation</w:t>
      </w:r>
      <w:r>
        <w:rPr>
          <w:rFonts w:ascii="Times New Roman" w:cs="Times New Roman" w:eastAsia="Times New Roman" w:hAnsi="Times New Roman"/>
          <w:sz w:val="21"/>
          <w:szCs w:val="21"/>
          <w:color w:val="auto"/>
        </w:rPr>
        <w:t>. An Eligible Employee for a Plan Year may become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in the Plan by making a Deferral Election in accordance with Section 5. A newly-hired Eligible Employee may elect only Base Salary Deferrals in the Plan Year in which the newly-hired Eligible Employee is hired, and only with respect to Base Salary earned after the date the Eligible Employee submits an Election Form. An Eligible Employee may become eligible for Discretionary Contributions at the Board’s sole discretion.</w:t>
      </w:r>
    </w:p>
    <w:p>
      <w:pPr>
        <w:spacing w:after="0" w:line="149" w:lineRule="exact"/>
        <w:rPr>
          <w:sz w:val="20"/>
          <w:szCs w:val="20"/>
          <w:color w:val="auto"/>
        </w:rPr>
      </w:pPr>
    </w:p>
    <w:p>
      <w:pPr>
        <w:jc w:val="both"/>
        <w:ind w:left="1300" w:hanging="647"/>
        <w:spacing w:after="0" w:line="227" w:lineRule="auto"/>
        <w:tabs>
          <w:tab w:leader="none" w:pos="12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b w:val="1"/>
          <w:bCs w:val="1"/>
          <w:color w:val="auto"/>
        </w:rPr>
        <w:t>Cessation of Participation</w:t>
      </w:r>
      <w:r>
        <w:rPr>
          <w:rFonts w:ascii="Times New Roman" w:cs="Times New Roman" w:eastAsia="Times New Roman" w:hAnsi="Times New Roman"/>
          <w:sz w:val="22"/>
          <w:szCs w:val="22"/>
          <w:color w:val="auto"/>
        </w:rPr>
        <w:t>. If a Participant ceases to be an Eligible Employee for a Plan Year, then any Deferral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Elections already made for such Plan Year shall remain in force. Such Participant’s Accounts shall continue to be credited with earnings and losses pursuant to Section 6 and Section 8.5.</w:t>
      </w:r>
    </w:p>
    <w:p>
      <w:pPr>
        <w:spacing w:after="0" w:line="14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ELECTION PROCEDURES.</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2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Deferral Election</w:t>
      </w:r>
      <w:r>
        <w:rPr>
          <w:rFonts w:ascii="Times New Roman" w:cs="Times New Roman" w:eastAsia="Times New Roman" w:hAnsi="Times New Roman"/>
          <w:sz w:val="22"/>
          <w:szCs w:val="22"/>
          <w:color w:val="auto"/>
        </w:rPr>
        <w:t>. An Eligible Employee may elect to make Base Salary Deferrals and/or Incentive Deferrals by completing an Election Form and filing it with the Plan Administrator during the Election Period. An Election Form shall become irrevocable at the end of the Election Period. The Election Form for each Plan Year must specify:</w:t>
      </w:r>
    </w:p>
    <w:p>
      <w:pPr>
        <w:spacing w:after="0" w:line="152" w:lineRule="exact"/>
        <w:rPr>
          <w:rFonts w:ascii="Times New Roman" w:cs="Times New Roman" w:eastAsia="Times New Roman" w:hAnsi="Times New Roman"/>
          <w:sz w:val="22"/>
          <w:szCs w:val="22"/>
          <w:b w:val="1"/>
          <w:bCs w:val="1"/>
          <w:color w:val="auto"/>
        </w:rPr>
      </w:pPr>
    </w:p>
    <w:p>
      <w:pPr>
        <w:jc w:val="both"/>
        <w:ind w:left="1960" w:hanging="656"/>
        <w:spacing w:after="0" w:line="225" w:lineRule="auto"/>
        <w:tabs>
          <w:tab w:leader="none" w:pos="195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or percentage of Base Salary Deferrals and/or Incentive Deferrals, in increments of 1% (subject to any minimum and maximum amounts established by the Plan Administrator on an individual or Plan-wide basis);</w:t>
      </w:r>
    </w:p>
    <w:p>
      <w:pPr>
        <w:spacing w:after="0" w:line="152" w:lineRule="exact"/>
        <w:rPr>
          <w:rFonts w:ascii="Times New Roman" w:cs="Times New Roman" w:eastAsia="Times New Roman" w:hAnsi="Times New Roman"/>
          <w:sz w:val="22"/>
          <w:szCs w:val="22"/>
          <w:color w:val="auto"/>
        </w:rPr>
      </w:pPr>
    </w:p>
    <w:p>
      <w:pPr>
        <w:ind w:left="1960" w:hanging="656"/>
        <w:spacing w:after="0" w:line="236" w:lineRule="auto"/>
        <w:tabs>
          <w:tab w:leader="none" w:pos="195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Date(s) and the Payment Event, as applicable, for each of the Participant’s Base Salary Deferrals and Incentive Deferrals attributable to that Plan Year (subject to the provisions of the Plan);</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5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 of payment for each of the Participant’s Base Salary Deferrals and Incentive Deferrals attributable to that Plan Year (lump sum or up to five equal annual installments); and</w:t>
      </w:r>
    </w:p>
    <w:p>
      <w:pPr>
        <w:spacing w:after="0" w:line="150"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5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or amount of each of the Participant’s Base Salary Deferrals, Incentive Deferrals, and Discretionary Contributions attributable to that Plan Year to be allocated to each Investment Option available under the Plan.</w:t>
      </w:r>
    </w:p>
    <w:p>
      <w:pPr>
        <w:spacing w:after="0" w:line="148" w:lineRule="exact"/>
        <w:rPr>
          <w:sz w:val="20"/>
          <w:szCs w:val="20"/>
          <w:color w:val="auto"/>
        </w:rPr>
      </w:pPr>
    </w:p>
    <w:p>
      <w:pPr>
        <w:jc w:val="both"/>
        <w:ind w:left="1300" w:hanging="647"/>
        <w:spacing w:after="0" w:line="216" w:lineRule="auto"/>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b w:val="1"/>
          <w:bCs w:val="1"/>
          <w:color w:val="auto"/>
        </w:rPr>
        <w:t>Base Salary Deferrals</w:t>
      </w:r>
      <w:r>
        <w:rPr>
          <w:rFonts w:ascii="Times New Roman" w:cs="Times New Roman" w:eastAsia="Times New Roman" w:hAnsi="Times New Roman"/>
          <w:sz w:val="22"/>
          <w:szCs w:val="22"/>
          <w:color w:val="auto"/>
        </w:rPr>
        <w:t>. Subject to any minimum or maximum amount established by the Plan Administrator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individual or Plan-wide basis for a Plan Year, a Participant may elect to defer up to fifty percent (50%) of the Participant’s Base Salary to be earned in any Plan Year by making a Deferral Election in accordance with this Section 5. Base Salary Deferrals shall be credited to a Participant’s Base Salary Deferral Account as of the date the Base Salary otherwise would have been paid to the Participant. The Plan Administrator reserves the right, in its sole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5"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22"/>
          <w:szCs w:val="22"/>
          <w:color w:val="auto"/>
        </w:rPr>
        <w:t>discretion, to reduce a Participant’s Base Salary Deferral Election before the end of the Election Period.</w:t>
      </w:r>
    </w:p>
    <w:p>
      <w:pPr>
        <w:spacing w:after="0" w:line="175" w:lineRule="exact"/>
        <w:rPr>
          <w:sz w:val="20"/>
          <w:szCs w:val="20"/>
          <w:color w:val="auto"/>
        </w:rPr>
      </w:pPr>
    </w:p>
    <w:p>
      <w:pPr>
        <w:jc w:val="both"/>
        <w:ind w:left="1300" w:hanging="647"/>
        <w:spacing w:after="0" w:line="214" w:lineRule="auto"/>
        <w:tabs>
          <w:tab w:leader="none" w:pos="12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b w:val="1"/>
          <w:bCs w:val="1"/>
          <w:color w:val="auto"/>
        </w:rPr>
        <w:t>Incentive Deferrals</w:t>
      </w:r>
      <w:r>
        <w:rPr>
          <w:rFonts w:ascii="Times New Roman" w:cs="Times New Roman" w:eastAsia="Times New Roman" w:hAnsi="Times New Roman"/>
          <w:sz w:val="22"/>
          <w:szCs w:val="22"/>
          <w:color w:val="auto"/>
        </w:rPr>
        <w:t>. Subject to any minimum or maximum amount established by the Plan Administrator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or Plan-wide basis for a Plan Year, a Participant may elect to defer up to one hundred percent (100%) of the Participant’s Incentive Compensation to be earned in any Plan Year by making a Deferral Election in accordance with this Section 5. Incentive Deferrals shall be credited to the Participant’s Incentive Deferral Account as of the date the Incentive Compensation vests in accordance with the applicable Incentive Compensation award. The Plan Administrator reserves the right, in its sole discretion, to reduce a Participant’s Incentive Deferral election before the end of the Election Period.</w:t>
      </w:r>
    </w:p>
    <w:p>
      <w:pPr>
        <w:spacing w:after="0" w:line="149" w:lineRule="exact"/>
        <w:rPr>
          <w:sz w:val="20"/>
          <w:szCs w:val="20"/>
          <w:color w:val="auto"/>
        </w:rPr>
      </w:pPr>
    </w:p>
    <w:p>
      <w:pPr>
        <w:jc w:val="both"/>
        <w:ind w:left="1300" w:hanging="647"/>
        <w:spacing w:after="0" w:line="216" w:lineRule="auto"/>
        <w:tabs>
          <w:tab w:leader="none" w:pos="12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b w:val="1"/>
          <w:bCs w:val="1"/>
          <w:color w:val="auto"/>
        </w:rPr>
        <w:t xml:space="preserve">Discretionary Contributions. </w:t>
      </w:r>
      <w:r>
        <w:rPr>
          <w:rFonts w:ascii="Times New Roman" w:cs="Times New Roman" w:eastAsia="Times New Roman" w:hAnsi="Times New Roman"/>
          <w:sz w:val="22"/>
          <w:szCs w:val="22"/>
          <w:color w:val="auto"/>
        </w:rPr>
        <w:t>The Company may, but is not required to, make a Discretionary Contribution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on behalf of a Participant in such amount and subject to such terms as the Board shall determine at the time of the award in its sole discretion. The terms of any Discretionary Contributions need not be uniform among Participants. Any Discretionary Contribution shall be credited to the Participant’s Discretionary Contribution Account upon grant, subject to vesting in accordance with this Plan. The Company is under no obligation to make a Discretionary Contribution for any Participant in any Plan Year.</w:t>
      </w:r>
    </w:p>
    <w:p>
      <w:pPr>
        <w:spacing w:after="0" w:line="14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ACCOUNTS AND INVESTMENT OPTIONS.</w:t>
      </w:r>
    </w:p>
    <w:p>
      <w:pPr>
        <w:spacing w:after="0" w:line="179" w:lineRule="exact"/>
        <w:rPr>
          <w:rFonts w:ascii="Times New Roman" w:cs="Times New Roman" w:eastAsia="Times New Roman" w:hAnsi="Times New Roman"/>
          <w:sz w:val="22"/>
          <w:szCs w:val="22"/>
          <w:b w:val="1"/>
          <w:bCs w:val="1"/>
          <w:color w:val="auto"/>
        </w:rPr>
      </w:pPr>
    </w:p>
    <w:p>
      <w:pPr>
        <w:ind w:left="1300" w:right="20" w:hanging="64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Establishment of Accounts</w:t>
      </w:r>
      <w:r>
        <w:rPr>
          <w:rFonts w:ascii="Times New Roman" w:cs="Times New Roman" w:eastAsia="Times New Roman" w:hAnsi="Times New Roman"/>
          <w:sz w:val="22"/>
          <w:szCs w:val="22"/>
          <w:color w:val="auto"/>
        </w:rPr>
        <w:t>. The Company shall establish and maintain Accounts on behalf of any Participant as deemed necessary by the Plan Administrator for administrative purposes.</w:t>
      </w:r>
    </w:p>
    <w:p>
      <w:pPr>
        <w:spacing w:after="0" w:line="146"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Investment Options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1960" w:hanging="656"/>
        <w:spacing w:after="0" w:line="220" w:lineRule="auto"/>
        <w:tabs>
          <w:tab w:leader="none" w:pos="1957"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(b), below, the Plan Administrator shall select the Investment Options to be used for the deemed investment of Participant Accounts under the Plan. The Plan Administrator may, in its discretion, (i) designate one or more Investment Options to apply to all or any portion of Participant Accounts, or (ii) permit Participants to select from among one or more Investment Options designated by the Plan Administrator. The Plan Administrator may change, discontinue, or add to the Investment Options made available under the Plan at any time in its sole discretion. If the Plan Administrator permits Participant investment elections, a Participant must select the Investment Options for the Participant’s Accounts in the Participant’s Election Form and may make changes to the Participant’s selections only in accordance with procedures established by the Plan Administrator. If the Participant fails to make a required investment election, the Plan Administrator may, in its sole discretion, apply a default Investment Option (including no Investment Option) to all or any portion of the Participant’s Accounts.</w:t>
      </w:r>
    </w:p>
    <w:p>
      <w:pPr>
        <w:spacing w:after="0" w:line="157" w:lineRule="exact"/>
        <w:rPr>
          <w:rFonts w:ascii="Times New Roman" w:cs="Times New Roman" w:eastAsia="Times New Roman" w:hAnsi="Times New Roman"/>
          <w:sz w:val="21"/>
          <w:szCs w:val="21"/>
          <w:color w:val="auto"/>
        </w:rPr>
      </w:pPr>
    </w:p>
    <w:p>
      <w:pPr>
        <w:jc w:val="both"/>
        <w:ind w:left="1960" w:hanging="656"/>
        <w:spacing w:after="0" w:line="220" w:lineRule="auto"/>
        <w:tabs>
          <w:tab w:leader="none" w:pos="195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Connecticut Water Company Benefit Plan Administration Committee shall select the Investment Options to be made available under Corporate Owned Life Insurance policies held by the Plan. The Connecticut Water Company Benefit Plan Administration Committee may change, discontinue, or add to these Investment Options at any time in its sole discretion.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5" w:right="339" w:bottom="1440" w:gutter="0" w:footer="0" w:header="0"/>
        </w:sectPr>
      </w:pPr>
    </w:p>
    <w:bookmarkStart w:id="47" w:name="page48"/>
    <w:bookmarkEnd w:id="47"/>
    <w:p>
      <w:pPr>
        <w:jc w:val="both"/>
        <w:ind w:left="1960" w:hanging="656"/>
        <w:spacing w:after="0" w:line="213" w:lineRule="auto"/>
        <w:tabs>
          <w:tab w:leader="none" w:pos="195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determined otherwise by the Plan Administrator, all dividends, interest, gains, losses and distributions of any nature earned with respect to the Investment Option in which an Account is deemed invested shall be credited to that Account as though reinvested in additional shares of that Investment Option. Each Account of a Participant shall be charged with its allocable share of the costs and expenses incurred in connection with the administration of the investment return provisions of this Section 6.2, except to the extent the Company elects in its sole discretion to pay all or a portion of those costs and expenses.</w:t>
      </w:r>
    </w:p>
    <w:p>
      <w:pPr>
        <w:spacing w:after="0" w:line="152" w:lineRule="exact"/>
        <w:rPr>
          <w:sz w:val="20"/>
          <w:szCs w:val="20"/>
          <w:color w:val="auto"/>
        </w:rPr>
      </w:pPr>
    </w:p>
    <w:p>
      <w:pPr>
        <w:jc w:val="both"/>
        <w:ind w:left="1300" w:hanging="647"/>
        <w:spacing w:after="0" w:line="227" w:lineRule="auto"/>
        <w:tabs>
          <w:tab w:leader="none" w:pos="12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b w:val="1"/>
          <w:bCs w:val="1"/>
          <w:color w:val="auto"/>
        </w:rPr>
        <w:t>Investment Earnings and Losses</w:t>
      </w:r>
      <w:r>
        <w:rPr>
          <w:rFonts w:ascii="Times New Roman" w:cs="Times New Roman" w:eastAsia="Times New Roman" w:hAnsi="Times New Roman"/>
          <w:sz w:val="22"/>
          <w:szCs w:val="22"/>
          <w:color w:val="auto"/>
        </w:rPr>
        <w:t>. The Accounts shall be adjusted for earnings or losses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the Investment Options selected by the Participant. Earnings and losses shall be computed on each Valuation Date.</w:t>
      </w:r>
    </w:p>
    <w:p>
      <w:pPr>
        <w:spacing w:after="0" w:line="146"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b w:val="1"/>
          <w:bCs w:val="1"/>
          <w:color w:val="auto"/>
        </w:rPr>
        <w:t>Nature of Accounts</w:t>
      </w:r>
      <w:r>
        <w:rPr>
          <w:rFonts w:ascii="Times New Roman" w:cs="Times New Roman" w:eastAsia="Times New Roman" w:hAnsi="Times New Roman"/>
          <w:sz w:val="22"/>
          <w:szCs w:val="22"/>
          <w:color w:val="auto"/>
        </w:rPr>
        <w:t>. Accounts are not actually invested in the Investment Options available under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do not have any real or beneficial ownership in any Investment Option. A Participant’s Accounts are notional accounts, solely a device for the measurement and determination of the amounts to be paid to the Participant pursuant to the Plan, and shall not constitute or be treated as a trust fund of any kind.</w:t>
      </w:r>
    </w:p>
    <w:p>
      <w:pPr>
        <w:spacing w:after="0" w:line="148" w:lineRule="exact"/>
        <w:rPr>
          <w:sz w:val="20"/>
          <w:szCs w:val="20"/>
          <w:color w:val="auto"/>
        </w:rPr>
      </w:pPr>
    </w:p>
    <w:p>
      <w:pPr>
        <w:jc w:val="both"/>
        <w:ind w:left="1300" w:hanging="647"/>
        <w:spacing w:after="0" w:line="227" w:lineRule="auto"/>
        <w:tabs>
          <w:tab w:leader="none" w:pos="12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b w:val="1"/>
          <w:bCs w:val="1"/>
          <w:color w:val="auto"/>
        </w:rPr>
        <w:t>Statements</w:t>
      </w:r>
      <w:r>
        <w:rPr>
          <w:rFonts w:ascii="Times New Roman" w:cs="Times New Roman" w:eastAsia="Times New Roman" w:hAnsi="Times New Roman"/>
          <w:sz w:val="22"/>
          <w:szCs w:val="22"/>
          <w:color w:val="auto"/>
        </w:rPr>
        <w:t>. Each Participant shall be provided with statements setting out the amounts in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which shall be available online and may be delivered at such intervals determined by the Plan Administrator.</w:t>
      </w:r>
    </w:p>
    <w:p>
      <w:pPr>
        <w:spacing w:after="0" w:line="14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Vesting of Base Salary Deferrals</w:t>
      </w:r>
      <w:r>
        <w:rPr>
          <w:rFonts w:ascii="Times New Roman" w:cs="Times New Roman" w:eastAsia="Times New Roman" w:hAnsi="Times New Roman"/>
          <w:sz w:val="22"/>
          <w:szCs w:val="22"/>
          <w:color w:val="auto"/>
        </w:rPr>
        <w:t>. Participants shall be fully vested at all times in their Base Salary Deferrals and any earnings thereon when credited to the Base Salary Deferral Account.</w:t>
      </w:r>
    </w:p>
    <w:p>
      <w:pPr>
        <w:spacing w:after="0" w:line="146" w:lineRule="exact"/>
        <w:rPr>
          <w:rFonts w:ascii="Times New Roman" w:cs="Times New Roman" w:eastAsia="Times New Roman" w:hAnsi="Times New Roman"/>
          <w:sz w:val="22"/>
          <w:szCs w:val="22"/>
          <w:b w:val="1"/>
          <w:bCs w:val="1"/>
          <w:color w:val="auto"/>
        </w:rPr>
      </w:pPr>
    </w:p>
    <w:p>
      <w:pPr>
        <w:ind w:left="1300" w:hanging="648"/>
        <w:spacing w:after="0" w:line="21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Vesting of Incentive Deferrals</w:t>
      </w:r>
      <w:r>
        <w:rPr>
          <w:rFonts w:ascii="Times New Roman" w:cs="Times New Roman" w:eastAsia="Times New Roman" w:hAnsi="Times New Roman"/>
          <w:sz w:val="22"/>
          <w:szCs w:val="22"/>
          <w:color w:val="auto"/>
        </w:rPr>
        <w:t>. Participants shall be vested in their Incentive Compensation in accordance with the terms of the applicable Incentive Compensation award. Incentive Deferrals shall be credited to the Participant’s Incentive Deferral Account as of the date the Incentive Compensation vests under the terms of the Incentive Compensation award. The Participant shall be fully vested at all times in the Participant’s Incentive Deferrals and any earnings thereon after the Incentive Deferrals are credited to the Incentive Deferral Account. The Board reserves the right to accelerate vesting of any Incentive Deferrals in its sole discretion, including but not limited to, upon the Participant’s death, disability, or a Change in Control.</w:t>
      </w:r>
    </w:p>
    <w:p>
      <w:pPr>
        <w:spacing w:after="0" w:line="148" w:lineRule="exact"/>
        <w:rPr>
          <w:rFonts w:ascii="Times New Roman" w:cs="Times New Roman" w:eastAsia="Times New Roman" w:hAnsi="Times New Roman"/>
          <w:sz w:val="22"/>
          <w:szCs w:val="22"/>
          <w:b w:val="1"/>
          <w:bCs w:val="1"/>
          <w:color w:val="auto"/>
        </w:rPr>
      </w:pPr>
    </w:p>
    <w:p>
      <w:pPr>
        <w:ind w:left="1300" w:hanging="648"/>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Vesting of Discretionary Contributions</w:t>
      </w:r>
      <w:r>
        <w:rPr>
          <w:rFonts w:ascii="Times New Roman" w:cs="Times New Roman" w:eastAsia="Times New Roman" w:hAnsi="Times New Roman"/>
          <w:sz w:val="22"/>
          <w:szCs w:val="22"/>
          <w:color w:val="auto"/>
        </w:rPr>
        <w:t>. Any Discretionary Contributions and any earnings thereon shall, as determined by the Plan Administrator either (a) be fully vested as of the date of grant or (b) vest in three equal annual installments following the date of grant, subject to the Participant’s continued employment with the Company or an Affiliate. The Plan Administrator reserves the right to accelerate vesting of any Discretionary Contributions in its sole discretion, including but not limited to upon the Participant’s death, disability, or a Change in Control.</w:t>
      </w:r>
    </w:p>
    <w:p>
      <w:pPr>
        <w:spacing w:after="0" w:line="145" w:lineRule="exact"/>
        <w:rPr>
          <w:rFonts w:ascii="Times New Roman" w:cs="Times New Roman" w:eastAsia="Times New Roman" w:hAnsi="Times New Roman"/>
          <w:sz w:val="22"/>
          <w:szCs w:val="22"/>
          <w:b w:val="1"/>
          <w:bCs w:val="1"/>
          <w:color w:val="auto"/>
        </w:rPr>
      </w:pPr>
    </w:p>
    <w:p>
      <w:pPr>
        <w:ind w:left="660" w:right="6340" w:hanging="652"/>
        <w:spacing w:after="0" w:line="441" w:lineRule="auto"/>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PARTICIPANT ACCOUNTS. </w:t>
      </w: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Timing of Payments.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5" w:right="339" w:bottom="1440" w:gutter="0" w:footer="0" w:header="0"/>
        </w:sectPr>
      </w:pPr>
    </w:p>
    <w:bookmarkStart w:id="48" w:name="page49"/>
    <w:bookmarkEnd w:id="48"/>
    <w:p>
      <w:pPr>
        <w:jc w:val="both"/>
        <w:ind w:left="1940" w:hanging="656"/>
        <w:spacing w:after="0" w:line="225" w:lineRule="auto"/>
        <w:tabs>
          <w:tab w:leader="none" w:pos="193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 Deferrals and Incentive Deferrals</w:t>
      </w:r>
      <w:r>
        <w:rPr>
          <w:rFonts w:ascii="Times New Roman" w:cs="Times New Roman" w:eastAsia="Times New Roman" w:hAnsi="Times New Roman"/>
          <w:sz w:val="22"/>
          <w:szCs w:val="22"/>
          <w:color w:val="auto"/>
        </w:rPr>
        <w:t>. Except as otherwise determined by the Plan Administrator or provided in this Section, payments shall be made or commence on the earliest to occur of the Payment Events as follows:</w:t>
      </w:r>
    </w:p>
    <w:p>
      <w:pPr>
        <w:spacing w:after="0" w:line="152" w:lineRule="exact"/>
        <w:rPr>
          <w:rFonts w:ascii="Times New Roman" w:cs="Times New Roman" w:eastAsia="Times New Roman" w:hAnsi="Times New Roman"/>
          <w:sz w:val="22"/>
          <w:szCs w:val="22"/>
          <w:color w:val="auto"/>
        </w:rPr>
      </w:pPr>
    </w:p>
    <w:p>
      <w:pPr>
        <w:jc w:val="both"/>
        <w:ind w:left="2580" w:hanging="648"/>
        <w:spacing w:after="0" w:line="225" w:lineRule="auto"/>
        <w:tabs>
          <w:tab w:leader="none" w:pos="256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Payment Event is the Participant’s Separation from Service, payment shall be made or commence July 1 following the calendar year in which such Separation from Service occurs, subject to any delay described below for Specified Employees.</w:t>
      </w:r>
    </w:p>
    <w:p>
      <w:pPr>
        <w:spacing w:after="0" w:line="152" w:lineRule="exact"/>
        <w:rPr>
          <w:rFonts w:ascii="Times New Roman" w:cs="Times New Roman" w:eastAsia="Times New Roman" w:hAnsi="Times New Roman"/>
          <w:sz w:val="22"/>
          <w:szCs w:val="22"/>
          <w:color w:val="auto"/>
        </w:rPr>
      </w:pPr>
    </w:p>
    <w:p>
      <w:pPr>
        <w:jc w:val="both"/>
        <w:ind w:left="2580" w:hanging="648"/>
        <w:spacing w:after="0" w:line="225" w:lineRule="auto"/>
        <w:tabs>
          <w:tab w:leader="none" w:pos="257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Payment Event is a Payment Date(s) selected by the Participant on the Election Form, payment shall be made or commence on July 1 of the calendar year selected by the Participant in the Participant’s Deferral Election, provided that:</w:t>
      </w:r>
    </w:p>
    <w:p>
      <w:pPr>
        <w:spacing w:after="0" w:line="152" w:lineRule="exact"/>
        <w:rPr>
          <w:rFonts w:ascii="Times New Roman" w:cs="Times New Roman" w:eastAsia="Times New Roman" w:hAnsi="Times New Roman"/>
          <w:sz w:val="22"/>
          <w:szCs w:val="22"/>
          <w:color w:val="auto"/>
        </w:rPr>
      </w:pPr>
    </w:p>
    <w:p>
      <w:pPr>
        <w:ind w:left="3220" w:hanging="640"/>
        <w:spacing w:after="0" w:line="236" w:lineRule="auto"/>
        <w:tabs>
          <w:tab w:leader="none" w:pos="3209"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must select from among the available date(s) designated by the Plan Administrator and set forth in the Election Form;</w:t>
      </w:r>
    </w:p>
    <w:p>
      <w:pPr>
        <w:spacing w:after="0" w:line="150" w:lineRule="exact"/>
        <w:rPr>
          <w:rFonts w:ascii="Times New Roman" w:cs="Times New Roman" w:eastAsia="Times New Roman" w:hAnsi="Times New Roman"/>
          <w:sz w:val="22"/>
          <w:szCs w:val="22"/>
          <w:color w:val="auto"/>
        </w:rPr>
      </w:pPr>
    </w:p>
    <w:p>
      <w:pPr>
        <w:jc w:val="both"/>
        <w:ind w:left="3220" w:hanging="640"/>
        <w:spacing w:after="0" w:line="225" w:lineRule="auto"/>
        <w:tabs>
          <w:tab w:leader="none" w:pos="3211"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Participant’s Incentive Deferral Account, the selected date(s) must be no earlier than July 1 that is two (2) years following the final vesting date of the applicable Incentive Compensation award.</w:t>
      </w:r>
    </w:p>
    <w:p>
      <w:pPr>
        <w:spacing w:after="0" w:line="152" w:lineRule="exact"/>
        <w:rPr>
          <w:rFonts w:ascii="Times New Roman" w:cs="Times New Roman" w:eastAsia="Times New Roman" w:hAnsi="Times New Roman"/>
          <w:sz w:val="22"/>
          <w:szCs w:val="22"/>
          <w:color w:val="auto"/>
        </w:rPr>
      </w:pPr>
    </w:p>
    <w:p>
      <w:pPr>
        <w:ind w:left="2580" w:hanging="648"/>
        <w:spacing w:after="0" w:line="236" w:lineRule="auto"/>
        <w:tabs>
          <w:tab w:leader="none" w:pos="2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Payment Event is the Participant’s death, payment shall be made within 90 days of the Participant’s death.</w:t>
      </w:r>
    </w:p>
    <w:p>
      <w:pPr>
        <w:spacing w:after="0" w:line="150" w:lineRule="exact"/>
        <w:rPr>
          <w:rFonts w:ascii="Times New Roman" w:cs="Times New Roman" w:eastAsia="Times New Roman" w:hAnsi="Times New Roman"/>
          <w:sz w:val="22"/>
          <w:szCs w:val="22"/>
          <w:color w:val="auto"/>
        </w:rPr>
      </w:pPr>
    </w:p>
    <w:p>
      <w:pPr>
        <w:ind w:left="1940" w:right="20" w:hanging="656"/>
        <w:spacing w:after="0" w:line="236" w:lineRule="auto"/>
        <w:tabs>
          <w:tab w:leader="none" w:pos="193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Contributions</w:t>
      </w:r>
      <w:r>
        <w:rPr>
          <w:rFonts w:ascii="Times New Roman" w:cs="Times New Roman" w:eastAsia="Times New Roman" w:hAnsi="Times New Roman"/>
          <w:sz w:val="22"/>
          <w:szCs w:val="22"/>
          <w:color w:val="auto"/>
        </w:rPr>
        <w:t>. Payment of a Participant’s Discretionary Contribution Account shall be made on the earlier to occur of the following events:</w:t>
      </w:r>
    </w:p>
    <w:p>
      <w:pPr>
        <w:spacing w:after="0" w:line="150" w:lineRule="exact"/>
        <w:rPr>
          <w:rFonts w:ascii="Times New Roman" w:cs="Times New Roman" w:eastAsia="Times New Roman" w:hAnsi="Times New Roman"/>
          <w:sz w:val="22"/>
          <w:szCs w:val="22"/>
          <w:color w:val="auto"/>
        </w:rPr>
      </w:pPr>
    </w:p>
    <w:p>
      <w:pPr>
        <w:ind w:left="2580" w:right="20" w:hanging="648"/>
        <w:spacing w:after="0" w:line="236" w:lineRule="auto"/>
        <w:tabs>
          <w:tab w:leader="none" w:pos="256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July 1 of the calendar year following the calendar year in which the Participant’s Separation from Service occurs, subject to any delay described below for Specified Employees; and</w:t>
      </w:r>
    </w:p>
    <w:p>
      <w:pPr>
        <w:spacing w:after="0" w:line="150"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death.</w:t>
      </w:r>
    </w:p>
    <w:p>
      <w:pPr>
        <w:spacing w:after="0" w:line="179" w:lineRule="exact"/>
        <w:rPr>
          <w:rFonts w:ascii="Times New Roman" w:cs="Times New Roman" w:eastAsia="Times New Roman" w:hAnsi="Times New Roman"/>
          <w:sz w:val="22"/>
          <w:szCs w:val="22"/>
          <w:color w:val="auto"/>
        </w:rPr>
      </w:pPr>
    </w:p>
    <w:p>
      <w:pPr>
        <w:jc w:val="both"/>
        <w:ind w:left="1940" w:hanging="656"/>
        <w:spacing w:after="0" w:line="212" w:lineRule="auto"/>
        <w:tabs>
          <w:tab w:leader="none" w:pos="193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Payments to Specified Employees</w:t>
      </w:r>
      <w:r>
        <w:rPr>
          <w:rFonts w:ascii="Times New Roman" w:cs="Times New Roman" w:eastAsia="Times New Roman" w:hAnsi="Times New Roman"/>
          <w:sz w:val="22"/>
          <w:szCs w:val="22"/>
          <w:color w:val="auto"/>
        </w:rPr>
        <w:t>. Notwithstanding anything in the Plan to the contrary, if a Participant is a Specified Employee as of the date of the Participant’s Separation from Service, then no distribution of such Participant’s Accounts shall be made upon the Participant’s Separation from Service until the July 1 that is coincident with or next follows the Specified Employee Payment Date. Any payments to which a Specified Employee otherwise would have been entitled under the Plan during the period between the Participant’s Separation from Service and the Specified Employee Payment Date shall be accumulated and paid in a lump sum payment on the July 1 that is coincident with our next follows the Specified Employee Payment Date.</w:t>
      </w:r>
    </w:p>
    <w:p>
      <w:pPr>
        <w:spacing w:after="0" w:line="156" w:lineRule="exact"/>
        <w:rPr>
          <w:rFonts w:ascii="Times New Roman" w:cs="Times New Roman" w:eastAsia="Times New Roman" w:hAnsi="Times New Roman"/>
          <w:sz w:val="22"/>
          <w:szCs w:val="22"/>
          <w:color w:val="auto"/>
        </w:rPr>
      </w:pPr>
    </w:p>
    <w:p>
      <w:pPr>
        <w:jc w:val="both"/>
        <w:ind w:left="1940" w:hanging="656"/>
        <w:spacing w:after="0" w:line="220" w:lineRule="auto"/>
        <w:tabs>
          <w:tab w:leader="none" w:pos="193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Payments of Pre-2027 Deferrals and Contributions</w:t>
      </w:r>
      <w:r>
        <w:rPr>
          <w:rFonts w:ascii="Times New Roman" w:cs="Times New Roman" w:eastAsia="Times New Roman" w:hAnsi="Times New Roman"/>
          <w:sz w:val="22"/>
          <w:szCs w:val="22"/>
          <w:color w:val="auto"/>
        </w:rPr>
        <w:t>. Any Base Salary Deferrals, Incentive Deferrals and Discretionary Contributions made with respect to Plan Years beginning before January 1, 2027, shall be distributed in accordance with the terms of the Plan in effect at the time such amounts were deferred or contributed under the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5" w:right="339" w:bottom="1440" w:gutter="0" w:footer="0" w:header="0"/>
        </w:sectPr>
      </w:pPr>
    </w:p>
    <w:bookmarkStart w:id="49" w:name="page50"/>
    <w:bookmarkEnd w:id="49"/>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b w:val="1"/>
          <w:bCs w:val="1"/>
          <w:color w:val="auto"/>
        </w:rPr>
        <w:t>Form of Payment.</w:t>
      </w:r>
    </w:p>
    <w:p>
      <w:pPr>
        <w:spacing w:after="0" w:line="183" w:lineRule="exact"/>
        <w:rPr>
          <w:sz w:val="20"/>
          <w:szCs w:val="20"/>
          <w:color w:val="auto"/>
        </w:rPr>
      </w:pPr>
    </w:p>
    <w:p>
      <w:pPr>
        <w:jc w:val="both"/>
        <w:ind w:left="1940" w:hanging="656"/>
        <w:spacing w:after="0" w:line="220" w:lineRule="auto"/>
        <w:tabs>
          <w:tab w:leader="none" w:pos="193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 Deferrals and Incentive Deferrals</w:t>
      </w:r>
      <w:r>
        <w:rPr>
          <w:rFonts w:ascii="Times New Roman" w:cs="Times New Roman" w:eastAsia="Times New Roman" w:hAnsi="Times New Roman"/>
          <w:sz w:val="22"/>
          <w:szCs w:val="22"/>
          <w:color w:val="auto"/>
        </w:rPr>
        <w:t>. Each Participant shall specify in the Participant’s Election Form the form of payment (lump sum or installments) for amounts in the Participant’s Base Salary Deferral Account and Incentive Deferral Account to which the Election Form applies, subject to the following limitations:</w:t>
      </w:r>
    </w:p>
    <w:p>
      <w:pPr>
        <w:spacing w:after="0" w:line="152" w:lineRule="exact"/>
        <w:rPr>
          <w:rFonts w:ascii="Times New Roman" w:cs="Times New Roman" w:eastAsia="Times New Roman" w:hAnsi="Times New Roman"/>
          <w:sz w:val="22"/>
          <w:szCs w:val="22"/>
          <w:color w:val="auto"/>
        </w:rPr>
      </w:pPr>
    </w:p>
    <w:p>
      <w:pPr>
        <w:jc w:val="both"/>
        <w:ind w:left="2580" w:hanging="648"/>
        <w:spacing w:after="0" w:line="217" w:lineRule="auto"/>
        <w:tabs>
          <w:tab w:leader="none" w:pos="256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elects to have amounts paid in installments, the Participant must select from among the permissible installment schedules selected by the Plan Administrator and set forth in the Election Form. In no event may the Participant select more than five equal, consecutive, annual installments, to be made on July 1 of each year. In the absence of a valid election with respect to form of payment, amounts will be paid in a single lump sum.</w:t>
      </w:r>
    </w:p>
    <w:p>
      <w:pPr>
        <w:spacing w:after="0" w:line="152" w:lineRule="exact"/>
        <w:rPr>
          <w:rFonts w:ascii="Times New Roman" w:cs="Times New Roman" w:eastAsia="Times New Roman" w:hAnsi="Times New Roman"/>
          <w:sz w:val="22"/>
          <w:szCs w:val="22"/>
          <w:color w:val="auto"/>
        </w:rPr>
      </w:pPr>
    </w:p>
    <w:p>
      <w:pPr>
        <w:jc w:val="both"/>
        <w:ind w:left="2580" w:hanging="648"/>
        <w:spacing w:after="0" w:line="220" w:lineRule="auto"/>
        <w:tabs>
          <w:tab w:leader="none" w:pos="257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elects to receive payment in installments commencing on a fixed date and such installment payments commence prior to the Participant’s Separation from Service, the installment payments shall continue to be made in accordance with the payment schedule associated with that fixed date.</w:t>
      </w:r>
    </w:p>
    <w:p>
      <w:pPr>
        <w:spacing w:after="0" w:line="152" w:lineRule="exact"/>
        <w:rPr>
          <w:rFonts w:ascii="Times New Roman" w:cs="Times New Roman" w:eastAsia="Times New Roman" w:hAnsi="Times New Roman"/>
          <w:sz w:val="22"/>
          <w:szCs w:val="22"/>
          <w:color w:val="auto"/>
        </w:rPr>
      </w:pPr>
    </w:p>
    <w:p>
      <w:pPr>
        <w:ind w:left="2580" w:hanging="648"/>
        <w:spacing w:after="0" w:line="236" w:lineRule="auto"/>
        <w:tabs>
          <w:tab w:leader="none" w:pos="25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payment is made upon a Participant’s death, payment shall be made in a lump sum within 90 days following the Participant’s death.</w:t>
      </w:r>
    </w:p>
    <w:p>
      <w:pPr>
        <w:spacing w:after="0" w:line="150" w:lineRule="exact"/>
        <w:rPr>
          <w:rFonts w:ascii="Times New Roman" w:cs="Times New Roman" w:eastAsia="Times New Roman" w:hAnsi="Times New Roman"/>
          <w:sz w:val="22"/>
          <w:szCs w:val="22"/>
          <w:color w:val="auto"/>
        </w:rPr>
      </w:pPr>
    </w:p>
    <w:p>
      <w:pPr>
        <w:ind w:left="1940" w:hanging="656"/>
        <w:spacing w:after="0" w:line="236" w:lineRule="auto"/>
        <w:tabs>
          <w:tab w:leader="none" w:pos="193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Contributions</w:t>
      </w:r>
      <w:r>
        <w:rPr>
          <w:rFonts w:ascii="Times New Roman" w:cs="Times New Roman" w:eastAsia="Times New Roman" w:hAnsi="Times New Roman"/>
          <w:sz w:val="22"/>
          <w:szCs w:val="22"/>
          <w:color w:val="auto"/>
        </w:rPr>
        <w:t>. A Participant’s Discretionary Contribution Account shall be paid in a lump sum.</w:t>
      </w:r>
    </w:p>
    <w:p>
      <w:pPr>
        <w:spacing w:after="0" w:line="150" w:lineRule="exact"/>
        <w:rPr>
          <w:rFonts w:ascii="Times New Roman" w:cs="Times New Roman" w:eastAsia="Times New Roman" w:hAnsi="Times New Roman"/>
          <w:sz w:val="22"/>
          <w:szCs w:val="22"/>
          <w:color w:val="auto"/>
        </w:rPr>
      </w:pPr>
    </w:p>
    <w:p>
      <w:pPr>
        <w:jc w:val="both"/>
        <w:ind w:left="1940" w:hanging="656"/>
        <w:spacing w:after="0" w:line="220" w:lineRule="auto"/>
        <w:tabs>
          <w:tab w:leader="none" w:pos="193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Pre-2027 Deferrals and Contributions</w:t>
      </w:r>
      <w:r>
        <w:rPr>
          <w:rFonts w:ascii="Times New Roman" w:cs="Times New Roman" w:eastAsia="Times New Roman" w:hAnsi="Times New Roman"/>
          <w:sz w:val="22"/>
          <w:szCs w:val="22"/>
          <w:color w:val="auto"/>
        </w:rPr>
        <w:t>. Any Base Salary Deferrals, Incentive Deferrals and Discretionary Contributions made with respect to Plan Years beginning before January 1, 2027, shall be distributed in accordance with the terms of the Plan in effect at the time such amounts were deferred or contributed under the Plan.</w:t>
      </w:r>
    </w:p>
    <w:p>
      <w:pPr>
        <w:spacing w:after="0" w:line="148" w:lineRule="exact"/>
        <w:rPr>
          <w:sz w:val="20"/>
          <w:szCs w:val="20"/>
          <w:color w:val="auto"/>
        </w:rPr>
      </w:pPr>
    </w:p>
    <w:p>
      <w:pPr>
        <w:jc w:val="both"/>
        <w:ind w:left="1280" w:hanging="647"/>
        <w:spacing w:after="0" w:line="209" w:lineRule="auto"/>
        <w:tabs>
          <w:tab w:leader="none" w:pos="126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b w:val="1"/>
          <w:bCs w:val="1"/>
          <w:color w:val="auto"/>
        </w:rPr>
        <w:t xml:space="preserve">Subsequent Deferral Elections. </w:t>
      </w:r>
      <w:r>
        <w:rPr>
          <w:rFonts w:ascii="Times New Roman" w:cs="Times New Roman" w:eastAsia="Times New Roman" w:hAnsi="Times New Roman"/>
          <w:sz w:val="22"/>
          <w:szCs w:val="22"/>
          <w:color w:val="auto"/>
        </w:rPr>
        <w:t>Notwithstanding anything in this Plan to the contrary, a Participant may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 of payment for amounts in the Participant’s Discretionary Contribution Account and the time and/or form of payment for amounts in the Participant’s Base Salary Deferral Account, and Incentive Deferral Account, that the Participant previously elected by completing and submitting a Subsequent Deferral Election Form to the Committee; provided that (i) any such Subsequent Deferral Election shall not be effective until twelve (12) months have passed from the date the Subsequent Deferral Election is submitted, (ii) the Payment Date for amounts subject to the Subsequent Deferral Election may not be distributed (or for installments, commence to be distributed) earlier than five years from the date such amounts would have been distributed (or for installments, commenced to be distributed) absent the Subsequent Deferral Election. In addition, any Subsequent Deferral Election that changes the time and/or form of payment scheduled to be paid (or for installments, commenced to be paid) or pursuant to a fixed schedule must be submitted to the Committee not less than twelve (12) months before the date the payment(s) would be made or commence absent the Subsequent Deferral Election. A Subsequent Deferral Election under this Section 8.3 shall be subject to such terms and conditions as may be established by the Committee or its authorized delegate, and may be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1" w:right="339" w:bottom="1440" w:gutter="0" w:footer="0" w:header="0"/>
        </w:sectPr>
      </w:pPr>
    </w:p>
    <w:bookmarkStart w:id="50" w:name="page51"/>
    <w:bookmarkEnd w:id="50"/>
    <w:p>
      <w:pPr>
        <w:ind w:left="1280"/>
        <w:spacing w:after="0"/>
        <w:rPr>
          <w:sz w:val="20"/>
          <w:szCs w:val="20"/>
          <w:color w:val="auto"/>
        </w:rPr>
      </w:pPr>
      <w:r>
        <w:rPr>
          <w:rFonts w:ascii="Times New Roman" w:cs="Times New Roman" w:eastAsia="Times New Roman" w:hAnsi="Times New Roman"/>
          <w:sz w:val="22"/>
          <w:szCs w:val="22"/>
          <w:color w:val="auto"/>
        </w:rPr>
        <w:t>disregarded to the extent it is not in compliance with Treas. Reg. Section 1.409A-2(b).</w:t>
      </w:r>
    </w:p>
    <w:p>
      <w:pPr>
        <w:spacing w:after="0" w:line="175" w:lineRule="exact"/>
        <w:rPr>
          <w:sz w:val="20"/>
          <w:szCs w:val="20"/>
          <w:color w:val="auto"/>
        </w:rPr>
      </w:pPr>
    </w:p>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b w:val="1"/>
          <w:bCs w:val="1"/>
          <w:color w:val="auto"/>
        </w:rPr>
        <w:t>Medium of Payment</w:t>
      </w:r>
      <w:r>
        <w:rPr>
          <w:rFonts w:ascii="Times New Roman" w:cs="Times New Roman" w:eastAsia="Times New Roman" w:hAnsi="Times New Roman"/>
          <w:sz w:val="22"/>
          <w:szCs w:val="22"/>
          <w:color w:val="auto"/>
        </w:rPr>
        <w:t>. Any payment from a Participant’s Accounts shall be made in cash. In no event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be made in the form of shares of the Company’s common stock or other securities (whether pursuant to the Company’s or any Affiliate’s equity compensation plan or otherwise).</w:t>
      </w:r>
    </w:p>
    <w:p>
      <w:pPr>
        <w:spacing w:after="0" w:line="146" w:lineRule="exact"/>
        <w:rPr>
          <w:sz w:val="20"/>
          <w:szCs w:val="20"/>
          <w:color w:val="auto"/>
        </w:rPr>
      </w:pPr>
    </w:p>
    <w:p>
      <w:pPr>
        <w:jc w:val="both"/>
        <w:ind w:left="1280" w:hanging="647"/>
        <w:spacing w:after="0" w:line="221" w:lineRule="auto"/>
        <w:tabs>
          <w:tab w:leader="none" w:pos="126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2"/>
          <w:szCs w:val="22"/>
          <w:b w:val="1"/>
          <w:bCs w:val="1"/>
          <w:color w:val="auto"/>
        </w:rPr>
        <w:t>Timing of Valuation</w:t>
      </w:r>
      <w:r>
        <w:rPr>
          <w:rFonts w:ascii="Times New Roman" w:cs="Times New Roman" w:eastAsia="Times New Roman" w:hAnsi="Times New Roman"/>
          <w:sz w:val="22"/>
          <w:szCs w:val="22"/>
          <w:color w:val="auto"/>
        </w:rPr>
        <w:t>. The value of a Participant’s Account, including any earnings and losses, on the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shall be determined on the basis of the balance credited to that Account as of the most recent practicable Valuation Date (as determined by the Plan Administrator or its designate) preceding the date of the actual distribution.</w:t>
      </w:r>
    </w:p>
    <w:p>
      <w:pPr>
        <w:spacing w:after="0" w:line="14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b w:val="1"/>
          <w:bCs w:val="1"/>
          <w:color w:val="auto"/>
        </w:rPr>
        <w:t>Forfeiture of Accounts</w:t>
      </w:r>
    </w:p>
    <w:p>
      <w:pPr>
        <w:spacing w:after="0" w:line="183" w:lineRule="exact"/>
        <w:rPr>
          <w:sz w:val="20"/>
          <w:szCs w:val="20"/>
          <w:color w:val="auto"/>
        </w:rPr>
      </w:pPr>
    </w:p>
    <w:p>
      <w:pPr>
        <w:jc w:val="both"/>
        <w:ind w:left="1940" w:hanging="656"/>
        <w:spacing w:after="0" w:line="225" w:lineRule="auto"/>
        <w:tabs>
          <w:tab w:leader="none" w:pos="193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Unvested Accounts</w:t>
      </w:r>
      <w:r>
        <w:rPr>
          <w:rFonts w:ascii="Times New Roman" w:cs="Times New Roman" w:eastAsia="Times New Roman" w:hAnsi="Times New Roman"/>
          <w:sz w:val="22"/>
          <w:szCs w:val="22"/>
          <w:color w:val="auto"/>
        </w:rPr>
        <w:t>. Unless otherwise determined by the Plan Administrator, a Participant’s unvested Incentive Deferrals and unvested Discretionary Contributions (if any) shall be forfeited upon the occurrence of a Payment Event.</w:t>
      </w:r>
    </w:p>
    <w:p>
      <w:pPr>
        <w:spacing w:after="0" w:line="152" w:lineRule="exact"/>
        <w:rPr>
          <w:rFonts w:ascii="Times New Roman" w:cs="Times New Roman" w:eastAsia="Times New Roman" w:hAnsi="Times New Roman"/>
          <w:sz w:val="22"/>
          <w:szCs w:val="22"/>
          <w:color w:val="auto"/>
        </w:rPr>
      </w:pPr>
    </w:p>
    <w:p>
      <w:pPr>
        <w:jc w:val="both"/>
        <w:ind w:left="1940" w:hanging="656"/>
        <w:spacing w:after="0" w:line="217" w:lineRule="auto"/>
        <w:tabs>
          <w:tab w:leader="none" w:pos="193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Provision</w:t>
      </w:r>
      <w:r>
        <w:rPr>
          <w:rFonts w:ascii="Times New Roman" w:cs="Times New Roman" w:eastAsia="Times New Roman" w:hAnsi="Times New Roman"/>
          <w:sz w:val="22"/>
          <w:szCs w:val="22"/>
          <w:color w:val="auto"/>
        </w:rPr>
        <w:t>. Notwithstanding any provision in the Plan to the contrary, any “incentive-based compensation” within the meaning of Section 10D of the Exchange Act will be subject to clawback by the Company in the manner required by Section 10D(b)(2) of the Exchange Act, as determined by the applicable rules and regulations promulgated thereunder from time to time by the Securities and Exchange Commission and by any national securities exchange on which the Company’s stock trades.</w:t>
      </w:r>
    </w:p>
    <w:p>
      <w:pPr>
        <w:spacing w:after="0" w:line="152" w:lineRule="exact"/>
        <w:rPr>
          <w:rFonts w:ascii="Times New Roman" w:cs="Times New Roman" w:eastAsia="Times New Roman" w:hAnsi="Times New Roman"/>
          <w:sz w:val="22"/>
          <w:szCs w:val="22"/>
          <w:color w:val="auto"/>
        </w:rPr>
      </w:pPr>
    </w:p>
    <w:p>
      <w:pPr>
        <w:jc w:val="both"/>
        <w:ind w:left="1940" w:hanging="656"/>
        <w:spacing w:after="0" w:line="222" w:lineRule="auto"/>
        <w:tabs>
          <w:tab w:leader="none" w:pos="193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Events</w:t>
      </w:r>
      <w:r>
        <w:rPr>
          <w:rFonts w:ascii="Times New Roman" w:cs="Times New Roman" w:eastAsia="Times New Roman" w:hAnsi="Times New Roman"/>
          <w:sz w:val="21"/>
          <w:szCs w:val="21"/>
          <w:color w:val="auto"/>
        </w:rPr>
        <w:t>. The Company may specify on an Election Form or a Discretionary Contribution award that the Participant’s rights, payments and benefits with respect to Incentive Deferrals or Discretionary Deferrals shall be subject to reduction, cancellation, forfeiture or recoupment upon the occurrence of certain events, in addition to applicable vesting conditions. Such events may include, without limitation, breach of non-competition, non-solicitation, confidentiality, or other restrictive covenants that are contained in the Election Form or Discretionary Contribution award or otherwise applicable to a Participant, a termination of the Participant’s employment or service for cause, or other conduct by the Participant that is detrimental to the business or reputation of the Company and/or its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11</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5" w:right="339" w:bottom="1440" w:gutter="0" w:footer="0" w:header="0"/>
        </w:sectPr>
      </w:pPr>
    </w:p>
    <w:bookmarkStart w:id="51" w:name="page52"/>
    <w:bookmarkEnd w:id="51"/>
    <w:p>
      <w:pPr>
        <w:ind w:left="660" w:hanging="652"/>
        <w:spacing w:after="0"/>
        <w:tabs>
          <w:tab w:leader="none" w:pos="6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ACCELERATION EVENTS.</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1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Permissible Acceleration Events</w:t>
      </w:r>
      <w:r>
        <w:rPr>
          <w:rFonts w:ascii="Times New Roman" w:cs="Times New Roman" w:eastAsia="Times New Roman" w:hAnsi="Times New Roman"/>
          <w:sz w:val="22"/>
          <w:szCs w:val="22"/>
          <w:color w:val="auto"/>
        </w:rPr>
        <w:t>. Notwithstanding anything in the Plan to the contrary, the Plan Administrator, in its sole discretion, may accelerate payment of all or a portion of a Participant’s vested Accounts upon the occurrence of any of the events (“</w:t>
      </w:r>
      <w:r>
        <w:rPr>
          <w:rFonts w:ascii="Times New Roman" w:cs="Times New Roman" w:eastAsia="Times New Roman" w:hAnsi="Times New Roman"/>
          <w:sz w:val="22"/>
          <w:szCs w:val="22"/>
          <w:b w:val="1"/>
          <w:bCs w:val="1"/>
          <w:color w:val="auto"/>
        </w:rPr>
        <w:t>Acceleration Events</w:t>
      </w:r>
      <w:r>
        <w:rPr>
          <w:rFonts w:ascii="Times New Roman" w:cs="Times New Roman" w:eastAsia="Times New Roman" w:hAnsi="Times New Roman"/>
          <w:sz w:val="22"/>
          <w:szCs w:val="22"/>
          <w:color w:val="auto"/>
        </w:rPr>
        <w:t>”) set forth in this Section 9. The Plan Administrator’s determination of whether payment may be accelerated in accordance with this Section 9 shall be made in accordance with Treas. Reg. Section 1.409A-3(j)(4).</w:t>
      </w:r>
    </w:p>
    <w:p>
      <w:pPr>
        <w:spacing w:after="0" w:line="151" w:lineRule="exact"/>
        <w:rPr>
          <w:rFonts w:ascii="Times New Roman" w:cs="Times New Roman" w:eastAsia="Times New Roman" w:hAnsi="Times New Roman"/>
          <w:sz w:val="22"/>
          <w:szCs w:val="22"/>
          <w:b w:val="1"/>
          <w:bCs w:val="1"/>
          <w:color w:val="auto"/>
        </w:rPr>
      </w:pPr>
    </w:p>
    <w:p>
      <w:pPr>
        <w:jc w:val="both"/>
        <w:ind w:left="1960" w:hanging="656"/>
        <w:spacing w:after="0" w:line="215" w:lineRule="auto"/>
        <w:tabs>
          <w:tab w:leader="none" w:pos="195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Cashouts</w:t>
      </w:r>
      <w:r>
        <w:rPr>
          <w:rFonts w:ascii="Times New Roman" w:cs="Times New Roman" w:eastAsia="Times New Roman" w:hAnsi="Times New Roman"/>
          <w:sz w:val="22"/>
          <w:szCs w:val="22"/>
          <w:color w:val="auto"/>
        </w:rPr>
        <w:t>. The Plan Administrator may accelerate payment of a Participant’s vested Accounts to the extent that (i) the aggregate amount in the Participant’s Accounts does not exceed the applicable dollar amount under Section 402(g)(1)(B) of the Code, (ii) the payment results in the termination of the Participant’s entire interest in the Plan and any plans that are aggregated with the Plan pursuant to Treas. Reg. Section 1.409A-1(c)(2), and (iii) the Plan Administrator’s decision to cash out the Participant’s Accounts is evidenced in writing no later than the date of payment.</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12" w:lineRule="auto"/>
        <w:tabs>
          <w:tab w:leader="none" w:pos="195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Employment Taxes</w:t>
      </w:r>
      <w:r>
        <w:rPr>
          <w:rFonts w:ascii="Times New Roman" w:cs="Times New Roman" w:eastAsia="Times New Roman" w:hAnsi="Times New Roman"/>
          <w:sz w:val="22"/>
          <w:szCs w:val="22"/>
          <w:color w:val="auto"/>
        </w:rPr>
        <w:t>. The Plan Administrator may accelerate payment of all or a portion of a Participant’s vested Accounts (i) to pay the Federal Insurance Contributions Act (FICA) tax imposed under Code Sections 3010, 3121(a) and 3121(v)(2) (the “</w:t>
      </w:r>
      <w:r>
        <w:rPr>
          <w:rFonts w:ascii="Times New Roman" w:cs="Times New Roman" w:eastAsia="Times New Roman" w:hAnsi="Times New Roman"/>
          <w:sz w:val="22"/>
          <w:szCs w:val="22"/>
          <w:b w:val="1"/>
          <w:bCs w:val="1"/>
          <w:color w:val="auto"/>
        </w:rPr>
        <w:t>FICA Amount</w:t>
      </w:r>
      <w:r>
        <w:rPr>
          <w:rFonts w:ascii="Times New Roman" w:cs="Times New Roman" w:eastAsia="Times New Roman" w:hAnsi="Times New Roman"/>
          <w:sz w:val="22"/>
          <w:szCs w:val="22"/>
          <w:color w:val="auto"/>
        </w:rPr>
        <w:t>”), or (ii) to pay the income tax at source on wages imposed under Code Section 3401 or the corresponding withholding provisions of applicable state, local or foreign tax laws as a result of the payment of the FICA Amount and the additional income tax at source on wages attributable to the pyramiding Code Section 3401 wages and taxes; provided, however, that the total payment under this Section shall not exceed the FICA Amount and the income tax withholding related to the FICA Amount.</w:t>
      </w:r>
    </w:p>
    <w:p>
      <w:pPr>
        <w:spacing w:after="0" w:line="156"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195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Income Inclusion</w:t>
      </w:r>
      <w:r>
        <w:rPr>
          <w:rFonts w:ascii="Times New Roman" w:cs="Times New Roman" w:eastAsia="Times New Roman" w:hAnsi="Times New Roman"/>
          <w:sz w:val="22"/>
          <w:szCs w:val="22"/>
          <w:color w:val="auto"/>
        </w:rPr>
        <w:t>. The Plan Administrator may accelerate payment of all or a portion of a Participant’s vested Accounts to the extent that the Plan fails to meet the requirements of Code Section 409A; provided that, the amount accelerated shall not exceed the amount required to be included in income as a result of the failure to comply with Code Section 409A.</w:t>
      </w:r>
    </w:p>
    <w:p>
      <w:pPr>
        <w:spacing w:after="0" w:line="152" w:lineRule="exact"/>
        <w:rPr>
          <w:rFonts w:ascii="Times New Roman" w:cs="Times New Roman" w:eastAsia="Times New Roman" w:hAnsi="Times New Roman"/>
          <w:sz w:val="22"/>
          <w:szCs w:val="22"/>
          <w:color w:val="auto"/>
        </w:rPr>
      </w:pPr>
    </w:p>
    <w:p>
      <w:pPr>
        <w:ind w:left="1960" w:hanging="656"/>
        <w:spacing w:after="0" w:line="236" w:lineRule="auto"/>
        <w:tabs>
          <w:tab w:leader="none" w:pos="195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State, Local or Foreign Taxes</w:t>
      </w:r>
      <w:r>
        <w:rPr>
          <w:rFonts w:ascii="Times New Roman" w:cs="Times New Roman" w:eastAsia="Times New Roman" w:hAnsi="Times New Roman"/>
          <w:sz w:val="22"/>
          <w:szCs w:val="22"/>
          <w:color w:val="auto"/>
        </w:rPr>
        <w:t>. The Plan Administrator may accelerate payment of all or a portion of a Participant’s vested Accounts for:</w:t>
      </w:r>
    </w:p>
    <w:p>
      <w:pPr>
        <w:spacing w:after="0" w:line="150" w:lineRule="exact"/>
        <w:rPr>
          <w:rFonts w:ascii="Times New Roman" w:cs="Times New Roman" w:eastAsia="Times New Roman" w:hAnsi="Times New Roman"/>
          <w:sz w:val="22"/>
          <w:szCs w:val="22"/>
          <w:color w:val="auto"/>
        </w:rPr>
      </w:pPr>
    </w:p>
    <w:p>
      <w:pPr>
        <w:jc w:val="both"/>
        <w:ind w:left="2600" w:hanging="648"/>
        <w:spacing w:after="0" w:line="220" w:lineRule="auto"/>
        <w:tabs>
          <w:tab w:leader="none" w:pos="2588"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state, local or foreign tax obligations arising from participation in the Plan that relate to an amount deferred under the Plan before the amount is paid or made available to the Participant (the “</w:t>
      </w:r>
      <w:r>
        <w:rPr>
          <w:rFonts w:ascii="Times New Roman" w:cs="Times New Roman" w:eastAsia="Times New Roman" w:hAnsi="Times New Roman"/>
          <w:sz w:val="22"/>
          <w:szCs w:val="22"/>
          <w:b w:val="1"/>
          <w:bCs w:val="1"/>
          <w:color w:val="auto"/>
        </w:rPr>
        <w:t>State, Local and Foreign Tax Amount</w:t>
      </w:r>
      <w:r>
        <w:rPr>
          <w:rFonts w:ascii="Times New Roman" w:cs="Times New Roman" w:eastAsia="Times New Roman" w:hAnsi="Times New Roman"/>
          <w:sz w:val="22"/>
          <w:szCs w:val="22"/>
          <w:color w:val="auto"/>
        </w:rPr>
        <w:t>”); provided, however, the accelerated payment amount shall not exceed the taxes due as a result of participation in the Plan, and/or</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9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income tax at source on wages imposed under Code Section 3401 as a result of such payment and the payment of the additional income tax at source on wages imposed under Code Section 3401 attributable to the additional Code Section 3401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1" w:right="339" w:bottom="1440" w:gutter="0" w:footer="0" w:header="0"/>
        </w:sectPr>
      </w:pPr>
    </w:p>
    <w:bookmarkStart w:id="52" w:name="page53"/>
    <w:bookmarkEnd w:id="52"/>
    <w:p>
      <w:pPr>
        <w:jc w:val="both"/>
        <w:ind w:left="2600"/>
        <w:spacing w:after="0" w:line="225" w:lineRule="auto"/>
        <w:rPr>
          <w:sz w:val="20"/>
          <w:szCs w:val="20"/>
          <w:color w:val="auto"/>
        </w:rPr>
      </w:pPr>
      <w:r>
        <w:rPr>
          <w:rFonts w:ascii="Times New Roman" w:cs="Times New Roman" w:eastAsia="Times New Roman" w:hAnsi="Times New Roman"/>
          <w:sz w:val="22"/>
          <w:szCs w:val="22"/>
          <w:color w:val="auto"/>
        </w:rPr>
        <w:t>wages and taxes; provided however, the accelerated payment amount shall not exceed the aggregate of the State, Local and Foreign Tax Amount and the income tax withholding related to such amount.</w:t>
      </w:r>
    </w:p>
    <w:p>
      <w:pPr>
        <w:spacing w:after="0" w:line="148" w:lineRule="exact"/>
        <w:rPr>
          <w:sz w:val="20"/>
          <w:szCs w:val="20"/>
          <w:color w:val="auto"/>
        </w:rPr>
      </w:pPr>
    </w:p>
    <w:p>
      <w:pPr>
        <w:jc w:val="both"/>
        <w:ind w:left="660" w:hanging="652"/>
        <w:spacing w:after="0" w:line="211" w:lineRule="auto"/>
        <w:tabs>
          <w:tab w:leader="none" w:pos="6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 SECTION 162(m)</w:t>
      </w:r>
      <w:r>
        <w:rPr>
          <w:rFonts w:ascii="Times New Roman" w:cs="Times New Roman" w:eastAsia="Times New Roman" w:hAnsi="Times New Roman"/>
          <w:sz w:val="22"/>
          <w:szCs w:val="22"/>
          <w:color w:val="auto"/>
        </w:rPr>
        <w:t>. If the Plan Administrator reasonably anticipates that if a payment were made as scheduled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it would result in a loss of the Company’s tax deduction due to the application of Code Section 162(m), such payment can be delayed and paid (a) during the Participant’s first taxable year in which the Plan Administrator reasonably anticipates that the Company’s tax deduction will not be limited or eliminated by the application of Code Section 162(m) or (b) subject to any required delay in payment to a Specified Employee, during the period beginning with the Participant’s Separation from Service and ending on the later of the last day of the Company’s taxable year in which the Participant Separates from Service or the 15th day of the third month following the Participant’s Separation from Service. Notwithstanding the foregoing, no payment under the Plan may be deferred in accordance with this Section unless all scheduled payments to the Participant that could be delayed in accordance with Treas. Reg. Section 1.409A-2(b)(7)(i) are also delayed.</w:t>
      </w:r>
    </w:p>
    <w:p>
      <w:pPr>
        <w:spacing w:after="0" w:line="151"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ADMINISTRATION.</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1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The Plan shall be administered by the Board. The Board may delegate one or more of its administrative duties and responsibilities under the Plan to (i) a plan administrative committee comprised of two or more employees of the Corporation (the “Designated Plan Committee”) appointed to the Designated Plan Committee by the Board, (ii) one or more officers of the Company, or (iii) a third-party plan administrator selected by the Board. If the Designated Plan Committee is delegated authority under the Plan, the members of the Designated Plan Committee may thereafter be comprised of employees of the Company appointed by either the Board or the Company’s Chief Executive Officer. The Board, the Designated Plan Committee and any such officer or third-party administrator shall each, in carrying out the respective administrative duties and responsibilities delegated to them under the Plan, be referred to in this document as the “</w:t>
      </w:r>
      <w:r>
        <w:rPr>
          <w:rFonts w:ascii="Times New Roman" w:cs="Times New Roman" w:eastAsia="Times New Roman" w:hAnsi="Times New Roman"/>
          <w:sz w:val="22"/>
          <w:szCs w:val="22"/>
          <w:b w:val="1"/>
          <w:bCs w:val="1"/>
          <w:color w:val="auto"/>
        </w:rPr>
        <w:t>Plan Administrator</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The Plan Administrator shall have the authority to:</w:t>
      </w:r>
    </w:p>
    <w:p>
      <w:pPr>
        <w:spacing w:after="0" w:line="193" w:lineRule="exact"/>
        <w:rPr>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and interpret the Plan and apply its provisions;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Promulgate, amend and rescind rules and regulations relating to the administration of the Plan;</w:t>
      </w:r>
    </w:p>
    <w:p>
      <w:pPr>
        <w:spacing w:after="0" w:line="179" w:lineRule="exact"/>
        <w:rPr>
          <w:rFonts w:ascii="Times New Roman" w:cs="Times New Roman" w:eastAsia="Times New Roman" w:hAnsi="Times New Roman"/>
          <w:sz w:val="22"/>
          <w:szCs w:val="22"/>
          <w:color w:val="auto"/>
        </w:rPr>
      </w:pPr>
    </w:p>
    <w:p>
      <w:pPr>
        <w:ind w:left="1960" w:right="3720" w:hanging="656"/>
        <w:spacing w:after="0" w:line="236" w:lineRule="auto"/>
        <w:tabs>
          <w:tab w:leader="none" w:pos="195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any person to execute, on behalf of the Company, any instrument required to carry out the purposes of the Plan;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minimum or maximum amounts that Participants may elect to defer under the Plan;</w:t>
      </w:r>
    </w:p>
    <w:p>
      <w:pPr>
        <w:spacing w:after="0" w:line="179" w:lineRule="exact"/>
        <w:rPr>
          <w:rFonts w:ascii="Times New Roman" w:cs="Times New Roman" w:eastAsia="Times New Roman" w:hAnsi="Times New Roman"/>
          <w:sz w:val="22"/>
          <w:szCs w:val="22"/>
          <w:color w:val="auto"/>
        </w:rPr>
      </w:pPr>
    </w:p>
    <w:p>
      <w:pPr>
        <w:jc w:val="both"/>
        <w:ind w:left="1960" w:right="20" w:hanging="656"/>
        <w:spacing w:after="0" w:line="225" w:lineRule="auto"/>
        <w:tabs>
          <w:tab w:leader="none" w:pos="195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the Investment Options that will be available for the deemed investment of Accounts under the Plan, subject to Section 6.2(b), and establish procedures for permitting Participants to change their selected Investment Options;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5" w:right="339" w:bottom="1440" w:gutter="0" w:footer="0" w:header="0"/>
        </w:sectPr>
      </w:pPr>
    </w:p>
    <w:bookmarkStart w:id="53" w:name="page54"/>
    <w:bookmarkEnd w:id="53"/>
    <w:p>
      <w:pPr>
        <w:ind w:left="1960" w:hanging="656"/>
        <w:spacing w:after="0"/>
        <w:tabs>
          <w:tab w:leader="none" w:pos="19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subject to the limitations set forth in the Plan, those Employees who shall be Eligible Employees;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Calculate deemed investment earnings and losses;</w:t>
      </w:r>
    </w:p>
    <w:p>
      <w:pPr>
        <w:spacing w:after="0" w:line="179" w:lineRule="exact"/>
        <w:rPr>
          <w:rFonts w:ascii="Times New Roman" w:cs="Times New Roman" w:eastAsia="Times New Roman" w:hAnsi="Times New Roman"/>
          <w:sz w:val="22"/>
          <w:szCs w:val="22"/>
          <w:color w:val="auto"/>
        </w:rPr>
      </w:pPr>
    </w:p>
    <w:p>
      <w:pPr>
        <w:ind w:left="1960" w:hanging="656"/>
        <w:spacing w:after="0" w:line="236" w:lineRule="auto"/>
        <w:tabs>
          <w:tab w:leader="none" w:pos="19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administer, reconcile any inconsistency in, correct any defect in and/or supply any omission in the Plan and any instrument, Election Form or agreement relating to the Plan; and</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discretion to make any and all other determinations which it determines to be necessary or advisable for the administration of the Plan.</w:t>
      </w:r>
    </w:p>
    <w:p>
      <w:pPr>
        <w:spacing w:after="0" w:line="146"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b w:val="1"/>
          <w:bCs w:val="1"/>
          <w:color w:val="auto"/>
        </w:rPr>
        <w:t>Non-Uniform Treatment</w:t>
      </w:r>
      <w:r>
        <w:rPr>
          <w:rFonts w:ascii="Times New Roman" w:cs="Times New Roman" w:eastAsia="Times New Roman" w:hAnsi="Times New Roman"/>
          <w:sz w:val="21"/>
          <w:szCs w:val="21"/>
          <w:color w:val="auto"/>
        </w:rPr>
        <w:t>. The Plan Administrator’s determinations under the Plan need not be uniform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determinations may be made selectively among Participants. Without limiting the generality of the foregoing, the Plan Administrator shall be entitled, among other things, to make non-uniform and selective determinations with regard to: (a) the terms or conditions of any Deferral Election; or (b) the availability of Investment Options.</w:t>
      </w:r>
    </w:p>
    <w:p>
      <w:pPr>
        <w:spacing w:after="0" w:line="146"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2"/>
          <w:szCs w:val="22"/>
          <w:b w:val="1"/>
          <w:bCs w:val="1"/>
          <w:color w:val="auto"/>
        </w:rPr>
        <w:t>Plan Administrator Decisions Final</w:t>
      </w:r>
      <w:r>
        <w:rPr>
          <w:rFonts w:ascii="Times New Roman" w:cs="Times New Roman" w:eastAsia="Times New Roman" w:hAnsi="Times New Roman"/>
          <w:sz w:val="22"/>
          <w:szCs w:val="22"/>
          <w:color w:val="auto"/>
        </w:rPr>
        <w:t>. Subject to the claims procedures in Section 14, all decisions made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Administrator pursuant to the provisions of the Plan shall be final and binding on the Company and the Participants and beneficiaries, unless such decisions are determined by a court having jurisdiction to be arbitrary and capricious.</w:t>
      </w:r>
    </w:p>
    <w:p>
      <w:pPr>
        <w:spacing w:after="0" w:line="148"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No member of the Board or any designee shall be liable for any action, failure to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or interpretation made in good faith with respect to the Plan except for any liability arising from the Board member’s or designee’s own willful malfeasance, gross negligence or reckless disregard of such individual’s duties.</w:t>
      </w:r>
    </w:p>
    <w:p>
      <w:pPr>
        <w:spacing w:after="0" w:line="14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p>
    <w:p>
      <w:pPr>
        <w:spacing w:after="0" w:line="183" w:lineRule="exact"/>
        <w:rPr>
          <w:rFonts w:ascii="Times New Roman" w:cs="Times New Roman" w:eastAsia="Times New Roman" w:hAnsi="Times New Roman"/>
          <w:sz w:val="22"/>
          <w:szCs w:val="22"/>
          <w:b w:val="1"/>
          <w:bCs w:val="1"/>
          <w:color w:val="auto"/>
        </w:rPr>
      </w:pPr>
    </w:p>
    <w:p>
      <w:pPr>
        <w:ind w:left="1300" w:hanging="648"/>
        <w:spacing w:after="0" w:line="21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12.1 The Board may, at any time, and in its discretion, alter, amend, modify, suspend or terminate the Plan or any portion thereof; provided, however, that no such alteration, amendment, modification, suspension or termination shall, without the consent of a Participant, adversely affect such Participant’s rights with respect to amounts credited to or accrued in the Participant’s Accounts and provided, further, that, no payment of benefits shall occur upon termination of the Plan unless the requirements of Code Section 409A have been met.</w:t>
      </w:r>
    </w:p>
    <w:p>
      <w:pPr>
        <w:spacing w:after="0" w:line="148"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2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No Employment or Other Service Rights</w:t>
      </w:r>
      <w:r>
        <w:rPr>
          <w:rFonts w:ascii="Times New Roman" w:cs="Times New Roman" w:eastAsia="Times New Roman" w:hAnsi="Times New Roman"/>
          <w:sz w:val="22"/>
          <w:szCs w:val="22"/>
          <w:color w:val="auto"/>
        </w:rPr>
        <w:t>. Nothing in the Plan or any instrument executed pursuant thereto shall confer upon any Participant any right to continue to serve the Company or an Affiliate or interfere in any way with the right of the Company or any Affiliate to terminate the Participant’s employment or service at any time with or without notice and with or without cause.</w:t>
      </w:r>
    </w:p>
    <w:p>
      <w:pPr>
        <w:spacing w:after="0" w:line="148" w:lineRule="exact"/>
        <w:rPr>
          <w:rFonts w:ascii="Times New Roman" w:cs="Times New Roman" w:eastAsia="Times New Roman" w:hAnsi="Times New Roman"/>
          <w:sz w:val="22"/>
          <w:szCs w:val="22"/>
          <w:b w:val="1"/>
          <w:bCs w:val="1"/>
          <w:color w:val="auto"/>
        </w:rPr>
      </w:pPr>
    </w:p>
    <w:p>
      <w:pPr>
        <w:ind w:left="1300" w:hanging="64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The Company and its Affiliates shall have the right to deduct from any amounts otherwise payable under the Plan any federal, state, local, or other applicable taxes required to be withheld.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5" w:right="339" w:bottom="1440" w:gutter="0" w:footer="0" w:header="0"/>
        </w:sectPr>
      </w:pPr>
    </w:p>
    <w:bookmarkStart w:id="54" w:name="page55"/>
    <w:bookmarkEnd w:id="54"/>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Plan shall be administered, construed and governed in all respects under and by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Connecticut, without reference to the principles of conflicts of law (except and to the extent preempted by applicable Federal law).</w:t>
      </w:r>
    </w:p>
    <w:p>
      <w:pPr>
        <w:spacing w:after="0" w:line="146" w:lineRule="exact"/>
        <w:rPr>
          <w:sz w:val="20"/>
          <w:szCs w:val="20"/>
          <w:color w:val="auto"/>
        </w:rPr>
      </w:pPr>
    </w:p>
    <w:p>
      <w:pPr>
        <w:jc w:val="both"/>
        <w:ind w:left="1280" w:hanging="647"/>
        <w:spacing w:after="0" w:line="210" w:lineRule="auto"/>
        <w:tabs>
          <w:tab w:leader="none" w:pos="126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2"/>
          <w:szCs w:val="22"/>
          <w:b w:val="1"/>
          <w:bCs w:val="1"/>
          <w:color w:val="auto"/>
        </w:rPr>
        <w:t>Code Section 409A</w:t>
      </w:r>
      <w:r>
        <w:rPr>
          <w:rFonts w:ascii="Times New Roman" w:cs="Times New Roman" w:eastAsia="Times New Roman" w:hAnsi="Times New Roman"/>
          <w:sz w:val="22"/>
          <w:szCs w:val="22"/>
          <w:color w:val="auto"/>
        </w:rPr>
        <w:t>. It is generally intended that compensation paid or delivered to the Participants (or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beneficiaries) pursuant to the Plan is paid in compliance with Code Section 409A. However, the Company does not warrant that all compensation paid or delivered to the Participants (or their beneficiaries) will be exempt from, or paid in compliance with, Code Section 409A. The Participants understand and, for themselves and their beneficiaries agree, that they bear the entire risk of any adverse federal, state or local tax consequences and penalty taxes which may result from payment of compensation under this Plan on a basis contrary to the provisions of Code Section 409A or comparable provisions of any applicable state or local income tax laws. For the purposes of determining when amounts otherwise payable on account of a Participant’s termination of employment under this Plan will be paid, which amounts become due because of a Participant’s termination of employment, “termination of employment” or words of similar import, as used in this Plan, shall be construed as the date that the Participant first incurs a “separation from service” for purposes of Code Section 409A on or following termination of employment. For purposes of Code Section 409A, each payment made under this Plan shall be a “separate payment.”</w:t>
      </w:r>
    </w:p>
    <w:p>
      <w:pPr>
        <w:spacing w:after="0" w:line="146" w:lineRule="exact"/>
        <w:rPr>
          <w:sz w:val="20"/>
          <w:szCs w:val="20"/>
          <w:color w:val="auto"/>
        </w:rPr>
      </w:pPr>
    </w:p>
    <w:p>
      <w:pPr>
        <w:jc w:val="both"/>
        <w:ind w:left="1280" w:hanging="647"/>
        <w:spacing w:after="0" w:line="232" w:lineRule="auto"/>
        <w:tabs>
          <w:tab w:leader="none" w:pos="126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b w:val="1"/>
          <w:bCs w:val="1"/>
          <w:color w:val="auto"/>
        </w:rPr>
        <w:t>General Assets/Trust</w:t>
      </w:r>
      <w:r>
        <w:rPr>
          <w:rFonts w:ascii="Times New Roman" w:cs="Times New Roman" w:eastAsia="Times New Roman" w:hAnsi="Times New Roman"/>
          <w:sz w:val="21"/>
          <w:szCs w:val="21"/>
          <w:color w:val="auto"/>
        </w:rPr>
        <w:t>. All amounts provided under the Plan shall be paid from the general assets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no separate fund shall be established to secure payment. Notwithstanding the foregoing, the Company may, but need not, establish a rabbi trust to assist it in funding any Plan obligations. The assets of any such rabbi trust established for the Plan shall at all times be subject to the claims of the Company’s general creditors.</w:t>
      </w:r>
    </w:p>
    <w:p>
      <w:pPr>
        <w:spacing w:after="0" w:line="146" w:lineRule="exact"/>
        <w:rPr>
          <w:sz w:val="20"/>
          <w:szCs w:val="20"/>
          <w:color w:val="auto"/>
        </w:rPr>
      </w:pPr>
    </w:p>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2"/>
          <w:szCs w:val="22"/>
          <w:b w:val="1"/>
          <w:bCs w:val="1"/>
          <w:color w:val="auto"/>
        </w:rPr>
        <w:t>No Warranties</w:t>
      </w:r>
      <w:r>
        <w:rPr>
          <w:rFonts w:ascii="Times New Roman" w:cs="Times New Roman" w:eastAsia="Times New Roman" w:hAnsi="Times New Roman"/>
          <w:sz w:val="22"/>
          <w:szCs w:val="22"/>
          <w:color w:val="auto"/>
        </w:rPr>
        <w:t>. Neither the Company nor the Board warrants or represents that the value of any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will increase. Each Participant assumes the risk in connection with the deemed investment of the Participant’s Accounts.</w:t>
      </w:r>
    </w:p>
    <w:p>
      <w:pPr>
        <w:spacing w:after="0" w:line="146" w:lineRule="exact"/>
        <w:rPr>
          <w:sz w:val="20"/>
          <w:szCs w:val="20"/>
          <w:color w:val="auto"/>
        </w:rPr>
      </w:pPr>
    </w:p>
    <w:p>
      <w:pPr>
        <w:jc w:val="both"/>
        <w:ind w:left="1280" w:hanging="647"/>
        <w:spacing w:after="0" w:line="216" w:lineRule="auto"/>
        <w:tabs>
          <w:tab w:leader="none" w:pos="126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2"/>
          <w:szCs w:val="22"/>
          <w:b w:val="1"/>
          <w:bCs w:val="1"/>
          <w:color w:val="auto"/>
        </w:rPr>
        <w:t>Beneficiary Designation</w:t>
      </w:r>
      <w:r>
        <w:rPr>
          <w:rFonts w:ascii="Times New Roman" w:cs="Times New Roman" w:eastAsia="Times New Roman" w:hAnsi="Times New Roman"/>
          <w:sz w:val="22"/>
          <w:szCs w:val="22"/>
          <w:color w:val="auto"/>
        </w:rPr>
        <w:t>. Each Participant under the Plan may from time to time name any beneficiary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beneficiaries to receive the Participant’s interest in the Plan in the event of the Participant’s death. Each designation will revoke all prior designations by the same Participant, shall be in a form prescribed by the Plan Administrator and shall be effective only when filed by the Participant in writing with the Company during the Participant’s lifetime. If a Participant fails to designate a beneficiary, then the Participant’s designated beneficiary shall be deemed to be the Participant’s estate.</w:t>
      </w:r>
    </w:p>
    <w:p>
      <w:pPr>
        <w:spacing w:after="0" w:line="146" w:lineRule="exact"/>
        <w:rPr>
          <w:sz w:val="20"/>
          <w:szCs w:val="20"/>
          <w:color w:val="auto"/>
        </w:rPr>
      </w:pPr>
    </w:p>
    <w:p>
      <w:pPr>
        <w:jc w:val="both"/>
        <w:ind w:left="1280" w:hanging="647"/>
        <w:spacing w:after="0" w:line="212" w:lineRule="auto"/>
        <w:tabs>
          <w:tab w:leader="none" w:pos="126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The rights of a Participant and any beneficiary or beneficiaries under this Plan are not subject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manner to anticipation, alienation, sale, transfer, assignment, pledge, encumbrance, attachment, or garnishment by creditors of the Participant or the Participant’s beneficiary or beneficiaries. Neither the Participant nor any beneficiary or beneficiaries under this Plan shall have any power or right to transfer, assign, anticipate, hypothecate, mortgage, commute, dispose, modify or otherwise encumber any of the benefits payable hereunder nor shall any of said benefits be subject to seizure for the payment of any debts, judgments, alimony or separate maintenance of the Participant, or any beneficiary or beneficiaries, nor be transferable by operation of law in the event of bankruptcy, insolvency or otherwise. In the event the Participant or any beneficiary or beneficiaries attempt assignment, anticipation, mortgage,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1" w:right="339" w:bottom="1440" w:gutter="0" w:footer="0" w:header="0"/>
        </w:sectPr>
      </w:pPr>
    </w:p>
    <w:bookmarkStart w:id="55" w:name="page56"/>
    <w:bookmarkEnd w:id="55"/>
    <w:p>
      <w:pPr>
        <w:ind w:left="1300"/>
        <w:spacing w:after="0" w:line="236" w:lineRule="auto"/>
        <w:rPr>
          <w:sz w:val="20"/>
          <w:szCs w:val="20"/>
          <w:color w:val="auto"/>
        </w:rPr>
      </w:pPr>
      <w:r>
        <w:rPr>
          <w:rFonts w:ascii="Times New Roman" w:cs="Times New Roman" w:eastAsia="Times New Roman" w:hAnsi="Times New Roman"/>
          <w:sz w:val="22"/>
          <w:szCs w:val="22"/>
          <w:color w:val="auto"/>
        </w:rPr>
        <w:t>commutation, hypothecation, transfer, disposal or other encumbrance of the benefits hereunder, such attempt shall be ineffective and shall not be given effect.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b w:val="1"/>
          <w:bCs w:val="1"/>
          <w:color w:val="auto"/>
        </w:rPr>
        <w:t>Expenses</w:t>
      </w:r>
      <w:r>
        <w:rPr>
          <w:rFonts w:ascii="Times New Roman" w:cs="Times New Roman" w:eastAsia="Times New Roman" w:hAnsi="Times New Roman"/>
          <w:sz w:val="21"/>
          <w:szCs w:val="21"/>
          <w:color w:val="auto"/>
        </w:rPr>
        <w:t>. The costs of administering the Plan shall be paid by the Company.</w:t>
      </w:r>
    </w:p>
    <w:p>
      <w:pPr>
        <w:spacing w:after="0" w:line="179" w:lineRule="exact"/>
        <w:rPr>
          <w:sz w:val="20"/>
          <w:szCs w:val="20"/>
          <w:color w:val="auto"/>
        </w:rPr>
      </w:pPr>
    </w:p>
    <w:p>
      <w:pPr>
        <w:jc w:val="both"/>
        <w:ind w:left="1300" w:hanging="647"/>
        <w:spacing w:after="0" w:line="227"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the Plan is held to be invalid, illegal or unenforceable, whether in whole or in part, such provision shall be deemed modified to the extent of such invalidity, illegality or unenforceability and the remaining provisions shall not be affected.</w:t>
      </w:r>
    </w:p>
    <w:p>
      <w:pPr>
        <w:spacing w:after="0" w:line="146" w:lineRule="exact"/>
        <w:rPr>
          <w:sz w:val="20"/>
          <w:szCs w:val="20"/>
          <w:color w:val="auto"/>
        </w:rPr>
      </w:pPr>
    </w:p>
    <w:p>
      <w:pPr>
        <w:jc w:val="both"/>
        <w:ind w:left="1300" w:hanging="647"/>
        <w:spacing w:after="0" w:line="238"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b w:val="1"/>
          <w:bCs w:val="1"/>
          <w:color w:val="auto"/>
        </w:rPr>
        <w:t>Headings and Subheadings</w:t>
      </w:r>
      <w:r>
        <w:rPr>
          <w:rFonts w:ascii="Times New Roman" w:cs="Times New Roman" w:eastAsia="Times New Roman" w:hAnsi="Times New Roman"/>
          <w:sz w:val="22"/>
          <w:szCs w:val="22"/>
          <w:color w:val="auto"/>
        </w:rPr>
        <w:t>. Headings and subheadings in the Plan are for convenience only and are not to be considered in the construction of the provisions hereof.</w:t>
      </w:r>
    </w:p>
    <w:p>
      <w:pPr>
        <w:spacing w:after="0" w:line="146" w:lineRule="exact"/>
        <w:rPr>
          <w:sz w:val="20"/>
          <w:szCs w:val="20"/>
          <w:color w:val="auto"/>
        </w:rPr>
      </w:pPr>
    </w:p>
    <w:p>
      <w:pPr>
        <w:jc w:val="both"/>
        <w:ind w:left="1300" w:hanging="647"/>
        <w:spacing w:after="0" w:line="218"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b w:val="1"/>
          <w:bCs w:val="1"/>
          <w:color w:val="auto"/>
        </w:rPr>
        <w:t>Unfunded Arrangement.</w:t>
      </w:r>
      <w:r>
        <w:rPr>
          <w:rFonts w:ascii="Times New Roman" w:cs="Times New Roman" w:eastAsia="Times New Roman" w:hAnsi="Times New Roman"/>
          <w:sz w:val="22"/>
          <w:szCs w:val="22"/>
          <w:color w:val="auto"/>
        </w:rPr>
        <w:t xml:space="preserve"> For purposes of ERISA, this Plan is an “unfunded” arrangement (within the meaning of Sections 201, 301 and 401 of ERISA) that is maintained primarily to provide deferred compensation benefits for the Participants, who are members of a select group of management or highly compensated employees of the Company and its Affiliates. It is the intention of the Company that this Plan be unfunded for tax purposes and for purposes of Title I of ERISA.</w:t>
      </w:r>
    </w:p>
    <w:p>
      <w:pPr>
        <w:spacing w:after="0" w:line="14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 PROCEDURES.</w:t>
      </w:r>
    </w:p>
    <w:p>
      <w:pPr>
        <w:spacing w:after="0" w:line="179" w:lineRule="exact"/>
        <w:rPr>
          <w:rFonts w:ascii="Times New Roman" w:cs="Times New Roman" w:eastAsia="Times New Roman" w:hAnsi="Times New Roman"/>
          <w:sz w:val="22"/>
          <w:szCs w:val="22"/>
          <w:b w:val="1"/>
          <w:bCs w:val="1"/>
          <w:color w:val="auto"/>
        </w:rPr>
      </w:pPr>
    </w:p>
    <w:p>
      <w:pPr>
        <w:ind w:left="1300" w:hanging="64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Filing a Claim</w:t>
      </w:r>
      <w:r>
        <w:rPr>
          <w:rFonts w:ascii="Times New Roman" w:cs="Times New Roman" w:eastAsia="Times New Roman" w:hAnsi="Times New Roman"/>
          <w:sz w:val="22"/>
          <w:szCs w:val="22"/>
          <w:color w:val="auto"/>
        </w:rPr>
        <w:t>. Any Participant or other person claiming an interest in the Plan may file a claim in writing with the Board. The Board shall review the claim itself or appoint an individual or entity to review the claim.</w:t>
      </w:r>
    </w:p>
    <w:p>
      <w:pPr>
        <w:spacing w:after="0" w:line="146" w:lineRule="exact"/>
        <w:rPr>
          <w:rFonts w:ascii="Times New Roman" w:cs="Times New Roman" w:eastAsia="Times New Roman" w:hAnsi="Times New Roman"/>
          <w:sz w:val="22"/>
          <w:szCs w:val="22"/>
          <w:b w:val="1"/>
          <w:bCs w:val="1"/>
          <w:color w:val="auto"/>
        </w:rPr>
      </w:pPr>
    </w:p>
    <w:p>
      <w:pPr>
        <w:ind w:left="1300" w:hanging="648"/>
        <w:spacing w:after="0" w:line="21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Claim Decision</w:t>
      </w:r>
      <w:r>
        <w:rPr>
          <w:rFonts w:ascii="Times New Roman" w:cs="Times New Roman" w:eastAsia="Times New Roman" w:hAnsi="Times New Roman"/>
          <w:sz w:val="22"/>
          <w:szCs w:val="22"/>
          <w:color w:val="auto"/>
        </w:rPr>
        <w:t>. The claimant shall be notified within ninety (90) days after the claim is filed whether the claim is approved or denied, unless the Board determines that special circumstances beyond the control of the Plan require an extension of time, in which case the Board may have up to an additional ninety (90) days to process the claim. If the Board determines that an extension of time for processing is required, the Board shall furnish written or electronic notice of the extension to the claimant before the end of the initial ninety (90) day period. Any notice of extension shall describe the special circumstances necessitating the additional time and the date by which the Board expects to render its decision.</w:t>
      </w:r>
    </w:p>
    <w:p>
      <w:pPr>
        <w:spacing w:after="0" w:line="148" w:lineRule="exact"/>
        <w:rPr>
          <w:rFonts w:ascii="Times New Roman" w:cs="Times New Roman" w:eastAsia="Times New Roman" w:hAnsi="Times New Roman"/>
          <w:sz w:val="22"/>
          <w:szCs w:val="22"/>
          <w:b w:val="1"/>
          <w:bCs w:val="1"/>
          <w:color w:val="auto"/>
        </w:rPr>
      </w:pPr>
    </w:p>
    <w:p>
      <w:pPr>
        <w:ind w:left="1300" w:hanging="64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b w:val="1"/>
          <w:bCs w:val="1"/>
          <w:color w:val="auto"/>
        </w:rPr>
        <w:t>Notice of Denial</w:t>
      </w:r>
      <w:r>
        <w:rPr>
          <w:rFonts w:ascii="Times New Roman" w:cs="Times New Roman" w:eastAsia="Times New Roman" w:hAnsi="Times New Roman"/>
          <w:sz w:val="22"/>
          <w:szCs w:val="22"/>
          <w:color w:val="auto"/>
        </w:rPr>
        <w:t>. If the Board denies the claim, it must provide to the claimant, in writing or by electronic communication, a notice which includes:</w:t>
      </w:r>
    </w:p>
    <w:p>
      <w:pPr>
        <w:spacing w:after="0" w:line="150"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reason(s) for the denial;</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the pertinent Plan provisions on which such denial is based;</w:t>
      </w:r>
    </w:p>
    <w:p>
      <w:pPr>
        <w:spacing w:after="0" w:line="179" w:lineRule="exact"/>
        <w:rPr>
          <w:rFonts w:ascii="Times New Roman" w:cs="Times New Roman" w:eastAsia="Times New Roman" w:hAnsi="Times New Roman"/>
          <w:sz w:val="22"/>
          <w:szCs w:val="22"/>
          <w:color w:val="auto"/>
        </w:rPr>
      </w:pPr>
    </w:p>
    <w:p>
      <w:pPr>
        <w:ind w:left="1960" w:hanging="656"/>
        <w:spacing w:after="0" w:line="236" w:lineRule="auto"/>
        <w:tabs>
          <w:tab w:leader="none" w:pos="195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claimant’s claim and an explanation of why such material or information is necessary;</w:t>
      </w:r>
    </w:p>
    <w:p>
      <w:pPr>
        <w:spacing w:after="0" w:line="150" w:lineRule="exact"/>
        <w:rPr>
          <w:rFonts w:ascii="Times New Roman" w:cs="Times New Roman" w:eastAsia="Times New Roman" w:hAnsi="Times New Roman"/>
          <w:sz w:val="22"/>
          <w:szCs w:val="22"/>
          <w:color w:val="auto"/>
        </w:rPr>
      </w:pPr>
    </w:p>
    <w:p>
      <w:pPr>
        <w:jc w:val="both"/>
        <w:ind w:left="1960" w:right="20" w:hanging="656"/>
        <w:spacing w:after="0" w:line="225" w:lineRule="auto"/>
        <w:tabs>
          <w:tab w:leader="none" w:pos="195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appeal procedures and the time limits applicable to such procedures, including a statement of the claimant’s right to bring a civil action under Section 502(a) of ERISA following a denial of the claim on appeal;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395" w:right="339" w:bottom="1440" w:gutter="0" w:footer="0" w:header="0"/>
        </w:sectPr>
      </w:pPr>
    </w:p>
    <w:bookmarkStart w:id="56" w:name="page57"/>
    <w:bookmarkEnd w:id="56"/>
    <w:p>
      <w:pPr>
        <w:ind w:left="1940" w:hanging="656"/>
        <w:spacing w:after="0" w:line="236" w:lineRule="auto"/>
        <w:tabs>
          <w:tab w:leader="none" w:pos="193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internal rule was relied on to make the decision, either a copy of the internal rule or a statement that this information is available at no charge upon request.</w:t>
      </w:r>
    </w:p>
    <w:p>
      <w:pPr>
        <w:spacing w:after="0" w:line="146" w:lineRule="exact"/>
        <w:rPr>
          <w:sz w:val="20"/>
          <w:szCs w:val="20"/>
          <w:color w:val="auto"/>
        </w:rPr>
      </w:pPr>
    </w:p>
    <w:p>
      <w:pPr>
        <w:jc w:val="both"/>
        <w:ind w:left="1280" w:hanging="647"/>
        <w:spacing w:after="0" w:line="211" w:lineRule="auto"/>
        <w:tabs>
          <w:tab w:leader="none" w:pos="126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2"/>
          <w:szCs w:val="22"/>
          <w:b w:val="1"/>
          <w:bCs w:val="1"/>
          <w:color w:val="auto"/>
        </w:rPr>
        <w:t>Appeal Procedures</w:t>
      </w:r>
      <w:r>
        <w:rPr>
          <w:rFonts w:ascii="Times New Roman" w:cs="Times New Roman" w:eastAsia="Times New Roman" w:hAnsi="Times New Roman"/>
          <w:sz w:val="22"/>
          <w:szCs w:val="22"/>
          <w:color w:val="auto"/>
        </w:rPr>
        <w:t>. A request for appeal of a denied claim must be made in writing to the Board within sixty (60)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after receiving notice of denial. The decision on appeal will be made within sixty (60) days after the Board’s receipt of a request for appeal, unless special circumstances require an extension of time for processing, in which case a decision will be rendered not later than one hundred twenty (120) days after receipt of a request for appeal. A notice of such an extension must be provided to the claimant within the initial sixty (60) day period and must explain the special circumstances and provide an expected date of decision. The reviewer shall afford the claimant an opportunity to review and receive, without charge, all relevant documents, information and records and to submit issues and comments in writing to the Board.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152" w:lineRule="exact"/>
        <w:rPr>
          <w:sz w:val="20"/>
          <w:szCs w:val="20"/>
          <w:color w:val="auto"/>
        </w:rPr>
      </w:pPr>
    </w:p>
    <w:p>
      <w:pPr>
        <w:jc w:val="both"/>
        <w:ind w:left="1280" w:hanging="647"/>
        <w:spacing w:after="0" w:line="238" w:lineRule="auto"/>
        <w:tabs>
          <w:tab w:leader="none" w:pos="126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2"/>
          <w:szCs w:val="22"/>
          <w:b w:val="1"/>
          <w:bCs w:val="1"/>
          <w:color w:val="auto"/>
        </w:rPr>
        <w:t>Notice of Decision on Appeal</w:t>
      </w:r>
      <w:r>
        <w:rPr>
          <w:rFonts w:ascii="Times New Roman" w:cs="Times New Roman" w:eastAsia="Times New Roman" w:hAnsi="Times New Roman"/>
          <w:sz w:val="22"/>
          <w:szCs w:val="22"/>
          <w:color w:val="auto"/>
        </w:rPr>
        <w:t>. If the Board denies the appeal, it must provide to the claimant, in writing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communication, a notice which includes:</w:t>
      </w:r>
    </w:p>
    <w:p>
      <w:pPr>
        <w:spacing w:after="0" w:line="150" w:lineRule="exact"/>
        <w:rPr>
          <w:sz w:val="20"/>
          <w:szCs w:val="20"/>
          <w:color w:val="auto"/>
        </w:rPr>
      </w:pPr>
    </w:p>
    <w:p>
      <w:pPr>
        <w:ind w:left="1920" w:hanging="636"/>
        <w:spacing w:after="0"/>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reason(s) for the denial;</w:t>
      </w:r>
    </w:p>
    <w:p>
      <w:pPr>
        <w:spacing w:after="0" w:line="179"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pertinent Plan provisions on which such denial is based;</w:t>
      </w:r>
    </w:p>
    <w:p>
      <w:pPr>
        <w:spacing w:after="0" w:line="179"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may receive on request all relevant records at no charge;</w:t>
      </w:r>
    </w:p>
    <w:p>
      <w:pPr>
        <w:spacing w:after="0" w:line="179"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voluntary procedures and deadlines, if any;</w:t>
      </w:r>
    </w:p>
    <w:p>
      <w:pPr>
        <w:spacing w:after="0" w:line="179"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the claimant’s right to sue under Section 502(a) of ERISA; and</w:t>
      </w:r>
    </w:p>
    <w:p>
      <w:pPr>
        <w:spacing w:after="0" w:line="179" w:lineRule="exact"/>
        <w:rPr>
          <w:rFonts w:ascii="Times New Roman" w:cs="Times New Roman" w:eastAsia="Times New Roman" w:hAnsi="Times New Roman"/>
          <w:sz w:val="22"/>
          <w:szCs w:val="22"/>
          <w:color w:val="auto"/>
        </w:rPr>
      </w:pPr>
    </w:p>
    <w:p>
      <w:pPr>
        <w:ind w:left="1940" w:hanging="656"/>
        <w:spacing w:after="0" w:line="236" w:lineRule="auto"/>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internal rule was relied on to make the decision, either a copy of the internal rule or a statement that this information is available at no charge upon request.</w:t>
      </w:r>
    </w:p>
    <w:p>
      <w:pPr>
        <w:spacing w:after="0" w:line="146" w:lineRule="exact"/>
        <w:rPr>
          <w:sz w:val="20"/>
          <w:szCs w:val="20"/>
          <w:color w:val="auto"/>
        </w:rPr>
      </w:pPr>
    </w:p>
    <w:p>
      <w:pPr>
        <w:jc w:val="both"/>
        <w:ind w:left="1280" w:hanging="647"/>
        <w:spacing w:after="0" w:line="227" w:lineRule="auto"/>
        <w:tabs>
          <w:tab w:leader="none" w:pos="126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2"/>
          <w:szCs w:val="22"/>
          <w:b w:val="1"/>
          <w:bCs w:val="1"/>
          <w:color w:val="auto"/>
        </w:rPr>
        <w:t>Claims Procedures Mandatory</w:t>
      </w:r>
      <w:r>
        <w:rPr>
          <w:rFonts w:ascii="Times New Roman" w:cs="Times New Roman" w:eastAsia="Times New Roman" w:hAnsi="Times New Roman"/>
          <w:sz w:val="22"/>
          <w:szCs w:val="22"/>
          <w:color w:val="auto"/>
        </w:rPr>
        <w:t>. The internal claims procedures set forth in this Section are mandatory. If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claimant fails to follow these claims procedures, or to timely file a request for appeal in accordance with this Section, the denial of the Claim shall become final and binding on all persons for all purposes.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17</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20"/>
          </w:cols>
          <w:pgMar w:left="340" w:top="1395" w:right="339" w:bottom="1440" w:gutter="0" w:footer="0" w:header="0"/>
        </w:sectPr>
      </w:pPr>
    </w:p>
    <w:bookmarkStart w:id="57" w:name="page58"/>
    <w:bookmarkEnd w:id="57"/>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Connecticut Water Service, Inc. has adopted this amendment and restatement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January 1, 2027.</w:t>
      </w:r>
    </w:p>
    <w:p>
      <w:pPr>
        <w:spacing w:after="0" w:line="1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CONNECTICUT WATER SERVICE, INC.</w:t>
      </w:r>
    </w:p>
    <w:p>
      <w:pPr>
        <w:spacing w:after="0" w:line="2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-13970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Its: VP, HR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-21590</wp:posOffset>
            </wp:positionV>
            <wp:extent cx="1786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652739778.7</w:t>
      </w:r>
    </w:p>
    <w:p>
      <w:pPr>
        <w:sectPr>
          <w:pgSz w:w="11900" w:h="16838" w:orient="portrait"/>
          <w:cols w:equalWidth="0" w:num="1">
            <w:col w:w="11240"/>
          </w:cols>
          <w:pgMar w:left="320" w:top="141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H2O AMERICA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DEFERRAL ELECTION PROGRAM FOR NON-EMPLOYEE BOARD MEMBERS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 AMENDED AND RESTATED EFFECTIVE JANUARY 1, 2027</w:t>
      </w:r>
    </w:p>
    <w:p>
      <w:pPr>
        <w:spacing w:after="0" w:line="178"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OF RESTATEMENT</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17" w:lineRule="auto"/>
        <w:tabs>
          <w:tab w:leader="none" w:pos="129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Compensation Committee (the “ECC”) of the Board of Directors (the “Board”) of H2O America (the “Corporation”) adopted the H2O America Deferral Election Program for Non-Employee Board Members (the “Program”) on January 30, 2006. The Program was subsequently amended June 1, 2006, December 6, 2007, October 30, 2013, November 14, 2016, and February 26, 2025. The Program is now amended and restated, effective as of January 1, 2027, to incorporate the prior amendments and make certain changes to facilitate administration of the Program.</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objectives of the Program are to (i) continue to promote the long-term success of the Corporation by linking incentive opportunities for non-employee members of the Board to the performance of the Corporation and (ii) permit Board members to elect to defer Board compensation, including retainer fees for service on any Board committee and fees for attendance at Board and Board committee meetings.</w:t>
      </w:r>
    </w:p>
    <w:p>
      <w:pPr>
        <w:spacing w:after="0" w:line="148"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non-employee member of the Corporation’s Board of Directors is eligible to participate in the Program.</w:t>
      </w:r>
    </w:p>
    <w:p>
      <w:pPr>
        <w:spacing w:after="0" w:line="189"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DEFERRAL AWARDS.</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11" w:lineRule="auto"/>
        <w:tabs>
          <w:tab w:leader="none" w:pos="129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Service Fees.</w:t>
      </w:r>
      <w:r>
        <w:rPr>
          <w:rFonts w:ascii="Times New Roman" w:cs="Times New Roman" w:eastAsia="Times New Roman" w:hAnsi="Times New Roman"/>
          <w:sz w:val="22"/>
          <w:szCs w:val="22"/>
          <w:color w:val="auto"/>
        </w:rPr>
        <w:t xml:space="preserve"> For purposes of the Program, “Annual Service Fees” shall mean the following fees payable to an eligible Board member for each calendar year for which the Program continues in effect: (i) the annual retainer fee for service as a non-employee member of the Board of Directors of the Corporation or any affiliated entity (with each such board to be separately referred to herein as the “Board”); (ii) the annual retainer fee for service as a non-employee member of any committee of a Board; (iii) the attendance fee for each meeting of a Board that is scheduled for such calendar year prior to the start of that calendar year; and (iv) the attendance fee for each meeting of a committee of a Board on which the individual serves that is scheduled for such calendar year prior to the start of that calendar year. Fees for Board or Board committee meetings that occur during a particular calendar year, but that were not scheduled prior to the start of that calendar year cannot be deferred under the Program.</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Procedure.</w:t>
      </w:r>
      <w:r>
        <w:rPr>
          <w:rFonts w:ascii="Times New Roman" w:cs="Times New Roman" w:eastAsia="Times New Roman" w:hAnsi="Times New Roman"/>
          <w:sz w:val="22"/>
          <w:szCs w:val="22"/>
          <w:color w:val="auto"/>
        </w:rPr>
        <w:t xml:space="preserve"> Each non-employee member of the Corporation’s Board of Directors (“Participant”) may elect to defer the following percentages of the Participant’s Annual Service Fees for any calendar year by completing and filing with the Corporation a Deferral Election Form for that calendar year:</w:t>
      </w:r>
    </w:p>
    <w:p>
      <w:pPr>
        <w:spacing w:after="0" w:line="153" w:lineRule="exact"/>
        <w:rPr>
          <w:sz w:val="20"/>
          <w:szCs w:val="20"/>
          <w:color w:val="auto"/>
        </w:rPr>
      </w:pPr>
    </w:p>
    <w:p>
      <w:pPr>
        <w:ind w:firstLine="656"/>
        <w:spacing w:after="0" w:line="235" w:lineRule="auto"/>
        <w:tabs>
          <w:tab w:leader="none" w:pos="1287"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either fifty percent (50%) or one hundred percent (100%) of the portion of the Annual Service Fees attributable to the retainer fees for service on each Board and each committee of such Board on which the Participant serves, and</w:t>
      </w:r>
    </w:p>
    <w:p>
      <w:pPr>
        <w:spacing w:after="0" w:line="151" w:lineRule="exact"/>
        <w:rPr>
          <w:rFonts w:ascii="Arial" w:cs="Arial" w:eastAsia="Arial" w:hAnsi="Arial"/>
          <w:sz w:val="22"/>
          <w:szCs w:val="22"/>
          <w:color w:val="auto"/>
        </w:rPr>
      </w:pPr>
    </w:p>
    <w:p>
      <w:pPr>
        <w:ind w:right="20" w:firstLine="656"/>
        <w:spacing w:after="0" w:line="235" w:lineRule="auto"/>
        <w:tabs>
          <w:tab w:leader="none" w:pos="1287"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one hundred percent (100%) of the portion of the Annual Service Fees attributable to the meeting fees of each Board and each committee of such Board on which the Participant serves.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652593819.7</w:t>
      </w:r>
    </w:p>
    <w:p>
      <w:pPr>
        <w:sectPr>
          <w:pgSz w:w="11900" w:h="16838" w:orient="portrait"/>
          <w:cols w:equalWidth="0" w:num="1">
            <w:col w:w="11240"/>
          </w:cols>
          <w:pgMar w:left="320" w:top="1418" w:right="339" w:bottom="1440" w:gutter="0" w:footer="0" w:header="0"/>
        </w:sectPr>
      </w:pPr>
    </w:p>
    <w:bookmarkStart w:id="59" w:name="page60"/>
    <w:bookmarkEnd w:id="59"/>
    <w:p>
      <w:pPr>
        <w:jc w:val="both"/>
        <w:ind w:firstLine="656"/>
        <w:spacing w:after="0" w:line="225" w:lineRule="auto"/>
        <w:tabs>
          <w:tab w:leader="none" w:pos="12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of Election.</w:t>
      </w:r>
      <w:r>
        <w:rPr>
          <w:rFonts w:ascii="Times New Roman" w:cs="Times New Roman" w:eastAsia="Times New Roman" w:hAnsi="Times New Roman"/>
          <w:sz w:val="22"/>
          <w:szCs w:val="22"/>
          <w:color w:val="auto"/>
        </w:rPr>
        <w:t xml:space="preserve"> Such election must be filed on or before December 31 of the calendar year preceding the particular calendar year for which the Annual Service Fees subject to that election are to be earned. Each such election shall become irrevocable on that December 31 filing deadline and cannot be modified for any reason thereafter.</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 Account.</w:t>
      </w:r>
      <w:r>
        <w:rPr>
          <w:rFonts w:ascii="Times New Roman" w:cs="Times New Roman" w:eastAsia="Times New Roman" w:hAnsi="Times New Roman"/>
          <w:sz w:val="22"/>
          <w:szCs w:val="22"/>
          <w:color w:val="auto"/>
        </w:rPr>
        <w:t xml:space="preserve"> For each calendar year for which the Participant defers all or part of the Participant’s Annual Service Fees, a separate Deferral Election Account shall be established and credited with the amount of the Annual Service Fees deferred for that year. The Annual Service Fees that a Participant defers for a particular calendar year shall be credited periodically to the Participant’s Deferral Election Account for that year as and when those Annual Service Fees would otherwise become due and payable to the Participant during such calendar year in the absence of the Participant’s Deferral Election for that calendar year, with the final such credit to be made no later than the last business day in that calendar year. All amounts so credited to the Participant’s Deferral Election Account established for that calendar year shall at all times be fully vested.</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Participant’s right to receive the balance credited to the Participant’s Deferral Election Account, shall be an unfunded and unsecured right of a general creditor.</w:t>
      </w:r>
    </w:p>
    <w:p>
      <w:pPr>
        <w:spacing w:after="0" w:line="131" w:lineRule="exact"/>
        <w:rPr>
          <w:sz w:val="20"/>
          <w:szCs w:val="20"/>
          <w:color w:val="auto"/>
        </w:rPr>
      </w:pPr>
    </w:p>
    <w:p>
      <w:pPr>
        <w:jc w:val="both"/>
        <w:ind w:firstLine="656"/>
        <w:spacing w:after="0" w:line="213"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Credits.</w:t>
      </w:r>
      <w:r>
        <w:rPr>
          <w:rFonts w:ascii="Times New Roman" w:cs="Times New Roman" w:eastAsia="Times New Roman" w:hAnsi="Times New Roman"/>
          <w:sz w:val="22"/>
          <w:szCs w:val="22"/>
          <w:color w:val="auto"/>
        </w:rPr>
        <w:t xml:space="preserve"> The Annual Service Fees for any calendar year that are deferred under the Program will be credited as a dollar amount to the Deferral Election Account established for the Participant for that particular year. The Participant’s Deferral Election Account will subsequently be credited with a fixed rate of interest, equal to the lower of (i) the then current 30-year long-term borrowing cost of funds to San Jose Water Company (or the equivalent thereof), as determined by the Plan Administrator as of the start of such calendar year, or (ii) 120% of the long-term Applicable Federal Rate, as determined by the Plan Administrator as of the start of such calendar year and based on semi-annual compounding. Earnings will be calculated daily and posted to the Participant’s Deferral Election Account monthly.</w:t>
      </w:r>
    </w:p>
    <w:p>
      <w:pPr>
        <w:spacing w:after="0" w:line="1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DISTRIBUTION OF DEFERRAL ELECTION ACCOUNTS</w:t>
      </w:r>
    </w:p>
    <w:p>
      <w:pPr>
        <w:spacing w:after="0" w:line="183" w:lineRule="exact"/>
        <w:rPr>
          <w:sz w:val="20"/>
          <w:szCs w:val="20"/>
          <w:color w:val="auto"/>
        </w:rPr>
      </w:pPr>
    </w:p>
    <w:p>
      <w:pPr>
        <w:jc w:val="both"/>
        <w:ind w:firstLine="656"/>
        <w:spacing w:after="0" w:line="212" w:lineRule="auto"/>
        <w:tabs>
          <w:tab w:leader="none" w:pos="129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of each of the Participant’s Deferral Election Accounts relating to deferred Annual Service Fees shall be made or commence on the thirtieth (30th) day following the Participant’s cessation of service as a member of the Corporation’s Board of Directors or as soon as administratively practicable after such scheduled distribution date, but in no event later than the end of the calendar year in which such cessation of Board service occurs or (if later) the fifteenth (15th) day of the third (3rd) calendar month following the date of such cessation of Board service. Each of the Participant’s separate post-2007 Deferral Election Accounts shall be distributed in cash either in the form of a single lump sum or in up to ten (10) annual installments, as the Participant may elect in the Participant’s Deferral Election Form for the calendar year to which that account pertains.</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before the entire balance of the Participant’s Deferral Election Accounts is distributed, then the unpaid balance shall be paid in a lump sum to the Participant’s designated beneficiary(ies) under the Program. Such payment shall be made within sixty (60) days after the date of the Participant’s death or as soon as administratively practical following the Participant’s death, but in no event later than the later of: (i) the end of the calendar year in which the Participant’s death occurs or (ii) the fifteenth (15th) day of the third (3rd) calendar month following the date of the Participant’s death. The Participant may designate one or more such beneficiaries or may revoke the Participant’s existing beneficiary designation and make a new designation, by filing a properly completed Beneficiary Designation, in substantially the form of attached Exhibit A, with the Plan Administrator or its designate. Should the Participant die without a valid beneficiary designation in effect or after the death of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652593819.7</w:t>
      </w:r>
    </w:p>
    <w:p>
      <w:pPr>
        <w:sectPr>
          <w:pgSz w:w="11900" w:h="16838" w:orient="portrait"/>
          <w:cols w:equalWidth="0" w:num="1">
            <w:col w:w="11240"/>
          </w:cols>
          <w:pgMar w:left="320" w:top="1395" w:right="339" w:bottom="1440" w:gutter="0" w:footer="0" w:header="0"/>
        </w:sectPr>
      </w:pPr>
    </w:p>
    <w:bookmarkStart w:id="60" w:name="page61"/>
    <w:bookmarkEnd w:id="60"/>
    <w:p>
      <w:pPr>
        <w:spacing w:after="0" w:line="236" w:lineRule="auto"/>
        <w:rPr>
          <w:sz w:val="20"/>
          <w:szCs w:val="20"/>
          <w:color w:val="auto"/>
        </w:rPr>
      </w:pPr>
      <w:r>
        <w:rPr>
          <w:rFonts w:ascii="Times New Roman" w:cs="Times New Roman" w:eastAsia="Times New Roman" w:hAnsi="Times New Roman"/>
          <w:sz w:val="22"/>
          <w:szCs w:val="22"/>
          <w:color w:val="auto"/>
        </w:rPr>
        <w:t>Participant’s designated beneficiary(ies), then any amounts due him or her under the Program shall be paid to the personal representative of the Participant’s estate.</w:t>
      </w:r>
    </w:p>
    <w:p>
      <w:pPr>
        <w:spacing w:after="0" w:line="146" w:lineRule="exact"/>
        <w:rPr>
          <w:sz w:val="20"/>
          <w:szCs w:val="20"/>
          <w:color w:val="auto"/>
        </w:rPr>
      </w:pPr>
    </w:p>
    <w:p>
      <w:pPr>
        <w:ind w:left="620" w:hanging="612"/>
        <w:spacing w:after="0"/>
        <w:tabs>
          <w:tab w:leader="none" w:pos="6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DEFINED TERMS</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All capitalized terms in this Agreement, to the extent not expressly defined herein, shall have the meaning assigned to them in this Program document or the Deferral Election Form.</w:t>
      </w:r>
    </w:p>
    <w:p>
      <w:pPr>
        <w:spacing w:after="0" w:line="1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All of the Participant’s Deferral Election Accounts are in all respects limited by and subject to the terms of this Program, the applicable Deferral Election Forms and any distribution elections made by the Participant pursuant to Sections IV.A and IV.B of the Program.</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Program shall be administered by the Corporation’s Board of Directors or, to the extent the Corporation’s Board of Directors has delegated administrative authority to the ECC, the ECC. The Corporation’s Board of Directors or the ECC, as applicable, may delegate any of its authority under the Program to one or more officers of the Corporation. As used herein, the “Plan Administrator” means the Corporation’s Board of Directors, the ECC or any officer to whom administrative authority has been delegated, as applicable.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Corporation’s Board of Directors may, at any time, and in its discretion, alter, amend, modify, suspend or terminate the Plan or any portion thereof, upon recommendation by the ECC; provided, however, that no such alteration, amendment, modification, suspension or termination shall, without the consent of a Participant, adversely affect such Participant’s rights with respect to amounts credited to or accrued in the Participant’s Deferral Election Accounts and provided, further, that, no payment of benefits shall occur upon termination of the Program unless the requirements of Section 409A of the Internal have been met.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652593819.7</w:t>
      </w:r>
    </w:p>
    <w:p>
      <w:pPr>
        <w:sectPr>
          <w:pgSz w:w="11900" w:h="16838" w:orient="portrait"/>
          <w:cols w:equalWidth="0" w:num="1">
            <w:col w:w="11240"/>
          </w:cols>
          <w:pgMar w:left="320" w:top="139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DEFERRAL ELECTION PROGRAM FOR NON-EMPLOYEE BOARD MEMBERS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DESIGNATION OF BENEFICIARY</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hereby designate the following individual or individuals as the beneficiary or beneficiaries of all my right, title and interest in and to the unpaid balance credited to my Deferral Election Accounts under the SJW Group Deferral Election Program for Non-Employee Board Members (the “Program”) at the time of my death, hereby revoking any prior designation of beneficiaries made by me under the Program:</w:t>
      </w:r>
    </w:p>
    <w:p>
      <w:pPr>
        <w:spacing w:after="0" w:line="202" w:lineRule="exact"/>
        <w:rPr>
          <w:sz w:val="20"/>
          <w:szCs w:val="20"/>
          <w:color w:val="auto"/>
        </w:rPr>
      </w:pPr>
    </w:p>
    <w:p>
      <w:pPr>
        <w:ind w:left="3240"/>
        <w:spacing w:after="0"/>
        <w:tabs>
          <w:tab w:leader="none" w:pos="5880" w:val="left"/>
          <w:tab w:leader="none" w:pos="9020" w:val="left"/>
        </w:tabs>
        <w:rPr>
          <w:sz w:val="20"/>
          <w:szCs w:val="20"/>
          <w:color w:val="auto"/>
        </w:rPr>
      </w:pPr>
      <w:r>
        <w:rPr>
          <w:rFonts w:ascii="Times New Roman" w:cs="Times New Roman" w:eastAsia="Times New Roman" w:hAnsi="Times New Roman"/>
          <w:sz w:val="22"/>
          <w:szCs w:val="22"/>
          <w:b w:val="1"/>
          <w:bCs w:val="1"/>
          <w:color w:val="auto"/>
        </w:rPr>
        <w:t>Name</w:t>
      </w:r>
      <w:r>
        <w:rPr>
          <w:sz w:val="20"/>
          <w:szCs w:val="20"/>
          <w:color w:val="auto"/>
        </w:rPr>
        <w:tab/>
      </w:r>
      <w:r>
        <w:rPr>
          <w:rFonts w:ascii="Times New Roman" w:cs="Times New Roman" w:eastAsia="Times New Roman" w:hAnsi="Times New Roman"/>
          <w:sz w:val="22"/>
          <w:szCs w:val="22"/>
          <w:b w:val="1"/>
          <w:bCs w:val="1"/>
          <w:color w:val="auto"/>
        </w:rPr>
        <w:t>Relationship</w:t>
      </w:r>
      <w:r>
        <w:rPr>
          <w:sz w:val="20"/>
          <w:szCs w:val="20"/>
          <w:color w:val="auto"/>
        </w:rPr>
        <w:tab/>
      </w:r>
      <w:r>
        <w:rPr>
          <w:rFonts w:ascii="Times New Roman" w:cs="Times New Roman" w:eastAsia="Times New Roman" w:hAnsi="Times New Roman"/>
          <w:sz w:val="21"/>
          <w:szCs w:val="21"/>
          <w:b w:val="1"/>
          <w:bCs w:val="1"/>
          <w:color w:val="auto"/>
        </w:rPr>
        <w:t>Percent of Total</w:t>
      </w:r>
    </w:p>
    <w:p>
      <w:pPr>
        <w:spacing w:after="0" w:line="2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(1)</w:t>
      </w:r>
    </w:p>
    <w:p>
      <w:pPr>
        <w:spacing w:after="0" w:line="2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beneficiary must survive me; otherwise, the Participant’s designated share is to be divided equally among the beneficiaries who do survive me.</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-13970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-13970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tab/>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-13970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-13970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652593819.7</w:t>
      </w:r>
    </w:p>
    <w:p>
      <w:pPr>
        <w:sectPr>
          <w:pgSz w:w="11900" w:h="16838" w:orient="portrait"/>
          <w:cols w:equalWidth="0" w:num="1">
            <w:col w:w="11240"/>
          </w:cols>
          <w:pgMar w:left="320" w:top="141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H2O America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F. WALTERS</w:t>
            </w:r>
          </w:p>
        </w:tc>
      </w:tr>
      <w:tr>
        <w:trPr>
          <w:trHeight w:val="218"/>
        </w:trPr>
        <w:tc>
          <w:tcPr>
            <w:tcW w:w="57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tc>
      </w:tr>
      <w:tr>
        <w:trPr>
          <w:trHeight w:val="234"/>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P. Kelly,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H2O America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 P. KELLY</w:t>
            </w:r>
          </w:p>
        </w:tc>
      </w:tr>
      <w:tr>
        <w:trPr>
          <w:trHeight w:val="218"/>
        </w:trPr>
        <w:tc>
          <w:tcPr>
            <w:tcW w:w="58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P. Kelly</w:t>
            </w:r>
          </w:p>
        </w:tc>
      </w:tr>
      <w:tr>
        <w:trPr>
          <w:trHeight w:val="230"/>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H2O America (the “Company”) on Form 10-Q for the quarter ended September 30, 2026, as filed with the Securities and Exchange Commission on the date hereof (the “Report”), I, Andrew F. Walters, Chief Executive Officer, certify, pursuant to 18 U.S.C. Section 1350, as adopted pursuant to Section 906 of the Sarbanes-Oxley Act of 2002, that to my knowledge on the date hereof:</w:t>
      </w:r>
    </w:p>
    <w:p>
      <w:pPr>
        <w:spacing w:after="0" w:line="122"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26, 2026</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H2O America (the “Company”) on Form 10-Q for the quarter ended September 30, 2026, as filed with the Securities and Exchange Commission on the date hereof (the “Report”), I, Ann P. Kelly, Chief Financial Officer and Treasurer of the Company, certify, pursuant to 18 U.S.C. Section 1350, as adopted pursuant to Section 906 of the Sarbanes-Oxley Act of 2002, that to my knowledge on the date hereof:</w:t>
      </w:r>
    </w:p>
    <w:p>
      <w:pPr>
        <w:spacing w:after="0" w:line="122"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ANN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Ann P. Kelly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26, 2026</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Letter"/>
      <w:start w:val="1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lvl w:ilvl="1">
      <w:lvlJc w:val="left"/>
      <w:lvlText w:val="%2"/>
      <w:numFmt w:val="decimal"/>
      <w:start w:val="104"/>
    </w:lvl>
  </w:abstractNum>
  <w:abstractNum w:abstractNumId="9">
    <w:nsid w:val="2901D82"/>
    <w:multiLevelType w:val="hybridMultilevel"/>
    <w:lvl w:ilvl="0">
      <w:lvlJc w:val="left"/>
      <w:lvlText w:val="(%1)"/>
      <w:numFmt w:val="decimal"/>
      <w:start w:val="1"/>
    </w:lvl>
    <w:lvl w:ilvl="1">
      <w:lvlJc w:val="left"/>
      <w:lvlText w:val="%2"/>
      <w:numFmt w:val="decimal"/>
      <w:start w:val="1"/>
    </w:lvl>
  </w:abstractNum>
  <w:abstractNum w:abstractNumId="10">
    <w:nsid w:val="3A95F874"/>
    <w:multiLevelType w:val="hybridMultilevel"/>
    <w:lvl w:ilvl="0">
      <w:lvlJc w:val="left"/>
      <w:lvlText w:val="%1."/>
      <w:numFmt w:val="upperLetter"/>
      <w:start w:val="9"/>
    </w:lvl>
    <w:lvl w:ilvl="1">
      <w:lvlJc w:val="left"/>
      <w:lvlText w:val="%2"/>
      <w:numFmt w:val="upperLetter"/>
      <w:start w:val="1"/>
    </w:lvl>
  </w:abstractNum>
  <w:abstractNum w:abstractNumId="11">
    <w:nsid w:val="8138641"/>
    <w:multiLevelType w:val="hybridMultilevel"/>
    <w:lvl w:ilvl="0">
      <w:lvlJc w:val="left"/>
      <w:lvlText w:val="%1"/>
      <w:numFmt w:val="decimal"/>
      <w:start w:val="1"/>
    </w:lvl>
    <w:lvl w:ilvl="1">
      <w:lvlJc w:val="left"/>
      <w:lvlText w:val="%2."/>
      <w:numFmt w:val="upperLetter"/>
      <w:start w:val="2"/>
    </w:lvl>
  </w:abstractNum>
  <w:abstractNum w:abstractNumId="12">
    <w:nsid w:val="1E7FF521"/>
    <w:multiLevelType w:val="hybridMultilevel"/>
    <w:lvl w:ilvl="0">
      <w:lvlJc w:val="left"/>
      <w:lvlText w:val="%1."/>
      <w:numFmt w:val="decimal"/>
      <w:start w:val="1"/>
    </w:lvl>
    <w:lvl w:ilvl="1">
      <w:lvlJc w:val="left"/>
      <w:lvlText w:val="%2"/>
      <w:numFmt w:val="upperLetter"/>
      <w:start w:val="1"/>
    </w:lvl>
  </w:abstractNum>
  <w:abstractNum w:abstractNumId="13">
    <w:nsid w:val="7C3DBD3D"/>
    <w:multiLevelType w:val="hybridMultilevel"/>
    <w:lvl w:ilvl="0">
      <w:lvlJc w:val="left"/>
      <w:lvlText w:val="%1."/>
      <w:numFmt w:val="decimal"/>
      <w:start w:val="2"/>
    </w:lvl>
  </w:abstractNum>
  <w:abstractNum w:abstractNumId="14">
    <w:nsid w:val="737B8DDC"/>
    <w:multiLevelType w:val="hybridMultilevel"/>
    <w:lvl w:ilvl="0">
      <w:lvlJc w:val="left"/>
      <w:lvlText w:val="%1."/>
      <w:numFmt w:val="upperLetter"/>
      <w:start w:val="35"/>
    </w:lvl>
  </w:abstractNum>
  <w:abstractNum w:abstractNumId="15">
    <w:nsid w:val="6CEAF087"/>
    <w:multiLevelType w:val="hybridMultilevel"/>
    <w:lvl w:ilvl="0">
      <w:lvlJc w:val="left"/>
      <w:lvlText w:val="%1."/>
      <w:numFmt w:val="decimal"/>
      <w:start w:val="1"/>
    </w:lvl>
    <w:lvl w:ilvl="1">
      <w:lvlJc w:val="left"/>
      <w:lvlText w:val="(%2)"/>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4"/>
    </w:lvl>
    <w:lvl w:ilvl="1">
      <w:lvlJc w:val="left"/>
      <w:lvlText w:val="(%2)"/>
      <w:numFmt w:val="lowerLetter"/>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1."/>
      <w:numFmt w:val="decimal"/>
      <w:start w:val="5"/>
    </w:lvl>
    <w:lvl w:ilvl="1">
      <w:lvlJc w:val="left"/>
      <w:lvlText w:val="(%2)"/>
      <w:numFmt w:val="lowerLetter"/>
      <w:start w:val="1"/>
    </w:lvl>
  </w:abstractNum>
  <w:abstractNum w:abstractNumId="22">
    <w:nsid w:val="440BADFC"/>
    <w:multiLevelType w:val="hybridMultilevel"/>
    <w:lvl w:ilvl="0">
      <w:lvlJc w:val="left"/>
      <w:lvlText w:val="%1."/>
      <w:numFmt w:val="decimal"/>
      <w:start w:val="6"/>
    </w:lvl>
    <w:lvl w:ilvl="1">
      <w:lvlJc w:val="left"/>
      <w:lvlText w:val="(%2)"/>
      <w:numFmt w:val="lowerLetter"/>
      <w:start w:val="1"/>
    </w:lvl>
  </w:abstractNum>
  <w:abstractNum w:abstractNumId="23">
    <w:nsid w:val="5072367"/>
    <w:multiLevelType w:val="hybridMultilevel"/>
    <w:lvl w:ilvl="0">
      <w:lvlJc w:val="left"/>
      <w:lvlText w:val="(%1)"/>
      <w:numFmt w:val="lowerLetter"/>
      <w:start w:val="3"/>
    </w:lvl>
  </w:abstractNum>
  <w:abstractNum w:abstractNumId="24">
    <w:nsid w:val="3804823E"/>
    <w:multiLevelType w:val="hybridMultilevel"/>
    <w:lvl w:ilvl="0">
      <w:lvlJc w:val="left"/>
      <w:lvlText w:val="%1."/>
      <w:numFmt w:val="decimal"/>
      <w:start w:val="7"/>
    </w:lvl>
  </w:abstractNum>
  <w:abstractNum w:abstractNumId="25">
    <w:nsid w:val="77465F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7724C67E"/>
    <w:multiLevelType w:val="hybridMultilevel"/>
    <w:lvl w:ilvl="0">
      <w:lvlJc w:val="left"/>
      <w:lvlText w:val="(%1)"/>
      <w:numFmt w:val="lowerLetter"/>
      <w:start w:val="1"/>
    </w:lvl>
    <w:lvl w:ilvl="1">
      <w:lvlJc w:val="left"/>
      <w:lvlText w:val="(%2)"/>
      <w:numFmt w:val="lowerRoman"/>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9">
    <w:nsid w:val="5E884ADC"/>
    <w:multiLevelType w:val="hybridMultilevel"/>
    <w:lvl w:ilvl="0">
      <w:lvlJc w:val="left"/>
      <w:lvlText w:val="%1."/>
      <w:numFmt w:val="decimal"/>
      <w:start w:val="10"/>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6"/>
    </w:lvl>
  </w:abstractNum>
  <w:abstractNum w:abstractNumId="32">
    <w:nsid w:val="580BD78F"/>
    <w:multiLevelType w:val="hybridMultilevel"/>
    <w:lvl w:ilvl="0">
      <w:lvlJc w:val="left"/>
      <w:lvlText w:val="%1."/>
      <w:numFmt w:val="decimal"/>
      <w:start w:val="12"/>
    </w:lvl>
  </w:abstractNum>
  <w:abstractNum w:abstractNumId="33">
    <w:nsid w:val="153EA438"/>
    <w:multiLevelType w:val="hybridMultilevel"/>
    <w:lvl w:ilvl="0">
      <w:lvlJc w:val="left"/>
      <w:lvlText w:val="%1."/>
      <w:numFmt w:val="decimal"/>
      <w:start w:val="14"/>
    </w:lvl>
    <w:lvl w:ilvl="1">
      <w:lvlJc w:val="left"/>
      <w:lvlText w:val="(%2)"/>
      <w:numFmt w:val="lowerLetter"/>
      <w:start w:val="1"/>
    </w:lvl>
  </w:abstractNum>
  <w:abstractNum w:abstractNumId="34">
    <w:nsid w:val="3855585C"/>
    <w:multiLevelType w:val="hybridMultilevel"/>
    <w:lvl w:ilvl="0">
      <w:lvlJc w:val="left"/>
      <w:lvlText w:val="(%1)"/>
      <w:numFmt w:val="lowerLetter"/>
      <w:start w:val="5"/>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upperLetter"/>
      <w:start w:val="9"/>
    </w:lvl>
    <w:lvl w:ilvl="1">
      <w:lvlJc w:val="left"/>
      <w:lvlText w:val="%2."/>
      <w:numFmt w:val="upperLetter"/>
      <w:start w:val="1"/>
    </w:lvl>
  </w:abstractNum>
  <w:abstractNum w:abstractNumId="37">
    <w:nsid w:val="2A487CB0"/>
    <w:multiLevelType w:val="hybridMultilevel"/>
    <w:lvl w:ilvl="0">
      <w:lvlJc w:val="left"/>
      <w:lvlText w:val="%1."/>
      <w:numFmt w:val="upperLetter"/>
      <w:start w:val="35"/>
    </w:lvl>
  </w:abstractNum>
  <w:abstractNum w:abstractNumId="38">
    <w:nsid w:val="1D4ED43B"/>
    <w:multiLevelType w:val="hybridMultilevel"/>
    <w:lvl w:ilvl="0">
      <w:lvlJc w:val="left"/>
      <w:lvlText w:val="%1."/>
      <w:numFmt w:val="upperLetter"/>
      <w:start w:val="61"/>
    </w:lvl>
    <w:lvl w:ilvl="1">
      <w:lvlJc w:val="left"/>
      <w:lvlText w:val="%2."/>
      <w:numFmt w:val="upperLetter"/>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upperLetter"/>
      <w:start w:val="3"/>
    </w:lvl>
  </w:abstractNum>
  <w:abstractNum w:abstractNumId="41">
    <w:nsid w:val="57E4CCAF"/>
    <w:multiLevelType w:val="hybridMultilevel"/>
    <w:lvl w:ilvl="0">
      <w:lvlJc w:val="left"/>
      <w:lvlText w:val="%1."/>
      <w:numFmt w:val="upperLetter"/>
      <w:start w:val="5"/>
    </w:lvl>
  </w:abstractNum>
  <w:abstractNum w:abstractNumId="42">
    <w:nsid w:val="7A6D8D3C"/>
    <w:multiLevelType w:val="hybridMultilevel"/>
    <w:lvl w:ilvl="0">
      <w:lvlJc w:val="left"/>
      <w:lvlText w:val="%1."/>
      <w:numFmt w:val="upperLetter"/>
      <w:start w:val="1"/>
    </w:lvl>
  </w:abstractNum>
  <w:abstractNum w:abstractNumId="43">
    <w:nsid w:val="4B588F54"/>
    <w:multiLevelType w:val="hybridMultilevel"/>
    <w:lvl w:ilvl="0">
      <w:lvlJc w:val="left"/>
      <w:lvlText w:val="%1."/>
      <w:numFmt w:val="upperLetter"/>
      <w:start w:val="22"/>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2026-10-26T15:48:01Z</dcterms:created>
  <dcterms:modified xsi:type="dcterms:W3CDTF">2026-10-26T15:48:01Z</dcterms:modified>
</cp:coreProperties>
</file>