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3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43"/>
          <w:szCs w:val="43"/>
          <w:b w:val="1"/>
          <w:bCs w:val="1"/>
          <w:color w:val="auto"/>
        </w:rPr>
        <w:t>H2O America</w:t>
      </w:r>
    </w:p>
    <w:p>
      <w:pPr>
        <w:sectPr>
          <w:pgSz w:w="11900" w:h="16838" w:orient="portrait"/>
          <w:cols w:equalWidth="0" w:num="1">
            <w:col w:w="10920"/>
          </w:cols>
          <w:pgMar w:left="320" w:top="1042" w:right="659" w:bottom="1440" w:gutter="0" w:footer="0" w:header="0"/>
        </w:sectPr>
      </w:pP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44"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434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001-8966</w:t>
            </w:r>
          </w:p>
        </w:tc>
      </w:tr>
      <w:tr>
        <w:trPr>
          <w:trHeight w:val="248"/>
        </w:trPr>
        <w:tc>
          <w:tcPr>
            <w:tcW w:w="434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(Commission</w:t>
            </w:r>
          </w:p>
        </w:tc>
      </w:tr>
      <w:tr>
        <w:trPr>
          <w:trHeight w:val="279"/>
        </w:trPr>
        <w:tc>
          <w:tcPr>
            <w:tcW w:w="434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383"/>
        </w:trPr>
        <w:tc>
          <w:tcPr>
            <w:tcW w:w="43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110 West Taylor Street,  San Jose,  CA</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8"/>
        </w:trPr>
        <w:tc>
          <w:tcPr>
            <w:tcW w:w="43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36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48" w:lineRule="exact"/>
        <w:rPr>
          <w:sz w:val="24"/>
          <w:szCs w:val="24"/>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(408) 279-7800</w:t>
      </w:r>
    </w:p>
    <w:p>
      <w:pPr>
        <w:spacing w:after="0" w:line="25" w:lineRule="exact"/>
        <w:rPr>
          <w:sz w:val="24"/>
          <w:szCs w:val="24"/>
          <w:color w:val="auto"/>
        </w:rPr>
      </w:pPr>
    </w:p>
    <w:p>
      <w:pPr>
        <w:jc w:val="center"/>
        <w:ind w:left="2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77-0066628</w:t>
      </w:r>
    </w:p>
    <w:p>
      <w:pPr>
        <w:spacing w:after="0" w:line="9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6"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73" w:lineRule="exact"/>
        <w:rPr>
          <w:sz w:val="24"/>
          <w:szCs w:val="24"/>
          <w:color w:val="auto"/>
        </w:rPr>
      </w:pPr>
    </w:p>
    <w:p>
      <w:pPr>
        <w:sectPr>
          <w:pgSz w:w="11900" w:h="16838" w:orient="portrait"/>
          <w:cols w:equalWidth="0" w:num="2">
            <w:col w:w="8520" w:space="480"/>
            <w:col w:w="1920"/>
          </w:cols>
          <w:pgMar w:left="320" w:top="1042" w:right="659" w:bottom="1440" w:gutter="0" w:footer="0" w:header="0"/>
          <w:type w:val="continuous"/>
        </w:sectPr>
      </w:pPr>
    </w:p>
    <w:p>
      <w:pPr>
        <w:spacing w:after="0" w:line="86"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10"/>
        </w:trPr>
        <w:tc>
          <w:tcPr>
            <w:tcW w:w="14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77"/>
        </w:trPr>
        <w:tc>
          <w:tcPr>
            <w:tcW w:w="48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7"/>
              </w:rPr>
              <w:t>HTO</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1"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firstLine="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42" w:right="659" w:bottom="144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w:t>
      </w:r>
    </w:p>
    <w:p>
      <w:pPr>
        <w:spacing w:after="0" w:line="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Arrangements of Certain Officers.</w:t>
      </w:r>
    </w:p>
    <w:p>
      <w:pPr>
        <w:spacing w:after="0" w:line="313"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On June 10, 2026, Kristen Johnson and the Company mutually agreed that Ms. Johnson will separate from the Company, effective July 3, 2026. The Company determined the separation to be 'without cause' as defined in Ms. Johnson’s employment agreement and will pay Ms. Johnson the severance amount provided under such employment agreement subject to the terms of a severance agreement.</w:t>
      </w:r>
    </w:p>
    <w:p>
      <w:pPr>
        <w:sectPr>
          <w:pgSz w:w="11900" w:h="16838" w:orient="portrait"/>
          <w:cols w:equalWidth="0" w:num="1">
            <w:col w:w="11200"/>
          </w:cols>
          <w:pgMar w:left="320" w:top="1346" w:right="379" w:bottom="1440" w:gutter="0" w:footer="0" w:header="0"/>
        </w:sect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ectPr>
          <w:pgSz w:w="11900" w:h="16838" w:orient="portrait"/>
          <w:cols w:equalWidth="0" w:num="2">
            <w:col w:w="740" w:space="380"/>
            <w:col w:w="10080"/>
          </w:cols>
          <w:pgMar w:left="320" w:top="1346" w:right="379" w:bottom="1440" w:gutter="0" w:footer="0" w:header="0"/>
          <w:type w:val="continuous"/>
        </w:sectPr>
      </w:pPr>
    </w:p>
    <w:p>
      <w:pPr>
        <w:ind w:left="20" w:hanging="17"/>
        <w:spacing w:after="0" w:line="299" w:lineRule="auto"/>
        <w:rPr>
          <w:sz w:val="20"/>
          <w:szCs w:val="20"/>
          <w:color w:val="auto"/>
        </w:rPr>
      </w:pPr>
      <w:r>
        <w:rPr>
          <w:rFonts w:ascii="Times New Roman" w:cs="Times New Roman" w:eastAsia="Times New Roman" w:hAnsi="Times New Roman"/>
          <w:sz w:val="18"/>
          <w:szCs w:val="18"/>
          <w:b w:val="1"/>
          <w:bCs w:val="1"/>
          <w:color w:val="auto"/>
        </w:rPr>
        <w:t>(d) Exhibits Exhibit Number</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Documents</w:t>
      </w:r>
    </w:p>
    <w:p>
      <w:pPr>
        <w:spacing w:after="0" w:line="64" w:lineRule="exact"/>
        <w:rPr>
          <w:sz w:val="20"/>
          <w:szCs w:val="20"/>
          <w:color w:val="auto"/>
        </w:rPr>
      </w:pPr>
    </w:p>
    <w:p>
      <w:pPr>
        <w:sectPr>
          <w:pgSz w:w="11900" w:h="16838" w:orient="portrait"/>
          <w:cols w:equalWidth="0" w:num="2">
            <w:col w:w="1280" w:space="440"/>
            <w:col w:w="9480"/>
          </w:cols>
          <w:pgMar w:left="320" w:top="1346"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tabs are embedded within Inline XBRL document</w:t>
      </w:r>
    </w:p>
    <w:p>
      <w:pPr>
        <w:spacing w:after="0" w:line="211" w:lineRule="exact"/>
        <w:rPr>
          <w:sz w:val="20"/>
          <w:szCs w:val="20"/>
          <w:color w:val="auto"/>
        </w:rPr>
      </w:pPr>
    </w:p>
    <w:p>
      <w:pPr>
        <w:sectPr>
          <w:pgSz w:w="11900" w:h="16838" w:orient="portrait"/>
          <w:cols w:equalWidth="0" w:num="2">
            <w:col w:w="1000" w:space="720"/>
            <w:col w:w="9480"/>
          </w:cols>
          <w:pgMar w:left="320" w:top="134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H2O AMERICA</w:t>
      </w:r>
    </w:p>
    <w:p>
      <w:pPr>
        <w:spacing w:after="0" w:line="283"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8"/>
          <w:szCs w:val="18"/>
          <w:color w:val="auto"/>
        </w:rPr>
        <w:t>Dated: June 12, 2026</w:t>
      </w:r>
      <w:r>
        <w:rPr>
          <w:sz w:val="20"/>
          <w:szCs w:val="20"/>
          <w:color w:val="auto"/>
        </w:rPr>
        <w:tab/>
      </w:r>
      <w:r>
        <w:rPr>
          <w:rFonts w:ascii="Times New Roman" w:cs="Times New Roman" w:eastAsia="Times New Roman" w:hAnsi="Times New Roman"/>
          <w:sz w:val="17"/>
          <w:szCs w:val="17"/>
          <w:u w:val="single" w:color="auto"/>
          <w:color w:val="auto"/>
        </w:rPr>
        <w:t>/s/ Ann Kelly</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Ann Kelly, Chief Financial Officer and Treasurer</w:t>
      </w:r>
    </w:p>
    <w:sectPr>
      <w:pgSz w:w="11900" w:h="16838" w:orient="portrait"/>
      <w:cols w:equalWidth="0" w:num="1">
        <w:col w:w="11200"/>
      </w:cols>
      <w:pgMar w:left="320" w:top="134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2026-06-12T16:45:59Z</dcterms:created>
  <dcterms:modified xsi:type="dcterms:W3CDTF">2026-06-12T16:45:59Z</dcterms:modified>
</cp:coreProperties>
</file>