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80" w:after="283"/>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001-8966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H2O AMERICA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317"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77-0066628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110 West Taylor Street, San Jose, 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95110</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(408) 279-7800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Large accelerated filer  </w:t>
      </w:r>
      <w:r>
        <w:rPr>
          <w:color w:val="000000"/>
        </w:rPr>
        <w:t>☒                </w:t>
      </w:r>
      <w:r>
        <w:rPr>
          <w:rFonts w:ascii="Times New Roman;serif" w:hAnsi="Times New Roman;serif"/>
          <w:b w:val="false"/>
          <w:color w:val="000000"/>
          <w:sz w:val="20"/>
        </w:rPr>
        <w:t>Non-accelerated filer  </w:t>
      </w: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Accelerated filer  </w:t>
      </w:r>
      <w:r>
        <w:rPr>
          <w:color w:val="000000"/>
        </w:rPr>
        <w:t>☐                </w:t>
      </w:r>
      <w:r>
        <w:rPr>
          <w:rFonts w:ascii="Times New Roman;serif" w:hAnsi="Times New Roman;serif"/>
          <w:b w:val="false"/>
          <w:color w:val="000000"/>
          <w:sz w:val="20"/>
        </w:rPr>
        <w:t>Smaller reporting company  </w:t>
      </w:r>
      <w:r>
        <w:rPr>
          <w:color w:val="000000"/>
        </w:rPr>
        <w:t xml:space="preserve">☐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  </w:t>
      </w:r>
      <w:r>
        <w:rPr>
          <w:color w:val="000000"/>
        </w:rPr>
        <w:t>☐</w:t>
      </w:r>
    </w:p>
    <w:p>
      <w:pPr>
        <w:pStyle w:val="TextBody"/>
        <w:bidi w:val="0"/>
        <w:spacing w:lineRule="auto" w:line="288" w:before="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24, 2026, there were 41,856,804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3"/>
        <w:gridCol w:w="343"/>
        <w:gridCol w:w="343"/>
        <w:gridCol w:w="2782"/>
        <w:gridCol w:w="2782"/>
        <w:gridCol w:w="2836"/>
        <w:gridCol w:w="235"/>
        <w:gridCol w:w="201"/>
        <w:gridCol w:w="290"/>
      </w:tblGrid>
      <w:tr>
        <w:trPr/>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7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
              <w:r>
                <w:rPr>
                  <w:rStyle w:val="InternetLink"/>
                  <w:rFonts w:ascii="Times New Roman;serif" w:hAnsi="Times New Roman;serif"/>
                  <w:b w:val="false"/>
                  <w:color w:val="0000FF"/>
                  <w:sz w:val="20"/>
                  <w:u w:val="single"/>
                </w:rPr>
                <w:t>Forward-Looking Statements</w:t>
              </w:r>
            </w:hyperlink>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739e44ce03154a6eb5b7761b736783b1_10">
              <w:r>
                <w:rPr>
                  <w:rStyle w:val="InternetLink"/>
                  <w:rFonts w:ascii="Times New Roman;serif" w:hAnsi="Times New Roman;serif"/>
                  <w:b w:val="false"/>
                  <w:color w:val="0000FF"/>
                  <w:sz w:val="20"/>
                  <w:u w:val="single"/>
                </w:rPr>
                <w:t>3</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3">
              <w:r>
                <w:rPr>
                  <w:rStyle w:val="InternetLink"/>
                  <w:rFonts w:ascii="Times New Roman;serif" w:hAnsi="Times New Roman;serif"/>
                  <w:b/>
                  <w:color w:val="0000FF"/>
                  <w:sz w:val="20"/>
                  <w:u w:val="single"/>
                </w:rPr>
                <w:t>PART I</w:t>
              </w:r>
            </w:hyperlink>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6">
              <w:r>
                <w:rPr>
                  <w:rStyle w:val="InternetLink"/>
                  <w:rFonts w:ascii="Times New Roman;serif" w:hAnsi="Times New Roman;serif"/>
                  <w:b/>
                  <w:color w:val="0000FF"/>
                  <w:sz w:val="20"/>
                  <w:u w:val="single"/>
                </w:rPr>
                <w:t>FINANCIAL INFORMATION</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3">
              <w:r>
                <w:rPr>
                  <w:rStyle w:val="InternetLink"/>
                  <w:rFonts w:ascii="Times New Roman;serif" w:hAnsi="Times New Roman;serif"/>
                  <w:b/>
                  <w:color w:val="0000FF"/>
                  <w:sz w:val="20"/>
                  <w:u w:val="single"/>
                </w:rPr>
                <w:t>4</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6">
              <w:r>
                <w:rPr>
                  <w:rStyle w:val="InternetLink"/>
                  <w:rFonts w:ascii="Times New Roman;serif" w:hAnsi="Times New Roman;serif"/>
                  <w:b w:val="false"/>
                  <w:color w:val="0000FF"/>
                  <w:sz w:val="20"/>
                  <w:u w:val="single"/>
                </w:rPr>
                <w:t>Item 1.</w:t>
              </w:r>
            </w:hyperlink>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6">
              <w:r>
                <w:rPr>
                  <w:rStyle w:val="InternetLink"/>
                  <w:rFonts w:ascii="Times New Roman;serif" w:hAnsi="Times New Roman;serif"/>
                  <w:b w:val="false"/>
                  <w:color w:val="0000FF"/>
                  <w:sz w:val="20"/>
                  <w:u w:val="single"/>
                </w:rPr>
                <w:t>Financial Statements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6">
              <w:r>
                <w:rPr>
                  <w:rStyle w:val="InternetLink"/>
                  <w:rFonts w:ascii="Times New Roman;serif" w:hAnsi="Times New Roman;serif"/>
                  <w:b w:val="false"/>
                  <w:color w:val="0000FF"/>
                  <w:sz w:val="20"/>
                  <w:u w:val="single"/>
                </w:rPr>
                <w:t>4</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9">
              <w:r>
                <w:rPr>
                  <w:rStyle w:val="InternetLink"/>
                  <w:rFonts w:ascii="Times New Roman;serif" w:hAnsi="Times New Roman;serif"/>
                  <w:b w:val="false"/>
                  <w:color w:val="000080"/>
                  <w:sz w:val="20"/>
                  <w:u w:val="single"/>
                </w:rPr>
                <w:t xml:space="preserve">Condensed Consolidated Statements of Comprehensive Income (unaudited) for the Three Months </w:t>
              </w:r>
            </w:hyperlink>
            <w:hyperlink w:anchor="i739e44ce03154a6eb5b7761b736783b1_19">
              <w:r>
                <w:rPr>
                  <w:rStyle w:val="InternetLink"/>
                  <w:rFonts w:ascii="Times New Roman;serif" w:hAnsi="Times New Roman;serif"/>
                  <w:b w:val="false"/>
                  <w:color w:val="000080"/>
                  <w:sz w:val="20"/>
                  <w:u w:val="single"/>
                </w:rPr>
                <w:t xml:space="preserve">and Six Months </w:t>
              </w:r>
            </w:hyperlink>
            <w:hyperlink w:anchor="i739e44ce03154a6eb5b7761b736783b1_19">
              <w:r>
                <w:rPr>
                  <w:rStyle w:val="InternetLink"/>
                  <w:rFonts w:ascii="Times New Roman;serif" w:hAnsi="Times New Roman;serif"/>
                  <w:b w:val="false"/>
                  <w:color w:val="000080"/>
                  <w:sz w:val="20"/>
                  <w:u w:val="single"/>
                </w:rPr>
                <w:t xml:space="preserve">Ended </w:t>
              </w:r>
            </w:hyperlink>
            <w:hyperlink w:anchor="i739e44ce03154a6eb5b7761b736783b1_19">
              <w:r>
                <w:rPr>
                  <w:rStyle w:val="InternetLink"/>
                  <w:rFonts w:ascii="Times New Roman;serif" w:hAnsi="Times New Roman;serif"/>
                  <w:b w:val="false"/>
                  <w:color w:val="000080"/>
                  <w:sz w:val="20"/>
                  <w:u w:val="single"/>
                </w:rPr>
                <w:t xml:space="preserve">June </w:t>
              </w:r>
            </w:hyperlink>
            <w:hyperlink w:anchor="i739e44ce03154a6eb5b7761b736783b1_19">
              <w:r>
                <w:rPr>
                  <w:rStyle w:val="InternetLink"/>
                  <w:rFonts w:ascii="Times New Roman;serif" w:hAnsi="Times New Roman;serif"/>
                  <w:b w:val="false"/>
                  <w:color w:val="000080"/>
                  <w:sz w:val="20"/>
                  <w:u w:val="single"/>
                </w:rPr>
                <w:t>30</w:t>
              </w:r>
            </w:hyperlink>
            <w:hyperlink w:anchor="i739e44ce03154a6eb5b7761b736783b1_19">
              <w:r>
                <w:rPr>
                  <w:rStyle w:val="InternetLink"/>
                  <w:rFonts w:ascii="Times New Roman;serif" w:hAnsi="Times New Roman;serif"/>
                  <w:b w:val="false"/>
                  <w:color w:val="000080"/>
                  <w:sz w:val="20"/>
                  <w:u w:val="single"/>
                </w:rPr>
                <w:t>, 2026 and 2025</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9">
              <w:r>
                <w:rPr>
                  <w:rStyle w:val="InternetLink"/>
                  <w:rFonts w:ascii="Times New Roman;serif" w:hAnsi="Times New Roman;serif"/>
                  <w:b w:val="false"/>
                  <w:color w:val="0000FF"/>
                  <w:sz w:val="20"/>
                  <w:u w:val="single"/>
                </w:rPr>
                <w:t>4</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22">
              <w:r>
                <w:rPr>
                  <w:rStyle w:val="InternetLink"/>
                  <w:rFonts w:ascii="Times New Roman;serif" w:hAnsi="Times New Roman;serif"/>
                  <w:b w:val="false"/>
                  <w:color w:val="000080"/>
                  <w:sz w:val="20"/>
                  <w:u w:val="single"/>
                </w:rPr>
                <w:t xml:space="preserve">Condensed Consolidated Balance Sheets (unaudited) as of </w:t>
              </w:r>
            </w:hyperlink>
            <w:hyperlink w:anchor="i739e44ce03154a6eb5b7761b736783b1_22">
              <w:r>
                <w:rPr>
                  <w:rStyle w:val="InternetLink"/>
                  <w:rFonts w:ascii="Times New Roman;serif" w:hAnsi="Times New Roman;serif"/>
                  <w:b w:val="false"/>
                  <w:color w:val="000080"/>
                  <w:sz w:val="20"/>
                  <w:u w:val="single"/>
                </w:rPr>
                <w:t>June 30</w:t>
              </w:r>
            </w:hyperlink>
            <w:hyperlink w:anchor="i739e44ce03154a6eb5b7761b736783b1_22">
              <w:r>
                <w:rPr>
                  <w:rStyle w:val="InternetLink"/>
                  <w:rFonts w:ascii="Times New Roman;serif" w:hAnsi="Times New Roman;serif"/>
                  <w:b w:val="false"/>
                  <w:color w:val="000080"/>
                  <w:sz w:val="20"/>
                  <w:u w:val="single"/>
                </w:rPr>
                <w:t>, 2026 and December 31, 2025</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22">
              <w:r>
                <w:rPr>
                  <w:rStyle w:val="InternetLink"/>
                  <w:rFonts w:ascii="Times New Roman;serif" w:hAnsi="Times New Roman;serif"/>
                  <w:b w:val="false"/>
                  <w:color w:val="0000FF"/>
                  <w:sz w:val="20"/>
                  <w:u w:val="single"/>
                </w:rPr>
                <w:t>5</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25">
              <w:r>
                <w:rPr>
                  <w:rStyle w:val="InternetLink"/>
                  <w:rFonts w:ascii="Times New Roman;serif" w:hAnsi="Times New Roman;serif"/>
                  <w:b w:val="false"/>
                  <w:color w:val="000080"/>
                  <w:sz w:val="20"/>
                  <w:u w:val="single"/>
                </w:rPr>
                <w:t xml:space="preserve">Condensed Consolidated Statements of Changes in Stockholders’ Equity (unaudited) for the Three Months </w:t>
              </w:r>
            </w:hyperlink>
            <w:hyperlink w:anchor="i739e44ce03154a6eb5b7761b736783b1_25">
              <w:r>
                <w:rPr>
                  <w:rStyle w:val="InternetLink"/>
                  <w:rFonts w:ascii="Times New Roman;serif" w:hAnsi="Times New Roman;serif"/>
                  <w:b w:val="false"/>
                  <w:color w:val="000080"/>
                  <w:sz w:val="20"/>
                  <w:u w:val="single"/>
                </w:rPr>
                <w:t xml:space="preserve">and Six Months </w:t>
              </w:r>
            </w:hyperlink>
            <w:hyperlink w:anchor="i739e44ce03154a6eb5b7761b736783b1_25">
              <w:r>
                <w:rPr>
                  <w:rStyle w:val="InternetLink"/>
                  <w:rFonts w:ascii="Times New Roman;serif" w:hAnsi="Times New Roman;serif"/>
                  <w:b w:val="false"/>
                  <w:color w:val="000080"/>
                  <w:sz w:val="20"/>
                  <w:u w:val="single"/>
                </w:rPr>
                <w:t xml:space="preserve">Ended </w:t>
              </w:r>
            </w:hyperlink>
            <w:hyperlink w:anchor="i739e44ce03154a6eb5b7761b736783b1_25">
              <w:r>
                <w:rPr>
                  <w:rStyle w:val="InternetLink"/>
                  <w:rFonts w:ascii="Times New Roman;serif" w:hAnsi="Times New Roman;serif"/>
                  <w:b w:val="false"/>
                  <w:color w:val="000080"/>
                  <w:sz w:val="20"/>
                  <w:u w:val="single"/>
                </w:rPr>
                <w:t>June 30</w:t>
              </w:r>
            </w:hyperlink>
            <w:hyperlink w:anchor="i739e44ce03154a6eb5b7761b736783b1_25">
              <w:r>
                <w:rPr>
                  <w:rStyle w:val="InternetLink"/>
                  <w:rFonts w:ascii="Times New Roman;serif" w:hAnsi="Times New Roman;serif"/>
                  <w:b w:val="false"/>
                  <w:color w:val="000080"/>
                  <w:sz w:val="20"/>
                  <w:u w:val="single"/>
                </w:rPr>
                <w:t>, 2026 and 2025</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25">
              <w:r>
                <w:rPr>
                  <w:rStyle w:val="InternetLink"/>
                  <w:rFonts w:ascii="Times New Roman;serif" w:hAnsi="Times New Roman;serif"/>
                  <w:b w:val="false"/>
                  <w:color w:val="0000FF"/>
                  <w:sz w:val="20"/>
                  <w:u w:val="single"/>
                </w:rPr>
                <w:t>7</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28">
              <w:r>
                <w:rPr>
                  <w:rStyle w:val="InternetLink"/>
                  <w:rFonts w:ascii="Times New Roman;serif" w:hAnsi="Times New Roman;serif"/>
                  <w:b w:val="false"/>
                  <w:color w:val="000080"/>
                  <w:sz w:val="20"/>
                  <w:u w:val="single"/>
                </w:rPr>
                <w:t xml:space="preserve">Condensed Consolidated Statements of Cash Flows (unaudited) for the </w:t>
              </w:r>
            </w:hyperlink>
            <w:hyperlink w:anchor="i739e44ce03154a6eb5b7761b736783b1_28">
              <w:r>
                <w:rPr>
                  <w:rStyle w:val="InternetLink"/>
                  <w:rFonts w:ascii="Times New Roman;serif" w:hAnsi="Times New Roman;serif"/>
                  <w:b w:val="false"/>
                  <w:color w:val="000080"/>
                  <w:sz w:val="20"/>
                  <w:u w:val="single"/>
                </w:rPr>
                <w:t xml:space="preserve">Six Months </w:t>
              </w:r>
            </w:hyperlink>
            <w:hyperlink w:anchor="i739e44ce03154a6eb5b7761b736783b1_28">
              <w:r>
                <w:rPr>
                  <w:rStyle w:val="InternetLink"/>
                  <w:rFonts w:ascii="Times New Roman;serif" w:hAnsi="Times New Roman;serif"/>
                  <w:b w:val="false"/>
                  <w:color w:val="000080"/>
                  <w:sz w:val="20"/>
                  <w:u w:val="single"/>
                </w:rPr>
                <w:t xml:space="preserve">Ended </w:t>
              </w:r>
            </w:hyperlink>
            <w:hyperlink w:anchor="i739e44ce03154a6eb5b7761b736783b1_28">
              <w:r>
                <w:rPr>
                  <w:rStyle w:val="InternetLink"/>
                  <w:rFonts w:ascii="Times New Roman;serif" w:hAnsi="Times New Roman;serif"/>
                  <w:b w:val="false"/>
                  <w:color w:val="000080"/>
                  <w:sz w:val="20"/>
                  <w:u w:val="single"/>
                </w:rPr>
                <w:t>June 30</w:t>
              </w:r>
            </w:hyperlink>
            <w:hyperlink w:anchor="i739e44ce03154a6eb5b7761b736783b1_28">
              <w:r>
                <w:rPr>
                  <w:rStyle w:val="InternetLink"/>
                  <w:rFonts w:ascii="Times New Roman;serif" w:hAnsi="Times New Roman;serif"/>
                  <w:b w:val="false"/>
                  <w:color w:val="000080"/>
                  <w:sz w:val="20"/>
                  <w:u w:val="single"/>
                </w:rPr>
                <w:t>, 2026 and 2025</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28">
              <w:r>
                <w:rPr>
                  <w:rStyle w:val="InternetLink"/>
                  <w:rFonts w:ascii="Times New Roman;serif" w:hAnsi="Times New Roman;serif"/>
                  <w:b w:val="false"/>
                  <w:color w:val="0000FF"/>
                  <w:sz w:val="20"/>
                  <w:u w:val="single"/>
                </w:rPr>
                <w:t>8</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31">
              <w:r>
                <w:rPr>
                  <w:rStyle w:val="InternetLink"/>
                  <w:rFonts w:ascii="Times New Roman;serif" w:hAnsi="Times New Roman;serif"/>
                  <w:b w:val="false"/>
                  <w:color w:val="0000FF"/>
                  <w:sz w:val="20"/>
                  <w:u w:val="single"/>
                </w:rPr>
                <w:t>Notes to Unaudited Condensed Consolidated Financial Statements</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31">
              <w:r>
                <w:rPr>
                  <w:rStyle w:val="InternetLink"/>
                  <w:rFonts w:ascii="Times New Roman;serif" w:hAnsi="Times New Roman;serif"/>
                  <w:b w:val="false"/>
                  <w:color w:val="0000FF"/>
                  <w:sz w:val="20"/>
                  <w:u w:val="single"/>
                </w:rPr>
                <w:t>9</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70">
              <w:r>
                <w:rPr>
                  <w:rStyle w:val="InternetLink"/>
                  <w:rFonts w:ascii="Times New Roman;serif" w:hAnsi="Times New Roman;serif"/>
                  <w:b w:val="false"/>
                  <w:color w:val="0000FF"/>
                  <w:sz w:val="20"/>
                  <w:u w:val="single"/>
                </w:rPr>
                <w:t>Item 2.</w:t>
              </w:r>
            </w:hyperlink>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70">
              <w:r>
                <w:rPr>
                  <w:rStyle w:val="InternetLink"/>
                  <w:rFonts w:ascii="Times New Roman;serif" w:hAnsi="Times New Roman;serif"/>
                  <w:b w:val="false"/>
                  <w:color w:val="0000FF"/>
                  <w:sz w:val="20"/>
                  <w:u w:val="single"/>
                </w:rPr>
                <w:t>23</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94">
              <w:r>
                <w:rPr>
                  <w:rStyle w:val="InternetLink"/>
                  <w:rFonts w:ascii="Times New Roman;serif" w:hAnsi="Times New Roman;serif"/>
                  <w:b w:val="false"/>
                  <w:color w:val="0000FF"/>
                  <w:sz w:val="20"/>
                  <w:u w:val="single"/>
                </w:rPr>
                <w:t>Item 3.</w:t>
              </w:r>
            </w:hyperlink>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94">
              <w:r>
                <w:rPr>
                  <w:rStyle w:val="InternetLink"/>
                  <w:rFonts w:ascii="Times New Roman;serif" w:hAnsi="Times New Roman;serif"/>
                  <w:b w:val="false"/>
                  <w:color w:val="0000FF"/>
                  <w:sz w:val="20"/>
                  <w:u w:val="single"/>
                </w:rPr>
                <w:t>Quantitative and Qualitative Disclosures About Market Risk</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94">
              <w:r>
                <w:rPr>
                  <w:rStyle w:val="InternetLink"/>
                  <w:rFonts w:ascii="Times New Roman;serif" w:hAnsi="Times New Roman;serif"/>
                  <w:b w:val="false"/>
                  <w:color w:val="0000FF"/>
                  <w:sz w:val="20"/>
                  <w:u w:val="single"/>
                </w:rPr>
                <w:t>33</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97">
              <w:r>
                <w:rPr>
                  <w:rStyle w:val="InternetLink"/>
                  <w:rFonts w:ascii="Times New Roman;serif" w:hAnsi="Times New Roman;serif"/>
                  <w:b w:val="false"/>
                  <w:color w:val="0000FF"/>
                  <w:sz w:val="20"/>
                  <w:u w:val="single"/>
                </w:rPr>
                <w:t>Item 4</w:t>
              </w:r>
            </w:hyperlink>
            <w:r>
              <w:rPr>
                <w:rFonts w:ascii="Times New Roman;serif" w:hAnsi="Times New Roman;serif"/>
                <w:b w:val="false"/>
                <w:color w:val="000000"/>
                <w:sz w:val="20"/>
              </w:rPr>
              <w:t>.</w:t>
            </w:r>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97">
              <w:r>
                <w:rPr>
                  <w:rStyle w:val="InternetLink"/>
                  <w:rFonts w:ascii="Times New Roman;serif" w:hAnsi="Times New Roman;serif"/>
                  <w:b w:val="false"/>
                  <w:color w:val="0000FF"/>
                  <w:sz w:val="20"/>
                  <w:u w:val="single"/>
                </w:rPr>
                <w:t>Controls and Procedures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97">
              <w:r>
                <w:rPr>
                  <w:rStyle w:val="InternetLink"/>
                  <w:rFonts w:ascii="Times New Roman;serif" w:hAnsi="Times New Roman;serif"/>
                  <w:b w:val="false"/>
                  <w:color w:val="0000FF"/>
                  <w:sz w:val="20"/>
                  <w:u w:val="single"/>
                </w:rPr>
                <w:t>33</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0">
              <w:r>
                <w:rPr>
                  <w:rStyle w:val="InternetLink"/>
                  <w:rFonts w:ascii="Times New Roman;serif" w:hAnsi="Times New Roman;serif"/>
                  <w:b/>
                  <w:color w:val="0000FF"/>
                  <w:sz w:val="20"/>
                  <w:u w:val="single"/>
                </w:rPr>
                <w:t>PART II</w:t>
              </w:r>
            </w:hyperlink>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0">
              <w:r>
                <w:rPr>
                  <w:rStyle w:val="InternetLink"/>
                  <w:rFonts w:ascii="Times New Roman;serif" w:hAnsi="Times New Roman;serif"/>
                  <w:b/>
                  <w:color w:val="0000FF"/>
                  <w:sz w:val="20"/>
                  <w:u w:val="single"/>
                </w:rPr>
                <w:t>OTHER INFORMATION</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00">
              <w:r>
                <w:rPr>
                  <w:rStyle w:val="InternetLink"/>
                  <w:rFonts w:ascii="Times New Roman;serif" w:hAnsi="Times New Roman;serif"/>
                  <w:b/>
                  <w:color w:val="0000FF"/>
                  <w:sz w:val="20"/>
                  <w:u w:val="single"/>
                </w:rPr>
                <w:t>35</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3">
              <w:r>
                <w:rPr>
                  <w:rStyle w:val="InternetLink"/>
                  <w:rFonts w:ascii="Times New Roman;serif" w:hAnsi="Times New Roman;serif"/>
                  <w:b w:val="false"/>
                  <w:color w:val="0000FF"/>
                  <w:sz w:val="20"/>
                  <w:u w:val="single"/>
                </w:rPr>
                <w:t>Item 1.</w:t>
              </w:r>
            </w:hyperlink>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3">
              <w:r>
                <w:rPr>
                  <w:rStyle w:val="InternetLink"/>
                  <w:rFonts w:ascii="Times New Roman;serif" w:hAnsi="Times New Roman;serif"/>
                  <w:b w:val="false"/>
                  <w:color w:val="0000FF"/>
                  <w:sz w:val="20"/>
                  <w:u w:val="single"/>
                </w:rPr>
                <w:t>Legal Proceedings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03">
              <w:r>
                <w:rPr>
                  <w:rStyle w:val="InternetLink"/>
                  <w:rFonts w:ascii="Times New Roman;serif" w:hAnsi="Times New Roman;serif"/>
                  <w:b w:val="false"/>
                  <w:color w:val="0000FF"/>
                  <w:sz w:val="20"/>
                  <w:u w:val="single"/>
                </w:rPr>
                <w:t>35</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6">
              <w:r>
                <w:rPr>
                  <w:rStyle w:val="InternetLink"/>
                  <w:rFonts w:ascii="Times New Roman;serif" w:hAnsi="Times New Roman;serif"/>
                  <w:b w:val="false"/>
                  <w:color w:val="0000FF"/>
                  <w:sz w:val="20"/>
                  <w:u w:val="single"/>
                </w:rPr>
                <w:t>Item 1A.</w:t>
              </w:r>
            </w:hyperlink>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6">
              <w:r>
                <w:rPr>
                  <w:rStyle w:val="InternetLink"/>
                  <w:rFonts w:ascii="Times New Roman;serif" w:hAnsi="Times New Roman;serif"/>
                  <w:b w:val="false"/>
                  <w:color w:val="0000FF"/>
                  <w:sz w:val="20"/>
                  <w:u w:val="single"/>
                </w:rPr>
                <w:t>Risk Factors</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06">
              <w:r>
                <w:rPr>
                  <w:rStyle w:val="InternetLink"/>
                  <w:rFonts w:ascii="Times New Roman;serif" w:hAnsi="Times New Roman;serif"/>
                  <w:b w:val="false"/>
                  <w:color w:val="0000FF"/>
                  <w:sz w:val="20"/>
                  <w:u w:val="single"/>
                </w:rPr>
                <w:t>35</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9">
              <w:r>
                <w:rPr>
                  <w:rStyle w:val="InternetLink"/>
                  <w:rFonts w:ascii="Times New Roman;serif" w:hAnsi="Times New Roman;serif"/>
                  <w:b w:val="false"/>
                  <w:color w:val="0000FF"/>
                  <w:sz w:val="20"/>
                  <w:u w:val="single"/>
                </w:rPr>
                <w:t>Item 2.</w:t>
              </w:r>
            </w:hyperlink>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09">
              <w:r>
                <w:rPr>
                  <w:rStyle w:val="InternetLink"/>
                  <w:rFonts w:ascii="Times New Roman;serif" w:hAnsi="Times New Roman;serif"/>
                  <w:b w:val="false"/>
                  <w:color w:val="0000FF"/>
                  <w:sz w:val="20"/>
                  <w:u w:val="single"/>
                </w:rPr>
                <w:t>Unregistered Sales of Equity Securities and Use of Proceeds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09">
              <w:r>
                <w:rPr>
                  <w:rStyle w:val="InternetLink"/>
                  <w:rFonts w:ascii="Times New Roman;serif" w:hAnsi="Times New Roman;serif"/>
                  <w:b w:val="false"/>
                  <w:color w:val="0000FF"/>
                  <w:sz w:val="20"/>
                  <w:u w:val="single"/>
                </w:rPr>
                <w:t>35</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12">
              <w:r>
                <w:rPr>
                  <w:rStyle w:val="InternetLink"/>
                  <w:rFonts w:ascii="Times New Roman;serif" w:hAnsi="Times New Roman;serif"/>
                  <w:b w:val="false"/>
                  <w:color w:val="0000FF"/>
                  <w:sz w:val="20"/>
                  <w:u w:val="single"/>
                </w:rPr>
                <w:t>Item 3.</w:t>
              </w:r>
            </w:hyperlink>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12">
              <w:r>
                <w:rPr>
                  <w:rStyle w:val="InternetLink"/>
                  <w:rFonts w:ascii="Times New Roman;serif" w:hAnsi="Times New Roman;serif"/>
                  <w:b w:val="false"/>
                  <w:color w:val="0000FF"/>
                  <w:sz w:val="20"/>
                  <w:u w:val="single"/>
                </w:rPr>
                <w:t>Defaults Upon Senior Securities</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12">
              <w:r>
                <w:rPr>
                  <w:rStyle w:val="InternetLink"/>
                  <w:rFonts w:ascii="Times New Roman;serif" w:hAnsi="Times New Roman;serif"/>
                  <w:b w:val="false"/>
                  <w:color w:val="0000FF"/>
                  <w:sz w:val="20"/>
                  <w:u w:val="single"/>
                </w:rPr>
                <w:t>35</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15">
              <w:r>
                <w:rPr>
                  <w:rStyle w:val="InternetLink"/>
                  <w:rFonts w:ascii="Times New Roman;serif" w:hAnsi="Times New Roman;serif"/>
                  <w:b w:val="false"/>
                  <w:color w:val="0000FF"/>
                  <w:sz w:val="20"/>
                  <w:u w:val="single"/>
                </w:rPr>
                <w:t>Item 4.</w:t>
              </w:r>
            </w:hyperlink>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15">
              <w:r>
                <w:rPr>
                  <w:rStyle w:val="InternetLink"/>
                  <w:rFonts w:ascii="Times New Roman;serif" w:hAnsi="Times New Roman;serif"/>
                  <w:b w:val="false"/>
                  <w:color w:val="0000FF"/>
                  <w:sz w:val="20"/>
                  <w:u w:val="single"/>
                </w:rPr>
                <w:t>Mine Safety Disclosures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15">
              <w:r>
                <w:rPr>
                  <w:rStyle w:val="InternetLink"/>
                  <w:rFonts w:ascii="Times New Roman;serif" w:hAnsi="Times New Roman;serif"/>
                  <w:b w:val="false"/>
                  <w:color w:val="0000FF"/>
                  <w:sz w:val="20"/>
                  <w:u w:val="single"/>
                </w:rPr>
                <w:t>35</w:t>
              </w:r>
            </w:hyperlink>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18">
              <w:r>
                <w:rPr>
                  <w:rStyle w:val="InternetLink"/>
                  <w:rFonts w:ascii="Times New Roman;serif" w:hAnsi="Times New Roman;serif"/>
                  <w:b w:val="false"/>
                  <w:color w:val="0000FF"/>
                  <w:sz w:val="20"/>
                  <w:u w:val="single"/>
                </w:rPr>
                <w:t>Item 5.</w:t>
              </w:r>
            </w:hyperlink>
          </w:p>
        </w:tc>
        <w:tc>
          <w:tcPr>
            <w:tcW w:w="8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18">
              <w:r>
                <w:rPr>
                  <w:rStyle w:val="InternetLink"/>
                  <w:rFonts w:ascii="Times New Roman;serif" w:hAnsi="Times New Roman;serif"/>
                  <w:b w:val="false"/>
                  <w:color w:val="0000FF"/>
                  <w:sz w:val="20"/>
                  <w:u w:val="single"/>
                </w:rPr>
                <w:t>Other Information</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18">
              <w:r>
                <w:rPr>
                  <w:rStyle w:val="InternetLink"/>
                  <w:rFonts w:ascii="Times New Roman;serif" w:hAnsi="Times New Roman;serif"/>
                  <w:b w:val="false"/>
                  <w:color w:val="0000FF"/>
                  <w:sz w:val="20"/>
                  <w:u w:val="single"/>
                </w:rPr>
                <w:t>36</w:t>
              </w:r>
            </w:hyperlink>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21">
              <w:r>
                <w:rPr>
                  <w:rStyle w:val="InternetLink"/>
                  <w:rFonts w:ascii="Times New Roman;serif" w:hAnsi="Times New Roman;serif"/>
                  <w:b w:val="false"/>
                  <w:color w:val="0000FF"/>
                  <w:sz w:val="20"/>
                  <w:u w:val="single"/>
                </w:rPr>
                <w:t>Item 6.</w:t>
              </w:r>
            </w:hyperlink>
          </w:p>
        </w:tc>
        <w:tc>
          <w:tcPr>
            <w:tcW w:w="8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21">
              <w:r>
                <w:rPr>
                  <w:rStyle w:val="InternetLink"/>
                  <w:rFonts w:ascii="Times New Roman;serif" w:hAnsi="Times New Roman;serif"/>
                  <w:b w:val="false"/>
                  <w:color w:val="0000FF"/>
                  <w:sz w:val="20"/>
                  <w:u w:val="single"/>
                </w:rPr>
                <w:t>Exhibits</w:t>
              </w:r>
            </w:hyperlink>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21">
              <w:r>
                <w:rPr>
                  <w:rStyle w:val="InternetLink"/>
                  <w:rFonts w:ascii="Times New Roman;serif" w:hAnsi="Times New Roman;serif"/>
                  <w:b w:val="false"/>
                  <w:color w:val="0000FF"/>
                  <w:sz w:val="20"/>
                  <w:u w:val="single"/>
                </w:rPr>
                <w:t>37</w:t>
              </w:r>
            </w:hyperlink>
          </w:p>
        </w:tc>
      </w:tr>
      <w:tr>
        <w:trPr/>
        <w:tc>
          <w:tcPr>
            <w:tcW w:w="947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9e44ce03154a6eb5b7761b736783b1_124">
              <w:r>
                <w:rPr>
                  <w:rStyle w:val="InternetLink"/>
                  <w:rFonts w:ascii="Times New Roman;serif" w:hAnsi="Times New Roman;serif"/>
                  <w:b w:val="false"/>
                  <w:color w:val="0000FF"/>
                  <w:sz w:val="20"/>
                  <w:u w:val="single"/>
                </w:rPr>
                <w:t>Signatures</w:t>
              </w:r>
            </w:hyperlink>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9e44ce03154a6eb5b7761b736783b1_124">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1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accuracy of such statements is subject to a number of risks, uncertainties and assumptions including, but not limited to, the following factors: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the risks associated with the proposed transactions with Quadvest, L.P., a Texas limited partnership and Quadvest Wholesale, LLC, a Texas limited liability company (together, “Quadvest”), including the risk of the proposed transactions not closing on the anticipated timeline, or at all, the ability to obtain required regulatory approvals, and the ability to successfully integrate Quadvest’s operations and realize the projected financial and other benefits of the proposed transactions;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per- and polyfluoroalkyl substances (“PFAS”) and other decisions;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changes in demand for water and other services;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unanticipated weather conditions and changes in seasonality including those affecting water supply and customer usage;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effect of the impacts of climate change;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unexpected costs, charges or expenses;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our ability to successfully evaluate investments in new business and growth initiatives;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contamination of our water supplies and damage or failure of our water equipment and infrastructure;</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risk of work stoppages, strikes and other labor-related actions;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catastrophic events such as fires, earthquakes, explosions, floods, ice storms, tornadoes, hurricanes, terrorist acts, physical attacks, cyber-attacks, epidemic, or other similar occurrences;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changes in general economic, political, business and financial market conditions;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legislative and general market and economic developments.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These risks, uncertainties and other factors may cause the actual results, performance or achievements of H2O America to be materially different from any future results, performance or achievements expressed or implied by such forward-looking statements.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72"/>
        <w:gridCol w:w="1231"/>
        <w:gridCol w:w="1240"/>
        <w:gridCol w:w="259"/>
        <w:gridCol w:w="990"/>
        <w:gridCol w:w="130"/>
        <w:gridCol w:w="130"/>
        <w:gridCol w:w="130"/>
        <w:gridCol w:w="130"/>
        <w:gridCol w:w="540"/>
        <w:gridCol w:w="541"/>
        <w:gridCol w:w="156"/>
        <w:gridCol w:w="109"/>
        <w:gridCol w:w="109"/>
        <w:gridCol w:w="109"/>
        <w:gridCol w:w="236"/>
        <w:gridCol w:w="914"/>
        <w:gridCol w:w="120"/>
        <w:gridCol w:w="120"/>
        <w:gridCol w:w="120"/>
        <w:gridCol w:w="120"/>
        <w:gridCol w:w="540"/>
        <w:gridCol w:w="541"/>
        <w:gridCol w:w="218"/>
      </w:tblGrid>
      <w:tr>
        <w:trPr/>
        <w:tc>
          <w:tcPr>
            <w:tcW w:w="147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extraction charges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production expenses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non-service credit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Dividends per share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Basic</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41,851,524 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39,900,622 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34,280,727 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42,865,195 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34,860,349 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40,897,868 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34,367,212 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30"/>
        <w:gridCol w:w="2267"/>
        <w:gridCol w:w="2269"/>
        <w:gridCol w:w="211"/>
        <w:gridCol w:w="976"/>
        <w:gridCol w:w="109"/>
        <w:gridCol w:w="109"/>
        <w:gridCol w:w="109"/>
        <w:gridCol w:w="109"/>
        <w:gridCol w:w="487"/>
        <w:gridCol w:w="489"/>
        <w:gridCol w:w="440"/>
      </w:tblGrid>
      <w:tr>
        <w:trPr/>
        <w:tc>
          <w:tcPr>
            <w:tcW w:w="263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4,688,644 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5,054,199 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1,120,232 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3,933,967 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Nonutility properties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nonutility properties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net of allowances for credit losses of $760 and $722 on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unbilled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regulatory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1,023,426 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0"/>
        <w:gridCol w:w="2280"/>
        <w:gridCol w:w="2291"/>
        <w:gridCol w:w="211"/>
        <w:gridCol w:w="976"/>
        <w:gridCol w:w="109"/>
        <w:gridCol w:w="109"/>
        <w:gridCol w:w="109"/>
        <w:gridCol w:w="109"/>
        <w:gridCol w:w="488"/>
        <w:gridCol w:w="488"/>
        <w:gridCol w:w="415"/>
      </w:tblGrid>
      <w:tr>
        <w:trPr/>
        <w:tc>
          <w:tcPr>
            <w:tcW w:w="26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70,000,000 shares; 41,852,853 issued and outstanding shares on June 30, 2026 and 36,118,242 on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958,188 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581,080 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1,540,771 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1,866,819 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3,407,590 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regulatory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273,378 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Advances for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Regulatory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capitalization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0562" w:type="dxa"/>
        <w:jc w:val="left"/>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88"/>
        <w:gridCol w:w="488"/>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36,118,242 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958,188 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1,540,771 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5,660,377 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288,595 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288,601 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($0.44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41,839,540 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1,248,402 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1,834,082 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($0.44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41,852,853 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1,250,053 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592,340 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1,843,902 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tbl>
      <w:tblPr>
        <w:tblW w:w="10412" w:type="dxa"/>
        <w:jc w:val="center"/>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33,629,169 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537,184 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1,366,974 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($0.42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34,182,785 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855,759 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1,397,337 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$0.42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35,287,080 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914,330 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549,646 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1,465,971 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791"/>
        <w:gridCol w:w="2400"/>
        <w:gridCol w:w="2409"/>
        <w:gridCol w:w="227"/>
        <w:gridCol w:w="856"/>
        <w:gridCol w:w="126"/>
        <w:gridCol w:w="126"/>
        <w:gridCol w:w="126"/>
        <w:gridCol w:w="126"/>
        <w:gridCol w:w="398"/>
        <w:gridCol w:w="402"/>
        <w:gridCol w:w="218"/>
      </w:tblGrid>
      <w:tr>
        <w:trPr/>
        <w:tc>
          <w:tcPr>
            <w:tcW w:w="2791"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accrued unbilled utility revenue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groundwater extraction charges, purchased water and power</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and payable, and other accrued taxes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and liabilities excluding cost of removal, income tax temporary differences and postretirement benefits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noncurrent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litigation settlement,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utility plant:</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Company-funded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(204,440)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in aid of construction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to retire utility plant, net of salvage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(217,874)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Borrowings from lines of credit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lines of credit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(152,393)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(73,243)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borrowings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litigation settlement,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Receipts of advances and contributions in aid of construction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Refunds of advances for construction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122,592 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1083" w:type="dxa"/>
            <w:gridSpan w:val="2"/>
            <w:tcBorders>
              <w:left w:val="single" w:sz="8" w:space="0" w:color="D8D8D8"/>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104,102 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paid (refunded) during the period for:</w:t>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net of amounts capitalized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payables for additions to utility plant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property installed by developers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1.General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(“SEC”). The Notes to Consolidated Financial Statements in H2O America’s 2025 Annual Report on Form 10-K, filed with the SEC on February 26, 2026, should be read in conjunction with the accompanying unaudited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a holding company that conducts its business through the following wholly owned subsidiaries: San Jose Water Company (“SJWC”), H2O America TX Holdings, Inc., H2O America Land Company, H2O America NE LLC, and National Water Utility Service, LLC (“NWU”). H2O America TX Holdings, Inc. is a holding company for its wholly owned subsidiaries, SJWTX, Inc., doing business as The Texas Water Company (“TWC”), Texas Water Operation Services, LLC (“TWOS”) and Texas Water Resources, LLC (“TWR”). H2O America NE LLC is the holding company for Connecticut Water Service, Inc. (“CTWS”) whose wholly owned subsidiaries are The Connecticut Water Company (“CWC”), The Maine Water Company (“MWC”), New England Water Utility Services, Inc. (“NEWUS”), and Chester Realty, Inc. NWU is the contracting entity for shared services among the H2O America affiliates formed in October 2024. H2O America Risk Solutions, Inc. (“Risk Solutions”), is a captive insurance entity and wholly owned subsidiary of H2O America Inc., established in 2025 to manage certain insurance specific risks of the Company in addition to its use of traditional insurance products provided by its current insurance carriers. H2O America, through its subsidiaries, primarily provides water utility and other related services in California, Connecticut, Maine and Texas. H2O America has business in property management and real estate investment activity conducted by H2O America Land Company and Chester Realty,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revenue components are as follows: </w:t>
      </w:r>
    </w:p>
    <w:tbl>
      <w:tblPr>
        <w:tblW w:w="10205" w:type="dxa"/>
        <w:jc w:val="left"/>
        <w:tblInd w:w="0" w:type="dxa"/>
        <w:tblLayout w:type="fixed"/>
        <w:tblCellMar>
          <w:top w:w="28" w:type="dxa"/>
          <w:left w:w="28" w:type="dxa"/>
          <w:bottom w:w="28" w:type="dxa"/>
          <w:right w:w="28" w:type="dxa"/>
        </w:tblCellMar>
      </w:tblPr>
      <w:tblGrid>
        <w:gridCol w:w="1719"/>
        <w:gridCol w:w="1420"/>
        <w:gridCol w:w="1429"/>
        <w:gridCol w:w="243"/>
        <w:gridCol w:w="953"/>
        <w:gridCol w:w="125"/>
        <w:gridCol w:w="125"/>
        <w:gridCol w:w="125"/>
        <w:gridCol w:w="125"/>
        <w:gridCol w:w="413"/>
        <w:gridCol w:w="413"/>
        <w:gridCol w:w="156"/>
        <w:gridCol w:w="109"/>
        <w:gridCol w:w="109"/>
        <w:gridCol w:w="109"/>
        <w:gridCol w:w="227"/>
        <w:gridCol w:w="892"/>
        <w:gridCol w:w="117"/>
        <w:gridCol w:w="117"/>
        <w:gridCol w:w="117"/>
        <w:gridCol w:w="117"/>
        <w:gridCol w:w="413"/>
        <w:gridCol w:w="413"/>
        <w:gridCol w:w="219"/>
      </w:tblGrid>
      <w:tr>
        <w:trPr/>
        <w:tc>
          <w:tcPr>
            <w:tcW w:w="171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revenue programs, net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balancing and memorandum accounts and regulatory mechanisms,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Nonutility Properties </w:t>
      </w:r>
    </w:p>
    <w:p>
      <w:pPr>
        <w:pStyle w:val="TextBody"/>
        <w:bidi w:val="0"/>
        <w:spacing w:lineRule="auto" w:line="288" w:before="120" w:after="283"/>
        <w:jc w:val="left"/>
        <w:rPr/>
      </w:pPr>
      <w:r>
        <w:rPr>
          <w:rFonts w:ascii="Times New Roman;serif" w:hAnsi="Times New Roman;serif"/>
          <w:b w:val="false"/>
          <w:color w:val="000000"/>
          <w:sz w:val="20"/>
        </w:rPr>
        <w:t>The major components of nonutility properties are as follows as of:</w:t>
      </w:r>
      <w:r>
        <w:rPr>
          <w:color w:val="000000"/>
        </w:rPr>
        <w:t> </w:t>
      </w:r>
    </w:p>
    <w:tbl>
      <w:tblPr>
        <w:tblW w:w="6512" w:type="dxa"/>
        <w:jc w:val="left"/>
        <w:tblInd w:w="0" w:type="dxa"/>
        <w:tblLayout w:type="fixed"/>
        <w:tblCellMar>
          <w:top w:w="28" w:type="dxa"/>
          <w:left w:w="28" w:type="dxa"/>
          <w:bottom w:w="28" w:type="dxa"/>
          <w:right w:w="28" w:type="dxa"/>
        </w:tblCellMar>
      </w:tblPr>
      <w:tblGrid>
        <w:gridCol w:w="1488"/>
        <w:gridCol w:w="1304"/>
        <w:gridCol w:w="1317"/>
        <w:gridCol w:w="211"/>
        <w:gridCol w:w="616"/>
        <w:gridCol w:w="109"/>
        <w:gridCol w:w="109"/>
        <w:gridCol w:w="109"/>
        <w:gridCol w:w="109"/>
        <w:gridCol w:w="334"/>
        <w:gridCol w:w="334"/>
        <w:gridCol w:w="472"/>
      </w:tblGrid>
      <w:tr>
        <w:trPr/>
        <w:tc>
          <w:tcPr>
            <w:tcW w:w="1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 Measurement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instruments are not measured at fair value on H2O America’s condensed consolidated balance sheets as of June 30, 2026, but require disclosure of their fair values: cash and cash equivalents, accounts receivable and accounts payable. The estimated fair value of such instruments as of June 30, 2026 approximates their carrying value as reported on the condensed consolidated balance sheets. There have been no changes in valuation techniques during the three and six months ended June 30, 2026. The fair value of these instruments would be categorized as Level 2 in the fair value hierarchy, with the exception of cash and cash equivalents, which would be categorized as Level 1.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H2O America’s long-term debt was $1,716.5 million and $1,716.6 million as of June 30, 2026 and December 31, 2025, respectively, and was determined using a discounted cash flow analysis, based on the current rates for similar financial instruments of the same duration and creditworthiness of the company. Of the total fair value of long-term debt at June 30, 2026 and December 31, 2025, $1,698.4 million and $1,715.6 million, respectively, would be categorized as Level 2 in the fair value hierarchy and $18.1 million and $1.0 million, respectively, would be categorized as Level 3 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$2.7 million and $2.8 million as of June 30, 2026 and December 31, 2025, respectively, and are categorized as Level 1 in the fair value hierarchy.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using income available to common stockholders, divided by the weighted average number of shares outstanding during the period. Diluted earnings per share is calculated using the treasury stock method which comprises income available to common stockholders divided by the weighted average number of shares of common stock including both shares outstanding and shares potentially issuable in connection with restricted common stock awards under H2O America’s long-term incentive plans, and shares potentially issuable under the equity forward purchase agreements granted to investors in the equity offering discussed further in Note 3 “Capitalization” to these condensed consolidated financial statements. For the three months ended June 30, 2026 and 2025, 1,886 and 8,900 anti-dilutive restricted common stock units were excluded from the diluted earnings per share calculation, respectively. For the six months ended June 30, 2026 and 2025, 2,848 and 23,346 anti-dilutive restricted common stock units were excluded from the diluted earnings per share calculation, respectively.</w:t>
      </w:r>
    </w:p>
    <w:p>
      <w:pPr>
        <w:pStyle w:val="TextBody"/>
        <w:bidi w:val="0"/>
        <w:spacing w:before="20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by the company as of June 30, 2026 are as follows:</w:t>
      </w:r>
    </w:p>
    <w:tbl>
      <w:tblPr>
        <w:tblW w:w="10205" w:type="dxa"/>
        <w:jc w:val="left"/>
        <w:tblInd w:w="0" w:type="dxa"/>
        <w:tblLayout w:type="fixed"/>
        <w:tblCellMar>
          <w:top w:w="28" w:type="dxa"/>
          <w:left w:w="28" w:type="dxa"/>
          <w:bottom w:w="28" w:type="dxa"/>
          <w:right w:w="28" w:type="dxa"/>
        </w:tblCellMar>
      </w:tblPr>
      <w:tblGrid>
        <w:gridCol w:w="1058"/>
        <w:gridCol w:w="506"/>
        <w:gridCol w:w="510"/>
        <w:gridCol w:w="109"/>
        <w:gridCol w:w="109"/>
        <w:gridCol w:w="109"/>
        <w:gridCol w:w="890"/>
        <w:gridCol w:w="890"/>
        <w:gridCol w:w="898"/>
        <w:gridCol w:w="109"/>
        <w:gridCol w:w="109"/>
        <w:gridCol w:w="109"/>
        <w:gridCol w:w="495"/>
        <w:gridCol w:w="422"/>
        <w:gridCol w:w="424"/>
        <w:gridCol w:w="109"/>
        <w:gridCol w:w="109"/>
        <w:gridCol w:w="109"/>
        <w:gridCol w:w="412"/>
        <w:gridCol w:w="412"/>
        <w:gridCol w:w="416"/>
        <w:gridCol w:w="109"/>
        <w:gridCol w:w="109"/>
        <w:gridCol w:w="109"/>
        <w:gridCol w:w="455"/>
        <w:gridCol w:w="455"/>
        <w:gridCol w:w="654"/>
      </w:tblGrid>
      <w:tr>
        <w:trPr/>
        <w:tc>
          <w:tcPr>
            <w:tcW w:w="105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on the Condensed Consolidated Financial Statements</w:t>
            </w:r>
          </w:p>
        </w:tc>
      </w:tr>
      <w:tr>
        <w:trPr/>
        <w:tc>
          <w:tcPr>
            <w:tcW w:w="2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requires disclosure, in the notes to the financial statements, of specified information about certain costs and expenses. The ASU requires disclosure of purchases of inventory, employee compensation, depreciation, and intangible asset amortization in interim and annual reporting periods. Further, other amounts already required to be disclosed in accordance with current U.S. GAAP would be included in the same disclosure as the other disaggregation requirements. Additionally, the ASU requires qualitative descriptions of amounts remaining in relevant expense captions that are not separately disaggregated quantitatively as well as disclosure of selling expenses in annual periods and an entity’s definition of 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its annual financial statements for the year ending December 31, 2027 and for interim reporting periods for the year ending December 31, 2028.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is expected to only result in updates to disclosure and is not expected to have a material impact on the Company’s financial position and results of operations.</w:t>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“Intangibles-Goodwill and Other-Internal-Use Software (subtopic 350-40)”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updates the accounting for internal-use software by removing project stage references and introduces a new capitalization threshold based on management authorization and project completion probability. The guidance requires evaluation of significant development uncertainty, including novel functionality and unresolved performance requirements. ASU 2025-06 clarifies that capitalized internal-use software costs are subject to the property, plant and equipment disclosure requirements under ASC 360-10.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its annual financial statements for the year ending December 31, 2028 and for interim reporting periods for the 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impact of ASU 2025-06 on its financial statements and will adopt ASU 2025-06 in fiscal year ended December 31, 2028.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tbl>
      <w:tblPr>
        <w:tblW w:w="10205" w:type="dxa"/>
        <w:jc w:val="left"/>
        <w:tblInd w:w="0" w:type="dxa"/>
        <w:tblLayout w:type="fixed"/>
        <w:tblCellMar>
          <w:top w:w="28" w:type="dxa"/>
          <w:left w:w="28" w:type="dxa"/>
          <w:bottom w:w="28" w:type="dxa"/>
          <w:right w:w="28" w:type="dxa"/>
        </w:tblCellMar>
      </w:tblPr>
      <w:tblGrid>
        <w:gridCol w:w="467"/>
        <w:gridCol w:w="411"/>
        <w:gridCol w:w="415"/>
        <w:gridCol w:w="109"/>
        <w:gridCol w:w="109"/>
        <w:gridCol w:w="109"/>
        <w:gridCol w:w="1037"/>
        <w:gridCol w:w="1037"/>
        <w:gridCol w:w="1047"/>
        <w:gridCol w:w="109"/>
        <w:gridCol w:w="109"/>
        <w:gridCol w:w="109"/>
        <w:gridCol w:w="495"/>
        <w:gridCol w:w="437"/>
        <w:gridCol w:w="439"/>
        <w:gridCol w:w="109"/>
        <w:gridCol w:w="109"/>
        <w:gridCol w:w="109"/>
        <w:gridCol w:w="477"/>
        <w:gridCol w:w="477"/>
        <w:gridCol w:w="482"/>
        <w:gridCol w:w="109"/>
        <w:gridCol w:w="109"/>
        <w:gridCol w:w="109"/>
        <w:gridCol w:w="488"/>
        <w:gridCol w:w="488"/>
        <w:gridCol w:w="700"/>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on the Condensed Consolidated Financial Statements</w:t>
            </w:r>
          </w:p>
        </w:tc>
      </w:tr>
      <w:tr>
        <w:trPr/>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“Government Grants (Topic 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establishes accounting for government grants received by business entities and includes guidance for (1) a grant related to an asset and (2) a grant related to income. The ASU requires that a government grant should not be recognized until it is probable that a business entity will comply with the conditions attached to the grant and the grant will be received. Additionally, the ASU requires that a grant related to an asset be recognized on the balance sheet as the business entity incurs the related costs for which the grant is intended to compensate either as deferred income or an adjustment to the cost basis of the related asset. A grant related to income or a grant recognized as deferred income should be recognized in earnings on a systematic and rational basis over the periods in which the related costs are incurred that the grant is intended to compensate.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annual reporting periods beginning after December 15, 2028 and interim reporting periods within those annual reporting periods.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Retrospective adoption with modified prospective and modified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impact of ASU 2025-10 on its financial statements and will adopt ASU 2025-10 in fiscal year ended December 31, 2029.</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“Interim Reporting (Topic 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ASU provides clarity about the current requirements, rather than an evaluation of whether to expand or reduce interim disclosure requirements. The ASU includes a disclosure principle that requires entities to disclose events since the end of the last annual reporting period that have a material impact on the entity. The intent of the disclosure principle, which is modeled after a previous SEC disclosure requirement, is to help entities determine whether disclosures not specified in Topic 270 should be provided in interim reporting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interim reporting periods within annual reporting periods beginning after December 15, 2027.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disclosure impact of ASU 2025-11; however, the standard is not expected to impact the consolidated financial position, results of operations or cash flows.</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2.Regulatory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and liabilities are comprised of the following as of:</w:t>
      </w:r>
    </w:p>
    <w:tbl>
      <w:tblPr>
        <w:tblW w:w="9977" w:type="dxa"/>
        <w:jc w:val="left"/>
        <w:tblInd w:w="0" w:type="dxa"/>
        <w:tblLayout w:type="fixed"/>
        <w:tblCellMar>
          <w:top w:w="28" w:type="dxa"/>
          <w:left w:w="28" w:type="dxa"/>
          <w:bottom w:w="28" w:type="dxa"/>
          <w:right w:w="28" w:type="dxa"/>
        </w:tblCellMar>
      </w:tblPr>
      <w:tblGrid>
        <w:gridCol w:w="2519"/>
        <w:gridCol w:w="2215"/>
        <w:gridCol w:w="2226"/>
        <w:gridCol w:w="211"/>
        <w:gridCol w:w="826"/>
        <w:gridCol w:w="109"/>
        <w:gridCol w:w="109"/>
        <w:gridCol w:w="109"/>
        <w:gridCol w:w="109"/>
        <w:gridCol w:w="452"/>
        <w:gridCol w:w="452"/>
        <w:gridCol w:w="640"/>
      </w:tblGrid>
      <w:tr>
        <w:trPr/>
        <w:tc>
          <w:tcPr>
            <w:tcW w:w="251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temporary differences (a) (r)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Monterey Water Revenue Adjustment Mechanism (“M-WRAM”)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 debt premium (c) (r)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 (d) (r)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Catastrophic event memorandum accounts (“CEMA”) (e)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adjustment mechanisms (f) (r)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Assistance Program (“CAP”) balancing account (g)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supply costs (h)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Water Regulation Legal Expenses memorandum account (“GWRLEMA”)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(j)</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254,862 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regulatory assets (k)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assets, less current portion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246,547 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removal (l)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394,391 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 benefits due to customers (m)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pensions and other postretirement benefits (n)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Per- and Polyfluoroalkyl substances (“PFAS”) legal settlement proceeds (o)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 (d)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supply costs (h)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adjustment mechanisms (f)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regulatory liabilities (q)</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 less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(a)Consists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 </w:t>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(b)M-WRAM is described in the following section.</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(c)Consists of debt fair value adjustments recognized through purchase accounting for the completed merger with CTWS in 2019.</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(d)Includes deferrals of pension and other postretirement benefit expense and cost of accrued benefits for vacation, and group health insurance.</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(e)The California Public Utilities Commission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The balances primarily relate to expenses associated with SJWC’s response to COVID-19, including bad debt.</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(f)Primarily relates to Water Rate Adjustment mechanism (“WRA”). WRA and Water Conservation Memorandum Account (“WCMA”) are described in the following section.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(g)Represents costs associated with SJWC’s CAP.</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(h)Reflects primarily SJWC’s Full Cost Balancing Account (“FCBA”), which tracks differences in actual water supply costs compared to amounts assumed in base rates, including applicable changes and variations in costs and quantities that affect the overall mix of the water supply.</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(i)Represents legal and related expenses associated with litigation and consensus-building activities related to SJWC’s water rights. The GWRLEMA was re-established in November 2025 to track these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(j)Other includes other balancing and memorandum accounts and regulatory mechanisms, deferred costs for certain information technology activities, asset retirement obligations, tank painting, well reconditioning, rate case expenses and acquisition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(k)Primarily relates to SJWC’s balancing and memorandum account surcharge in accordance with Decision No. 24-12-077 and the current portion of CWC’s WRA, deferred well redevelopment, carbon filters and rate case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(l)Represents amounts collected in rates from customers for estimated costs to retire assets at the end of their expected useful lives before the costs are incurred.</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(m)On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(n)Represents actuarial losses and gains and prior service cost that have not yet been recognized as components of net periodic benefit cost for certain pension and other postretirement benefit plans.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(o)Primarily relates to legal settlements received by SJWC and CWC from ongoing PFAS water contamination litigation against manufacturers which will be used to offset future costs incurred, recorded as Contributions in Aid of Construction (“CIAC”), or returned to customers through future rates. The Water Contamination Litigation Memorandum Account (“WCLMA”) has been established to track net proceeds and costs resulting from water contamination litigation related to SJWC.</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(p)Primarily relates to MWC’s accrued tank painting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(q)Primarily relates to the current portion of WRA.</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(r)Generally, not earning a return either by interest on the regulatory asset or as a component of rate base at the allowed rate of return.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has established balancing accounts for the purpose of tracking the under-collection or over-collection associated with expense changes and the revenue authorized by the CPUC to offset those expense changes. SJWC has been authorized for the use of the FCBA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WCLMA allows SJWC to track net proceeds and costs resulting from water contamination litigation. The WCMA allows SJWC to track lost revenue, net of related water costs, associated with reduced sales due to water conservation and associated calls for water use reductions,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3.Capitalization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 million. For the three and six months ended June 30, 2026, H2O America did not issue or sell any shares of its common stock under the Equity Distribution Agreement and, accordingly, received no net proceeds therefrom. For the three and six months ended June 30, 2025, the Company issued and sold 1,087,593 and 1,583,493 shares of its common stock, respectively, with a weighted average price of $52.82 and $53.15 per share respectively, and received $57.2 million and $83.7 million in net proceeds, respectively, under the Equity Distribution Agreement. Since the inception of the Equity Distribution Agreement, H2O America has issued and sold 2,763,359 shares of common stock at a weighted average price of $52.39 for total net proceeds of $143.0 million, and has $55.2 million of aggregate gross sales price of shares remaining to issue under the Equity Distribution Agreement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H2O America issued 3,937,654 shares of common stock in an underwritten offering pursuant to an Underwriting Agreement with J.P. Morgan Securities LLC and Wells Fargo Securities LLC, as representatives of several underwriters named in the Underwriting Agreement (the “Offering”). In connection with the Offering, H2O America entered into two-year forward purchase agreements to issue an additional 7,547,170 shares of common stock with an initial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purchase price of $51.28 per share, subject to adjustment based on the overnight bank funding rate and expected dividend amounts due upon settlement through maturity in March 2028. The forward purchase agreements can be settled or net settled for delivery of physical shares or settled for cash at the option of H2O America. In addition, the underwriters in the Offering, through the exercise of a 30-day overallotment option, purchased an additional 1,722,723 shares of common stock at a price of $51.28 per share. Total net proceeds to H2O America for the common stock offering were $290.2 million after deducting the underwriting discounts and before estimated offering expenses payable by H2O America of $1.6 million, which are recognized as a reduction of additional paid-in capital. The forward purchase agreements are indexed to H2O America’s common stock and qualify for equity classification. Accordingly, they are not remeasured for changes in the fair value of the Company’s common stock, and no related gains or losses are recognized in earnings.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forward purchase agreements issued under the Offering were settled during the three and six months ended June 30, 2026.</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4.Lines of Credit and Long-Term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contractual obligations and commitments include senior notes, bank term loans, revenue bonds, state revolving fund loans, lines of credit, and other obligations.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Lines of Credit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 on short-term borrowings outstanding at June 30, 2026 was 4.71%, compared to 4.75% at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borrowing capacity of the lines of credit was $367.7 million, which excludes a $0.9 million standby letter of credit issued on behalf of H2O America Risk Solutions and guaranteed by H2O America under the Syndicated Credit Agreement.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12, 2025, SJWC entered into a Note Purchase Agreement with certain institutional investors. Under the agreement, SJWC issued an aggregate principal amount of $70.0 million of senior notes in two series consisting of $55.0 million of 5.83% Senior Notes, Series R ("Series R Notes"), and $15.0 million of 5.91% Senior Notes, Series S ("Series S Notes"). The issuance of the Series S Notes was subject to approval by the CPUC which closed on May 14, 2026. The Series S Notes are unsecured obligations of SJWC and are due on November 1, 2055. Interest is payable semi-annually in arrears on May 1st and November 1st of each year, commencing November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 of long-term debt outstanding, net of unamortized debt issuance costs and debt premium and discount, as of June 30, 2026 and December 31, 2025 was $1,881.5 million and $1,866.8 million, respectively. The current portion of long-term debt as of June 30, 2026 and December 31, 2025 was $8.6 million and $23.5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debt and credit agreements of H2O America and its subsidiaries contain various financial and other covenants. Non-compliance with these covenants could result in accelerated due dates and termination of the agreements. In addition, the debt and credit agreements contain customary representations and warranties and are subject to customary events of default, which may result in outstanding debt becoming immediately due and payable. As of June 30, 2026, H2O America and its subsidiaries were in compliance with all covenants related to its debt and credit agreements.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Note 5.</w:t>
      </w:r>
      <w:r>
        <w:rPr>
          <w:rFonts w:ascii="Times New Roman;serif" w:hAnsi="Times New Roman;serif"/>
          <w:b/>
          <w:color w:val="000000"/>
          <w:sz w:val="20"/>
          <w:shd w:fill="FFFFFF" w:val="clear"/>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$4.0 million and $4.7 million for the three months ended June 30, 2026 and 2025, respectively. Income tax expense was $7.4 million and $8.1 million for the six months ended June 30, 2026 and 2025, respectively. The effective consolidated income tax rates were 13% and 16% for the three months ended June 30, 2026 and 2025, respectively, and 14% and 16% for the six months ended June 30, 2026 and 2025, respectively. The lower effective tax rate for the three and six months ended June 30, 2026 was primarily due to higher flow through tax benefits.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had unrecognized tax benefits, before the impact of deductions of state taxes, excluding interest and penalties, of $4.3 million and $4.1 million as of June 30, 2026 and December 31, 2025,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Public Law No. 119-21, referred to as the One Big Beautiful Bill Act (“OBBBA”), was signed into law. The OBBBA contains several changes to corporate taxation including the extension of key provisions of the 2017 Tax Cuts and Jobs Act. The legislation has multiple effective dates, with certain provisions which were effective in 2025 and others are phased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through tax year 2027. The legislation may be subject to further clarification and the issuance of interpretive guidance. The impact of the tax legislation was not material to the provision for income taxes and deferred tax balances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rFonts w:ascii="Times New Roman;serif" w:hAnsi="Times New Roman;serif"/>
          <w:b/>
          <w:color w:val="000000"/>
          <w:sz w:val="20"/>
        </w:rPr>
      </w:pPr>
      <w:r>
        <w:rPr>
          <w:rFonts w:ascii="Times New Roman;serif" w:hAnsi="Times New Roman;serif"/>
          <w:b/>
          <w:color w:val="000000"/>
          <w:sz w:val="20"/>
        </w:rPr>
        <w:t>Note 6.Commitments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are subject to ordinary routine litigation incidental to its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a Multi-District Litigation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received $11.0 million from legal settlements with Tyco Fire Products LP, BASF Corporation, and 3M Company related to PFAS contamination, allocated as follows: SJWC received $7.4 million; CWC received $3.5 million; and MWC received $0.1 million, which includes $0.1 million payable to contract operators. For the three and six months ended June 30, 2025, the Company received $6.4 million in cash proceeds from a legal settlement with 3M Company related to PFAS contamination. These proceeds were allocated as follows: SJWC received $4.4 million; CWC received $1.9 million; and MWC received $0.1 million, which includes $0.1 million payable to contract operators. As of June 30, 2026, the Company has received aggregate cash proceeds of $36.1 million from MDL court approved settlements. The proceeds have been allocated as follows: SJWC received $24.4 million; CWC received $11.1 million; and MWC received $0.6 million, which includes $0.4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entitled to receive additional cash proceeds from 3M Company in the subsequent seven years, pursuant to the terms of the settlement agreement. The total estimated proceeds to be received during this period are approximately $5.7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monitoring and evaluating the ongoing litigation and settlement activity with the PFAS manufacturers for potential impacts to the various claims that these utility subsidiaries have asserted.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7.Benefit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3.0% of eligible compensation to their company sponsored savings plan. H2O America does not have multi-employer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Executive Supplemental Retirement Plan. The supplemental retirement plans and Cash Balance Executive Supplemental Retirement Plan are non-qualified plans in which only senior management and other designated members of management may participate. H2O America also provides health care and life insurance benefits for retired employees under employer-sponsored postretirement benefits that are not pension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costs for the defined benefit plans and other postretirement benefits are as follows:</w:t>
      </w:r>
    </w:p>
    <w:tbl>
      <w:tblPr>
        <w:tblW w:w="7137" w:type="dxa"/>
        <w:jc w:val="left"/>
        <w:tblInd w:w="0" w:type="dxa"/>
        <w:tblLayout w:type="fixed"/>
        <w:tblCellMar>
          <w:top w:w="28" w:type="dxa"/>
          <w:left w:w="28" w:type="dxa"/>
          <w:bottom w:w="28" w:type="dxa"/>
          <w:right w:w="28" w:type="dxa"/>
        </w:tblCellMar>
      </w:tblPr>
      <w:tblGrid>
        <w:gridCol w:w="1025"/>
        <w:gridCol w:w="901"/>
        <w:gridCol w:w="909"/>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1025"/>
        <w:gridCol w:w="901"/>
        <w:gridCol w:w="909"/>
        <w:gridCol w:w="211"/>
        <w:gridCol w:w="616"/>
        <w:gridCol w:w="109"/>
        <w:gridCol w:w="109"/>
        <w:gridCol w:w="109"/>
        <w:gridCol w:w="109"/>
        <w:gridCol w:w="344"/>
        <w:gridCol w:w="346"/>
        <w:gridCol w:w="156"/>
        <w:gridCol w:w="109"/>
        <w:gridCol w:w="109"/>
        <w:gridCol w:w="109"/>
        <w:gridCol w:w="211"/>
        <w:gridCol w:w="541"/>
        <w:gridCol w:w="109"/>
        <w:gridCol w:w="109"/>
        <w:gridCol w:w="109"/>
        <w:gridCol w:w="109"/>
        <w:gridCol w:w="269"/>
        <w:gridCol w:w="271"/>
        <w:gridCol w:w="213"/>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Times New Roman;serif" w:hAnsi="Times New Roman;serif"/>
          <w:b w:val="false"/>
          <w:color w:val="000000"/>
          <w:sz w:val="20"/>
        </w:rPr>
      </w:pPr>
      <w:r>
        <w:rPr>
          <w:rFonts w:ascii="Times New Roman;serif" w:hAnsi="Times New Roman;serif"/>
          <w:b w:val="false"/>
          <w:color w:val="000000"/>
          <w:sz w:val="20"/>
        </w:rPr>
        <w:t>In 2026, H2O America expects to make required and discretionary cash contributions of up to $5.8 million to the pension plans and other postretirement benefits. For the three and six months ended June 30, 2026, H2O America has made $1.4 million and $3.3 million of contributions to such plans.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8.Equity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long-term incentive plans provide employees, non-employee board members or the board of directors of any parent or subsidiary, consultants, and other independent advisors who provide services to the company or subsidiary the opportunity to acquire an equity interest in H2O America. In addition, shares are issued to employees under H2O America’s Employee Stock Purchase Plan (“ESPP”).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292,308 shares are issuable upon the vesting of outstanding restricted stock units and deferred restricted stock units and an additional 998,880 shares are available for award issuances under the long-term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compensation costs charged to income, by award type, and proceeds from the ESPP, are presented below:</w:t>
      </w:r>
    </w:p>
    <w:tbl>
      <w:tblPr>
        <w:tblW w:w="9320" w:type="dxa"/>
        <w:jc w:val="left"/>
        <w:tblInd w:w="0" w:type="dxa"/>
        <w:tblLayout w:type="fixed"/>
        <w:tblCellMar>
          <w:top w:w="28" w:type="dxa"/>
          <w:left w:w="28" w:type="dxa"/>
          <w:bottom w:w="28" w:type="dxa"/>
          <w:right w:w="28" w:type="dxa"/>
        </w:tblCellMar>
      </w:tblPr>
      <w:tblGrid>
        <w:gridCol w:w="1423"/>
        <w:gridCol w:w="1251"/>
        <w:gridCol w:w="1255"/>
        <w:gridCol w:w="294"/>
        <w:gridCol w:w="860"/>
        <w:gridCol w:w="152"/>
        <w:gridCol w:w="152"/>
        <w:gridCol w:w="152"/>
        <w:gridCol w:w="152"/>
        <w:gridCol w:w="308"/>
        <w:gridCol w:w="308"/>
        <w:gridCol w:w="156"/>
        <w:gridCol w:w="109"/>
        <w:gridCol w:w="109"/>
        <w:gridCol w:w="109"/>
        <w:gridCol w:w="268"/>
        <w:gridCol w:w="784"/>
        <w:gridCol w:w="138"/>
        <w:gridCol w:w="138"/>
        <w:gridCol w:w="138"/>
        <w:gridCol w:w="138"/>
        <w:gridCol w:w="308"/>
        <w:gridCol w:w="308"/>
        <w:gridCol w:w="1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costs charged to income:</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ESPP</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stock and deferred restricted stock</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costs charged to income</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proceeds</w:t>
            </w:r>
          </w:p>
        </w:tc>
        <w:tc>
          <w:tcPr>
            <w:tcW w:w="2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Restricted Stock and Deferred 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H2O America granted 19,879 restricted stock awards with a weighted average grant date fair value per unit of $54.26, which consisted of 18,753 three-year service-based restricted stock awards and 1,126 target units of three-year performance-based restricted stock awards. For the six months ended June 30, 2026, H2O America granted 133,211 restricted stock awards with a weighted average grant date fair value per unit of $49.37, which consisted of 61,903 three-year service-based restricted stock awards and 71,308 target units of three-year performance-based restricted stock awards. Based upon actual attainment relative to the target performance metric, the number of shares issuable can range between 0% to 150% of the target number of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H2O America granted 19,909 of one-year and three-year service-based restricted stock awards with a weighted average grant date fair value per unit of $48.57 and 1,562 target units of performance-based and market-based restricted stock awards with a weighted average grant date fair value per unit of $53.19. For the six months ended June 30, 2025, H2O America granted 66,314 one-year and three-year service-based restricted stock awards with a weighted average grant date fair value per unit of $45.49 and 58,208 target units of performance-based and market-based restricted stock awards with a weighted average grant date fair value per unit of $51.91. Based upon actual attainment relative to the target performance metric, the number of shares issuable can range between 0% to 150% of the target number of shares for performance-based restricted stock awards and 0% to 200% of the target number for market-based restricted stock awards.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total number of outstanding restricted stock awards and deferred restricted stock awards was 313,106 and the total number of shares vested but not issued was 6,588. As of June 30, 2026, unrecognized compensation costs related to restricted and deferred restricted stock plans was $10.5 million. This cost is expected to be recognized over a weighted average period of 1.98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9.Segment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single reportable segment provides water utility and utility-related services to its customers through H2O America’s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H2O America Land Company and Chester Realty, Inc., contract water and sewer operations and other water-related services provided by NEWUS and are referred to as “Other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operating segments have been determined based on information used by the chief operating decision maker. H2O America’s chief operating decision makers (“CODM”) include the Chief Executive Officer and Chair of the Board; the Chief Financial Officer and Treasurer; the President and Chief Operating Officer; and the Vice President and General Counsel. However, ultimate decision-making authority rests with the Chief Executive Officer. The CODM reviews financial information presented on a consolidated basis that is accompanied by certain disaggregated information about operating revenue, expenses, net income, and total assets. The CODM uses net income to assess the financial performance of the segments and allocate resources (including employees, financial, or capital resources) in the budgeting and forecasting process.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Previously, H2O America presented a separate reportable segment for Real Estate Services and also presented a disaggregation of regulated and non-tariffed activities within the Water Utility Services reportable segment. Under the current presentation, the activities of Water Utility Services previously presented as “non-tariffed” are generally presented as “Other Services” along with the real estate activity. Certain allocated assets, such as goodwill, revenue and expenses have been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amounts. Certain corporate costs and expenses are not allocated to Water Utility Services or Other Services and are shown separately to reconcile to the applicable consolidated amounts.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96"/>
        <w:gridCol w:w="1081"/>
        <w:gridCol w:w="1061"/>
        <w:gridCol w:w="281"/>
        <w:gridCol w:w="1108"/>
        <w:gridCol w:w="145"/>
        <w:gridCol w:w="110"/>
        <w:gridCol w:w="110"/>
        <w:gridCol w:w="110"/>
        <w:gridCol w:w="446"/>
        <w:gridCol w:w="398"/>
        <w:gridCol w:w="400"/>
        <w:gridCol w:w="110"/>
        <w:gridCol w:w="110"/>
        <w:gridCol w:w="110"/>
        <w:gridCol w:w="569"/>
        <w:gridCol w:w="569"/>
        <w:gridCol w:w="571"/>
        <w:gridCol w:w="110"/>
        <w:gridCol w:w="110"/>
        <w:gridCol w:w="110"/>
        <w:gridCol w:w="413"/>
        <w:gridCol w:w="413"/>
        <w:gridCol w:w="464"/>
      </w:tblGrid>
      <w:tr>
        <w:trPr/>
        <w:tc>
          <w:tcPr>
            <w:tcW w:w="12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6"/>
        <w:gridCol w:w="1081"/>
        <w:gridCol w:w="1061"/>
        <w:gridCol w:w="281"/>
        <w:gridCol w:w="1108"/>
        <w:gridCol w:w="145"/>
        <w:gridCol w:w="110"/>
        <w:gridCol w:w="110"/>
        <w:gridCol w:w="110"/>
        <w:gridCol w:w="446"/>
        <w:gridCol w:w="398"/>
        <w:gridCol w:w="400"/>
        <w:gridCol w:w="110"/>
        <w:gridCol w:w="110"/>
        <w:gridCol w:w="110"/>
        <w:gridCol w:w="569"/>
        <w:gridCol w:w="569"/>
        <w:gridCol w:w="571"/>
        <w:gridCol w:w="110"/>
        <w:gridCol w:w="110"/>
        <w:gridCol w:w="110"/>
        <w:gridCol w:w="413"/>
        <w:gridCol w:w="413"/>
        <w:gridCol w:w="464"/>
      </w:tblGrid>
      <w:tr>
        <w:trPr/>
        <w:tc>
          <w:tcPr>
            <w:tcW w:w="12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80,869 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tbl>
      <w:tblPr>
        <w:tblW w:w="10205" w:type="dxa"/>
        <w:jc w:val="left"/>
        <w:tblInd w:w="0" w:type="dxa"/>
        <w:tblLayout w:type="fixed"/>
        <w:tblCellMar>
          <w:top w:w="28" w:type="dxa"/>
          <w:left w:w="28" w:type="dxa"/>
          <w:bottom w:w="28" w:type="dxa"/>
          <w:right w:w="28" w:type="dxa"/>
        </w:tblCellMar>
      </w:tblPr>
      <w:tblGrid>
        <w:gridCol w:w="1298"/>
        <w:gridCol w:w="1084"/>
        <w:gridCol w:w="1063"/>
        <w:gridCol w:w="283"/>
        <w:gridCol w:w="1108"/>
        <w:gridCol w:w="145"/>
        <w:gridCol w:w="109"/>
        <w:gridCol w:w="109"/>
        <w:gridCol w:w="109"/>
        <w:gridCol w:w="447"/>
        <w:gridCol w:w="399"/>
        <w:gridCol w:w="400"/>
        <w:gridCol w:w="109"/>
        <w:gridCol w:w="109"/>
        <w:gridCol w:w="109"/>
        <w:gridCol w:w="570"/>
        <w:gridCol w:w="570"/>
        <w:gridCol w:w="572"/>
        <w:gridCol w:w="109"/>
        <w:gridCol w:w="109"/>
        <w:gridCol w:w="109"/>
        <w:gridCol w:w="413"/>
        <w:gridCol w:w="413"/>
        <w:gridCol w:w="459"/>
      </w:tblGrid>
      <w:tr>
        <w:trPr/>
        <w:tc>
          <w:tcPr>
            <w:tcW w:w="129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393,767 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151,905 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63,433 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(9,844)</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214,444 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4"/>
        <w:gridCol w:w="1079"/>
        <w:gridCol w:w="1059"/>
        <w:gridCol w:w="282"/>
        <w:gridCol w:w="1106"/>
        <w:gridCol w:w="144"/>
        <w:gridCol w:w="109"/>
        <w:gridCol w:w="109"/>
        <w:gridCol w:w="109"/>
        <w:gridCol w:w="446"/>
        <w:gridCol w:w="398"/>
        <w:gridCol w:w="399"/>
        <w:gridCol w:w="109"/>
        <w:gridCol w:w="109"/>
        <w:gridCol w:w="109"/>
        <w:gridCol w:w="591"/>
        <w:gridCol w:w="569"/>
        <w:gridCol w:w="570"/>
        <w:gridCol w:w="109"/>
        <w:gridCol w:w="109"/>
        <w:gridCol w:w="109"/>
        <w:gridCol w:w="413"/>
        <w:gridCol w:w="413"/>
        <w:gridCol w:w="461"/>
      </w:tblGrid>
      <w:tr>
        <w:trPr/>
        <w:tc>
          <w:tcPr>
            <w:tcW w:w="129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______________________________</w:t>
      </w:r>
      <w:r>
        <w:rPr>
          <w:color w:val="000000"/>
        </w:rPr>
        <w:t xml:space="preserve">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The “Other Services” category includes the accounts of H2O America Land Company, Chester Realty, Inc., SJWC’s Cupertino service concession arrangement operations, TWOS, TWR, and NEWUS, on a stand-alone basis.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    The “Unallocated Corporate” category includes the accounts of H2O America, H2O America NE LLC, H2O America TX Holdings, Inc., CTWS, NWU on a stand-alone basis.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    Primarily comprised of pension non-service credit (cost) and items of miscellaneous non-operating income (expense).</w:t>
      </w:r>
    </w:p>
    <w:p>
      <w:pPr>
        <w:pStyle w:val="TextBody"/>
        <w:bidi w:val="0"/>
        <w:spacing w:before="0" w:after="0"/>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H2O America’s assets for the Water Utility Services reportable segment and all other are as follows as of:</w:t>
      </w:r>
    </w:p>
    <w:tbl>
      <w:tblPr>
        <w:tblW w:w="6854" w:type="dxa"/>
        <w:jc w:val="left"/>
        <w:tblInd w:w="0" w:type="dxa"/>
        <w:tblLayout w:type="fixed"/>
        <w:tblCellMar>
          <w:top w:w="28" w:type="dxa"/>
          <w:left w:w="28" w:type="dxa"/>
          <w:bottom w:w="28" w:type="dxa"/>
          <w:right w:w="28" w:type="dxa"/>
        </w:tblCellMar>
      </w:tblPr>
      <w:tblGrid>
        <w:gridCol w:w="1308"/>
        <w:gridCol w:w="1150"/>
        <w:gridCol w:w="1157"/>
        <w:gridCol w:w="211"/>
        <w:gridCol w:w="976"/>
        <w:gridCol w:w="109"/>
        <w:gridCol w:w="109"/>
        <w:gridCol w:w="109"/>
        <w:gridCol w:w="109"/>
        <w:gridCol w:w="488"/>
        <w:gridCol w:w="488"/>
        <w:gridCol w:w="640"/>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 (reportable segment)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5,054,235 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120" w:after="283"/>
        <w:ind w:left="0" w:right="0" w:hanging="2160"/>
        <w:jc w:val="left"/>
        <w:rPr>
          <w:rFonts w:ascii="Times New Roman;serif" w:hAnsi="Times New Roman;serif"/>
          <w:b/>
          <w:color w:val="000000"/>
          <w:sz w:val="20"/>
        </w:rPr>
      </w:pPr>
      <w:r>
        <w:rPr>
          <w:rFonts w:ascii="Times New Roman;serif" w:hAnsi="Times New Roman;serif"/>
          <w:b/>
          <w:color w:val="000000"/>
          <w:sz w:val="20"/>
        </w:rPr>
        <w:t>Note 10.Acquisitions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Quadvest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2025, the Company, through its indirect subsidiary, TWC, entered into an asset purchase agreement (the “Regulated Business APA”), with Quadvest, L.P. (“Quadvest Retail”) and the Company, as guarantor, pursuant to which, and subject to the terms and conditions set forth therein, Quadvest Retail has agreed to sell, and TWC has agreed to acquire, substantially all of the assets of Quadvest L.P. related to the operation of Quadvest L.P.’s water and sewer utility business at a purchase price consisting of a base amount of $483.6 million, with certain adjustments based on capital expenditures (the “Regulated Business Transaction”). The Regulated Business Transaction will be subject to the satisfaction of various closing conditions set forth in the Regulated Business APA, including satisfaction of the closing conditions with respect to the Wholesale Business Transaction described below.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Concurrently on July 7, 2025, the Company, its indirect subsidiaries, TWOS and TWC (together with the Company and TWOS, the “Purchasers”), entered into another asset purchase agreement (the “Wholesale Business APA”), with Quadvest Retail and its affiliate, Quadvest Wholesale, LLC (“Quadvest Wholesale”), pursuant to which, and subject to the terms and conditions set forth therein, Quadvest Wholesale has agreed to sell, and TWOS has agreed to acquire substantially all of the assets of Quadvest Wholesale related to the operation of Quadvest Wholesale’s wholesale water and sewer business at a purchase price consisting of a base amount of $56.4 million, with certain adjustments based on capital expenditures (the “Wholesale Business Transaction”). The Wholesale Business Transaction will be subject to the satisfaction of various closing conditions set forth in the Wholesale Business APA, including the simultaneous closing of the Regulated Business Transaction described above.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2025, TWC filed a request with the Public Utility Commission of Texas (the “PUCT”) to use Fair Market Value (“FMV”) to support its acquisition of Quadvest Retail. On August 7, 2025, the PUCT appointed three appraisers to determine the FMV. In December 2025, TWC received the appraised FMV from the PUCT-appointed appraisers for the assets of Quadvest Retail. In accordance with Texas’ FMV statute, the purchase price of $483.6 million will serve as the ratemaking rate base. On January 22, 2026, TWC filed its Sale, Transfer, Merger (“STM”) application with the PUCT. This application was deemed administratively complete on April 14, 2026. Notice to affected parties and customers was found sufficient on May 21, 2026. On July 9, 2026, PUCT Staff recommended that the transaction should be allowed to proceed.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2.MANAGEMENT’S DISCUSSION AND ANALYSIS OF FINANCIAL CONDITION AND RESULTS OF OPERATIONS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(Dollar amounts in thousands, except per share amounts and where otherwise noted)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H2O America’s Annual Report on Form 10-K for the year ended December 31,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H2O America’s Annual Report on Form 10-K for the year ended December 31, 2025 under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a holding company whose primary business involves ownership of public utilities that provide water and wastewater services, including the production, purchase, storage, purification, distribution, wholesale and retail sale of water. The water utility business of H2O America is conducted through the following wholly owned subsidiaries: San Jose Water Company (“SJWC”), The Connecticut Water Company (“CWC”), The Maine Water Company (“MWC”), and SJWTX, Inc. doing business as The Texas Water Company (“TWC”). These subsidiaries provide water service to approximately 409,000 water and wastewater service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 </w:t>
      </w:r>
    </w:p>
    <w:p>
      <w:pPr>
        <w:pStyle w:val="TextBody"/>
        <w:bidi w:val="0"/>
        <w:spacing w:lineRule="auto" w:line="288" w:before="120" w:after="283"/>
        <w:jc w:val="left"/>
        <w:rPr/>
      </w:pPr>
      <w:r>
        <w:rPr>
          <w:rFonts w:ascii="Times New Roman;serif" w:hAnsi="Times New Roman;serif"/>
          <w:b w:val="false"/>
          <w:color w:val="000000"/>
          <w:sz w:val="20"/>
        </w:rPr>
        <w:t xml:space="preserve">Together, </w:t>
      </w:r>
      <w:r>
        <w:rPr>
          <w:rFonts w:ascii="Times New Roman;serif" w:hAnsi="Times New Roman;serif"/>
          <w:b w:val="false"/>
          <w:color w:val="000000"/>
          <w:sz w:val="20"/>
          <w:shd w:fill="FFFFFF" w:val="clear"/>
        </w:rPr>
        <w:t xml:space="preserve">SJWC, excluding the City of Cupertino (“Cupertino”) service concession arrangement operations, CWC, MWC and TWC </w:t>
      </w:r>
      <w:r>
        <w:rPr>
          <w:rFonts w:ascii="Times New Roman;serif" w:hAnsi="Times New Roman;serif"/>
          <w:b w:val="false"/>
          <w:color w:val="000000"/>
          <w:sz w:val="20"/>
        </w:rPr>
        <w:t>are referred to as “Water Utility Services,” which is our single reportable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business activities that are not separately reportable segments are SJWC’s Cupertino service concession arrangement operations, Texas Water Operation Services, LLC (“TWOS”), Texas Water Resources, LLC (“TWR”), New England Water Utility Services, Inc. (“NEWUS”), H2O America Land Company and Chester Realty, Inc. and are collectively referred to as “Other Services.”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Business Strategy for Water Utility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focuses its business initiatives in three strategic areas: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(1)Investing in regional regulated water utility operations to support the health, safety and quality of life of our customers;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(2)Regional non-tariffed water utility-related services provided in accordance with the guidelines established by applicable state public utility commissions;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(3)Out-of-region water and utility-related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margins, and adversely affect our internal controls. H2O America cannot be certain that any transaction will be successful or that it will not materially harm operating results or our financial condition.</w:t>
      </w:r>
    </w:p>
    <w:p>
      <w:pPr>
        <w:pStyle w:val="TextBody"/>
        <w:bidi w:val="0"/>
        <w:spacing w:lineRule="auto" w:line="288" w:before="120" w:after="283"/>
        <w:jc w:val="left"/>
        <w:rPr/>
      </w:pPr>
      <w:r>
        <w:rPr>
          <w:rFonts w:ascii="Times New Roman;serif" w:hAnsi="Times New Roman;serif"/>
          <w:b w:val="false"/>
          <w:color w:val="000000"/>
          <w:sz w:val="20"/>
        </w:rPr>
        <w:t xml:space="preserve">As previously disclosed, H2O America, through its indirect subsidiary, TWC, will acquire regulated systems owned by Quadvest L.P. for $483.6 million, and TWOS will acquire systems owned by Quadvest Wholesale LLC for $56.4 million. Please see </w:t>
      </w:r>
      <w:hyperlink w:anchor="i739e44ce03154a6eb5b7761b736783b1_64">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color w:val="000000"/>
          <w:sz w:val="20"/>
        </w:rPr>
        <w:t>Acquisitions” for further discussion. On the completion of this acquisition, Quadvest will bring operational scale, a strong development pipeline, and increased exposure to one of America’s fastest growing regions, Houston, TX. Quadvest brings a strong legacy of local relationships and reliable service. It has been providing water and sewer service in Southeast Texas for nearly 50 years through its operating entities.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is based on the accounting estimates used and disclosed in our 2025 consolidated financial statements and accompanying notes that were prepared in accordance with accounting principles generally accepted in the United States of America and included as part of our Annual Report on Form 10-K for the year ended December 31, 2025, that was filed with the Securities and Exchange Commission on February 26,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of Financial Condition and Results of Operations included in our Annual Report on Form 10-K for the year ended December 31, 2025. Our significant accounting policies are described in the notes to the 2025 consolidated financial statements included in our Annual Report on Form 10-K for the year ended December 31, 2025. There have been no changes to critical accounting estimates or significant accounting policies during the three and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60" w:after="283"/>
        <w:jc w:val="left"/>
        <w:rPr/>
      </w:pPr>
      <w:r>
        <w:rPr>
          <w:rFonts w:ascii="Times New Roman;serif" w:hAnsi="Times New Roman;serif"/>
          <w:b w:val="false"/>
          <w:color w:val="000000"/>
          <w:sz w:val="20"/>
        </w:rPr>
        <w:t xml:space="preserve">See </w:t>
      </w:r>
      <w:hyperlink w:anchor="i739e44ce03154a6eb5b7761b736783b1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General” for a discussion of new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sales are seasonal in nature and are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 </w:t>
      </w:r>
    </w:p>
    <w:p>
      <w:pPr>
        <w:pStyle w:val="TextBody"/>
        <w:bidi w:val="0"/>
        <w:spacing w:lineRule="auto" w:line="288" w:before="12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Overview</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H2O America’s financial results and highlights include:</w:t>
      </w:r>
    </w:p>
    <w:tbl>
      <w:tblPr>
        <w:tblW w:w="10764" w:type="dxa"/>
        <w:jc w:val="left"/>
        <w:tblInd w:w="0" w:type="dxa"/>
        <w:tblLayout w:type="fixed"/>
        <w:tblCellMar>
          <w:top w:w="28" w:type="dxa"/>
          <w:left w:w="28" w:type="dxa"/>
          <w:bottom w:w="28" w:type="dxa"/>
          <w:right w:w="28" w:type="dxa"/>
        </w:tblCellMar>
      </w:tblPr>
      <w:tblGrid>
        <w:gridCol w:w="337"/>
        <w:gridCol w:w="296"/>
        <w:gridCol w:w="298"/>
        <w:gridCol w:w="211"/>
        <w:gridCol w:w="826"/>
        <w:gridCol w:w="109"/>
        <w:gridCol w:w="109"/>
        <w:gridCol w:w="109"/>
        <w:gridCol w:w="109"/>
        <w:gridCol w:w="413"/>
        <w:gridCol w:w="413"/>
        <w:gridCol w:w="156"/>
        <w:gridCol w:w="109"/>
        <w:gridCol w:w="109"/>
        <w:gridCol w:w="109"/>
        <w:gridCol w:w="360"/>
        <w:gridCol w:w="361"/>
        <w:gridCol w:w="261"/>
        <w:gridCol w:w="109"/>
        <w:gridCol w:w="109"/>
        <w:gridCol w:w="109"/>
        <w:gridCol w:w="204"/>
        <w:gridCol w:w="172"/>
        <w:gridCol w:w="271"/>
        <w:gridCol w:w="109"/>
        <w:gridCol w:w="109"/>
        <w:gridCol w:w="109"/>
        <w:gridCol w:w="211"/>
        <w:gridCol w:w="826"/>
        <w:gridCol w:w="109"/>
        <w:gridCol w:w="109"/>
        <w:gridCol w:w="109"/>
        <w:gridCol w:w="109"/>
        <w:gridCol w:w="413"/>
        <w:gridCol w:w="413"/>
        <w:gridCol w:w="156"/>
        <w:gridCol w:w="109"/>
        <w:gridCol w:w="109"/>
        <w:gridCol w:w="109"/>
        <w:gridCol w:w="360"/>
        <w:gridCol w:w="361"/>
        <w:gridCol w:w="261"/>
        <w:gridCol w:w="109"/>
        <w:gridCol w:w="109"/>
        <w:gridCol w:w="109"/>
        <w:gridCol w:w="196"/>
        <w:gridCol w:w="165"/>
        <w:gridCol w:w="316"/>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3"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has a single reportable segment, referred to as “Water Utility Services.” All other business activities not separately reportable are included in “Other Services.” Operating revenue for the Water Utility Services reportable segment and Other Services was as follows:</w:t>
      </w:r>
    </w:p>
    <w:tbl>
      <w:tblPr>
        <w:tblW w:w="7884" w:type="dxa"/>
        <w:jc w:val="left"/>
        <w:tblInd w:w="0" w:type="dxa"/>
        <w:tblLayout w:type="fixed"/>
        <w:tblCellMar>
          <w:top w:w="28" w:type="dxa"/>
          <w:left w:w="28" w:type="dxa"/>
          <w:bottom w:w="28" w:type="dxa"/>
          <w:right w:w="28" w:type="dxa"/>
        </w:tblCellMar>
      </w:tblPr>
      <w:tblGrid>
        <w:gridCol w:w="749"/>
        <w:gridCol w:w="658"/>
        <w:gridCol w:w="663"/>
        <w:gridCol w:w="260"/>
        <w:gridCol w:w="1019"/>
        <w:gridCol w:w="134"/>
        <w:gridCol w:w="134"/>
        <w:gridCol w:w="134"/>
        <w:gridCol w:w="134"/>
        <w:gridCol w:w="413"/>
        <w:gridCol w:w="413"/>
        <w:gridCol w:w="156"/>
        <w:gridCol w:w="109"/>
        <w:gridCol w:w="109"/>
        <w:gridCol w:w="109"/>
        <w:gridCol w:w="236"/>
        <w:gridCol w:w="927"/>
        <w:gridCol w:w="122"/>
        <w:gridCol w:w="122"/>
        <w:gridCol w:w="122"/>
        <w:gridCol w:w="122"/>
        <w:gridCol w:w="413"/>
        <w:gridCol w:w="413"/>
        <w:gridCol w:w="213"/>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Revenue by Segment</w:t>
            </w:r>
          </w:p>
        </w:tc>
      </w:tr>
      <w:tr>
        <w:trPr/>
        <w:tc>
          <w:tcPr>
            <w:tcW w:w="2070" w:type="dxa"/>
            <w:gridSpan w:val="3"/>
            <w:vMerge w:val="continue"/>
            <w:tcBorders/>
            <w:tcMar>
              <w:top w:w="0" w:type="dxa"/>
              <w:left w:w="0" w:type="dxa"/>
              <w:bottom w:w="0" w:type="dxa"/>
              <w:right w:w="0" w:type="dxa"/>
            </w:tcMar>
            <w:vAlign w:val="center"/>
          </w:tcPr>
          <w:p>
            <w:pPr>
              <w:pStyle w:val="Normal"/>
              <w:bidi w:val="0"/>
              <w:jc w:val="left"/>
              <w:rPr/>
            </w:pPr>
            <w:r>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consolidated operating revenue was due to the following factors:</w:t>
      </w:r>
    </w:p>
    <w:tbl>
      <w:tblPr>
        <w:tblW w:w="7372" w:type="dxa"/>
        <w:jc w:val="left"/>
        <w:tblInd w:w="0" w:type="dxa"/>
        <w:tblLayout w:type="fixed"/>
        <w:tblCellMar>
          <w:top w:w="28" w:type="dxa"/>
          <w:left w:w="28" w:type="dxa"/>
          <w:bottom w:w="28" w:type="dxa"/>
          <w:right w:w="28" w:type="dxa"/>
        </w:tblCellMar>
      </w:tblPr>
      <w:tblGrid>
        <w:gridCol w:w="1054"/>
        <w:gridCol w:w="924"/>
        <w:gridCol w:w="932"/>
        <w:gridCol w:w="211"/>
        <w:gridCol w:w="721"/>
        <w:gridCol w:w="109"/>
        <w:gridCol w:w="109"/>
        <w:gridCol w:w="109"/>
        <w:gridCol w:w="109"/>
        <w:gridCol w:w="203"/>
        <w:gridCol w:w="203"/>
        <w:gridCol w:w="271"/>
        <w:gridCol w:w="109"/>
        <w:gridCol w:w="109"/>
        <w:gridCol w:w="109"/>
        <w:gridCol w:w="211"/>
        <w:gridCol w:w="721"/>
        <w:gridCol w:w="109"/>
        <w:gridCol w:w="109"/>
        <w:gridCol w:w="109"/>
        <w:gridCol w:w="109"/>
        <w:gridCol w:w="203"/>
        <w:gridCol w:w="203"/>
        <w:gridCol w:w="31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Rate increases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Pass-through water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increases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Regulatory mechanisms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Consists of rate increases specifically associated with changes in the water supply costs that are passed through to customers.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    Primarily associated with general rate cases and related annual escalation adjustments, infrastructure surcharges, and cost of capital adjustments.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    Excludes portion attributable to rate increases, which are shown in the rate increase lines above.</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is summarized below:</w:t>
      </w:r>
    </w:p>
    <w:tbl>
      <w:tblPr>
        <w:tblW w:w="7778" w:type="dxa"/>
        <w:jc w:val="left"/>
        <w:tblInd w:w="0" w:type="dxa"/>
        <w:tblLayout w:type="fixed"/>
        <w:tblCellMar>
          <w:top w:w="28" w:type="dxa"/>
          <w:left w:w="28" w:type="dxa"/>
          <w:bottom w:w="28" w:type="dxa"/>
          <w:right w:w="28" w:type="dxa"/>
        </w:tblCellMar>
      </w:tblPr>
      <w:tblGrid>
        <w:gridCol w:w="711"/>
        <w:gridCol w:w="624"/>
        <w:gridCol w:w="629"/>
        <w:gridCol w:w="260"/>
        <w:gridCol w:w="1019"/>
        <w:gridCol w:w="134"/>
        <w:gridCol w:w="134"/>
        <w:gridCol w:w="134"/>
        <w:gridCol w:w="134"/>
        <w:gridCol w:w="413"/>
        <w:gridCol w:w="413"/>
        <w:gridCol w:w="156"/>
        <w:gridCol w:w="109"/>
        <w:gridCol w:w="109"/>
        <w:gridCol w:w="109"/>
        <w:gridCol w:w="236"/>
        <w:gridCol w:w="927"/>
        <w:gridCol w:w="122"/>
        <w:gridCol w:w="122"/>
        <w:gridCol w:w="122"/>
        <w:gridCol w:w="122"/>
        <w:gridCol w:w="413"/>
        <w:gridCol w:w="413"/>
        <w:gridCol w:w="21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 by Segment</w:t>
            </w:r>
          </w:p>
        </w:tc>
      </w:tr>
      <w:tr>
        <w:trPr/>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313,587 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consolidated operating expense was due to the following factors:</w:t>
      </w:r>
    </w:p>
    <w:tbl>
      <w:tblPr>
        <w:tblW w:w="10205" w:type="dxa"/>
        <w:jc w:val="left"/>
        <w:tblInd w:w="0" w:type="dxa"/>
        <w:tblLayout w:type="fixed"/>
        <w:tblCellMar>
          <w:top w:w="28" w:type="dxa"/>
          <w:left w:w="28" w:type="dxa"/>
          <w:bottom w:w="28" w:type="dxa"/>
          <w:right w:w="28" w:type="dxa"/>
        </w:tblCellMar>
      </w:tblPr>
      <w:tblGrid>
        <w:gridCol w:w="2165"/>
        <w:gridCol w:w="1786"/>
        <w:gridCol w:w="1791"/>
        <w:gridCol w:w="211"/>
        <w:gridCol w:w="721"/>
        <w:gridCol w:w="109"/>
        <w:gridCol w:w="109"/>
        <w:gridCol w:w="109"/>
        <w:gridCol w:w="109"/>
        <w:gridCol w:w="203"/>
        <w:gridCol w:w="203"/>
        <w:gridCol w:w="271"/>
        <w:gridCol w:w="109"/>
        <w:gridCol w:w="109"/>
        <w:gridCol w:w="109"/>
        <w:gridCol w:w="211"/>
        <w:gridCol w:w="721"/>
        <w:gridCol w:w="109"/>
        <w:gridCol w:w="109"/>
        <w:gridCol w:w="109"/>
        <w:gridCol w:w="109"/>
        <w:gridCol w:w="202"/>
        <w:gridCol w:w="204"/>
        <w:gridCol w:w="317"/>
      </w:tblGrid>
      <w:tr>
        <w:trPr/>
        <w:tc>
          <w:tcPr>
            <w:tcW w:w="2165"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5742"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5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consumption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new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 and groundwater extraction charge, energy price change and other production expenses,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Balancing and memorandum account cost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production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operating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57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Sources of Water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water supply for its regulated utilities is diversified across groundwater, surface water, and purchased sources, with the mix of and reliance on such sources varying by region. Operations in California and Texas face greater hydrologic variability and drought-related pressures, partially mitigated by long-term contracts, conservation measures, and regulatory cost recovery mechanisms, while operations in Connecticut and Maine maintain more stable supply conditions with fewer near-term constraints. Across all regions, the Company relies on long-term agreements with regional authorities and continues to invest in infrastructure and supply reliability initiatives. Overall, management expects existing supplies to be adequate to meet anticipated customer demand throughout 2026, although cost and availability remain sensitive to weather patterns and regional conditions.</w:t>
      </w:r>
    </w:p>
    <w:tbl>
      <w:tblPr>
        <w:tblW w:w="10205" w:type="dxa"/>
        <w:jc w:val="left"/>
        <w:tblInd w:w="0" w:type="dxa"/>
        <w:tblLayout w:type="fixed"/>
        <w:tblCellMar>
          <w:top w:w="28" w:type="dxa"/>
          <w:left w:w="28" w:type="dxa"/>
          <w:bottom w:w="28" w:type="dxa"/>
          <w:right w:w="28" w:type="dxa"/>
        </w:tblCellMar>
      </w:tblPr>
      <w:tblGrid>
        <w:gridCol w:w="520"/>
        <w:gridCol w:w="390"/>
        <w:gridCol w:w="357"/>
        <w:gridCol w:w="265"/>
        <w:gridCol w:w="252"/>
        <w:gridCol w:w="159"/>
        <w:gridCol w:w="159"/>
        <w:gridCol w:w="159"/>
        <w:gridCol w:w="159"/>
        <w:gridCol w:w="265"/>
        <w:gridCol w:w="252"/>
        <w:gridCol w:w="159"/>
        <w:gridCol w:w="109"/>
        <w:gridCol w:w="109"/>
        <w:gridCol w:w="109"/>
        <w:gridCol w:w="266"/>
        <w:gridCol w:w="266"/>
        <w:gridCol w:w="267"/>
        <w:gridCol w:w="109"/>
        <w:gridCol w:w="109"/>
        <w:gridCol w:w="109"/>
        <w:gridCol w:w="283"/>
        <w:gridCol w:w="207"/>
        <w:gridCol w:w="518"/>
        <w:gridCol w:w="109"/>
        <w:gridCol w:w="109"/>
        <w:gridCol w:w="109"/>
        <w:gridCol w:w="303"/>
        <w:gridCol w:w="218"/>
        <w:gridCol w:w="151"/>
        <w:gridCol w:w="151"/>
        <w:gridCol w:w="151"/>
        <w:gridCol w:w="151"/>
        <w:gridCol w:w="303"/>
        <w:gridCol w:w="218"/>
        <w:gridCol w:w="151"/>
        <w:gridCol w:w="109"/>
        <w:gridCol w:w="109"/>
        <w:gridCol w:w="109"/>
        <w:gridCol w:w="266"/>
        <w:gridCol w:w="266"/>
        <w:gridCol w:w="267"/>
        <w:gridCol w:w="109"/>
        <w:gridCol w:w="109"/>
        <w:gridCol w:w="109"/>
        <w:gridCol w:w="279"/>
        <w:gridCol w:w="199"/>
        <w:gridCol w:w="593"/>
      </w:tblGrid>
      <w:tr>
        <w:trPr/>
        <w:tc>
          <w:tcPr>
            <w:tcW w:w="5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Change</w:t>
            </w:r>
          </w:p>
        </w:tc>
      </w:tr>
      <w:tr>
        <w:trPr/>
        <w:tc>
          <w:tcPr>
            <w:tcW w:w="1267"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(billion gallons)</w:t>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w:t>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water</w:t>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Reclaimed water</w:t>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source of supply mix were consistent with the changes in the water production expenses.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Water Production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water production expenses of $4.6 million for the three months ended June 30, 2026, compared to the same period in 2025, was primarily attributable to increases in average per unit costs for purchased water and groundwater extraction, partially offset by lower usage.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water production expenses of $12.1 million for the six months ended June 30, 2026, compared to the same period in 2025, was primarily attributable to increases in average per unit costs for purchased water and groundwater extraction, increases in water production balancing and memorandum accounts, primarily relating to the FCBA, and higher customer usage, partially offset by decreases in costs as a result of increased availability of surface water.</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$3.4 million for the three months ended June 30, 2026 compared to the same period in 2025. The increase is associated with utility plant additions placed in service compared to the same period last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$7.4 million for the six months ended June 30, 2026 compared to the same period in 2025. The increase is associated with utility plant additions placed in service compared to the same period last year.</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Other Operating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water production expenses, increased $5.3 million for the three months ended June 30, 2026, compared to the same period in 2025. The increase was primarily attributable to a net increase in general and administrative expenses driven by increased merger and acquisition costs, increased outsourced services costs, increased employee-related costs and increased maintenance agreement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water production expenses, increased $8.0 million for the six months ended June 30, 2026, compared to the same period in 2025. The increase was primarily attributable to a net increase in general and administrative expenses driven by higher merger and acquisition costs, outsourced services, insurance, and maintenance agreement costs.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Other (Expense)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compared to the same period in 2025, the change in other (expense) income of $2.3 million was primarily due to an increase in investment income from higher investment balances, an increase in pension non-service credits, and higher income from the equity portion of the Allowance for Funds Used During Construction (AFUDC).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in 2025, the change in other (expense) income of $3.2 million was primarily due to higher income from the equity portion of the AFUDC, an increase in pension non-service credits, and an increase in investment income from higher investment balances.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net income and diluted EPS are prepared in accordance with GAAP. Adjusted net income and Adjusted diluted EPS are non-GAAP financial measures representing GAAP earnings adjusted to exclude the effects of non-utility real estate transactions and costs associated with mergers and acquisition activities, if any. These non-GAAP financial measures are provided as additional information for investors to evaluate the performance of H2O America's business activities excluding these items. Management also believes these non-GAAP financial measures help investors and analysts better understand our actual results compared to our guidance on a non-GAAP basis. H2O America uses adjusted net income and/or adjusted diluted EPS as the primary performance measurements when communicating with analysts and investors regarding our outlook and results. Adjusted net income and Adjusted diluted EPS are also used internally to measure performance. However, these non-GAAP financial measures may be different from non-GAAP financial measures used by other companies, even when the same or similarly titled terms are used to identify such measures, limiting their usefulness for comparative purposes. Further, these non-GAAP financial measures should be considered as a supplement to the financial information prepared on a GAAP basis rather than an alternative to the respective 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Net Income and EPS, each as defined under GAAP, to our non-GAAP financial measures of Adjusted Net Income and Adjusted EPS for the three and six months ended June 30, 2026,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03"/>
        <w:gridCol w:w="1512"/>
        <w:gridCol w:w="1523"/>
        <w:gridCol w:w="258"/>
        <w:gridCol w:w="882"/>
        <w:gridCol w:w="132"/>
        <w:gridCol w:w="132"/>
        <w:gridCol w:w="132"/>
        <w:gridCol w:w="132"/>
        <w:gridCol w:w="360"/>
        <w:gridCol w:w="361"/>
        <w:gridCol w:w="156"/>
        <w:gridCol w:w="109"/>
        <w:gridCol w:w="109"/>
        <w:gridCol w:w="109"/>
        <w:gridCol w:w="240"/>
        <w:gridCol w:w="820"/>
        <w:gridCol w:w="123"/>
        <w:gridCol w:w="123"/>
        <w:gridCol w:w="123"/>
        <w:gridCol w:w="123"/>
        <w:gridCol w:w="360"/>
        <w:gridCol w:w="361"/>
        <w:gridCol w:w="222"/>
      </w:tblGrid>
      <w:tr>
        <w:trPr/>
        <w:tc>
          <w:tcPr>
            <w:tcW w:w="18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 Net Income: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sale of real estate investments</w:t>
            </w:r>
            <w:r>
              <w:rPr>
                <w:rFonts w:ascii="Times New Roman;serif" w:hAnsi="Times New Roman;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Expense for merger, acquisition and integration related activities</w:t>
            </w:r>
            <w:r>
              <w:rPr>
                <w:rFonts w:ascii="Times New Roman;serif" w:hAnsi="Times New Roman;serif"/>
                <w:b w:val="false"/>
                <w:color w:val="000000"/>
                <w:sz w:val="13"/>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above adjustments</w:t>
            </w:r>
            <w:r>
              <w:rPr>
                <w:rFonts w:ascii="Times New Roman;serif" w:hAnsi="Times New Roman;serif"/>
                <w:b w:val="false"/>
                <w:color w:val="000000"/>
                <w:sz w:val="13"/>
              </w:rPr>
              <w:t>2</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42,916 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 Diluted Earnings Per Share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real estate investments, net of tax</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merger, acquisition and integration related activities, net of tax</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 (non-GAAP)</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1 Included in the "Administrative and general" and “Other, net” lines on the consolidated statements of comprehensive income.</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The tax effect on all adjustments is calculated at the applicable statutory rate.</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Regulation and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Almost all of the operating revenue of H2O America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pStyle w:val="TextBody"/>
        <w:bidi w:val="0"/>
        <w:spacing w:lineRule="auto" w:line="256" w:before="160" w:after="283"/>
        <w:jc w:val="left"/>
        <w:rPr/>
      </w:pPr>
      <w:r>
        <w:rPr>
          <w:rFonts w:ascii="Times New Roman;serif" w:hAnsi="Times New Roman;serif"/>
          <w:b w:val="false"/>
          <w:color w:val="000000"/>
          <w:sz w:val="20"/>
        </w:rPr>
        <w:t xml:space="preserve">Please also see </w:t>
      </w:r>
      <w:hyperlink w:anchor="i739e44ce03154a6eb5b7761b736783b1_37">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Regulatory Matters”.</w:t>
      </w:r>
    </w:p>
    <w:p>
      <w:pPr>
        <w:pStyle w:val="TextBody"/>
        <w:bidi w:val="0"/>
        <w:spacing w:lineRule="auto" w:line="256"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current rate related activities as applicable for Water Utility Services:</w:t>
      </w:r>
    </w:p>
    <w:tbl>
      <w:tblPr>
        <w:tblW w:w="10205" w:type="dxa"/>
        <w:jc w:val="left"/>
        <w:tblInd w:w="0" w:type="dxa"/>
        <w:tblLayout w:type="fixed"/>
        <w:tblCellMar>
          <w:top w:w="28" w:type="dxa"/>
          <w:left w:w="28" w:type="dxa"/>
          <w:bottom w:w="28" w:type="dxa"/>
          <w:right w:w="28" w:type="dxa"/>
        </w:tblCellMar>
      </w:tblPr>
      <w:tblGrid>
        <w:gridCol w:w="342"/>
        <w:gridCol w:w="301"/>
        <w:gridCol w:w="303"/>
        <w:gridCol w:w="375"/>
        <w:gridCol w:w="375"/>
        <w:gridCol w:w="376"/>
        <w:gridCol w:w="1280"/>
        <w:gridCol w:w="1098"/>
        <w:gridCol w:w="1101"/>
        <w:gridCol w:w="662"/>
        <w:gridCol w:w="566"/>
        <w:gridCol w:w="568"/>
        <w:gridCol w:w="548"/>
        <w:gridCol w:w="548"/>
        <w:gridCol w:w="550"/>
        <w:gridCol w:w="399"/>
        <w:gridCol w:w="335"/>
        <w:gridCol w:w="4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Company</w:t>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Jurisdiction</w:t>
            </w:r>
          </w:p>
        </w:tc>
        <w:tc>
          <w:tcPr>
            <w:tcW w:w="34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Regulatory Mechanism / Filing</w:t>
            </w:r>
          </w:p>
        </w:tc>
        <w:tc>
          <w:tcPr>
            <w:tcW w:w="1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Revenue Impact</w:t>
            </w:r>
          </w:p>
        </w:tc>
        <w:tc>
          <w:tcPr>
            <w:tcW w:w="1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Approval / Decision Date</w:t>
            </w:r>
          </w:p>
        </w:tc>
        <w:tc>
          <w:tcPr>
            <w:tcW w:w="12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Rates Effective</w:t>
            </w:r>
          </w:p>
        </w:tc>
      </w:tr>
      <w:tr>
        <w:trPr/>
        <w:tc>
          <w:tcPr>
            <w:tcW w:w="1020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Approved Regulatory Proceedings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Advice Letter No. 613 – Revenue Requirement and Balancing and Memorandum account Recovery</w:t>
            </w:r>
          </w:p>
        </w:tc>
        <w:tc>
          <w:tcPr>
            <w:tcW w:w="17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$21.3 million increase; $15.8 million recovery</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December 2024 (D.24-12-077)</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Advice Letter No. 616 – Purchased Water / Groundwater Offset</w:t>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$22.5 million increase</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May 2025</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Advice Letter No. 617 – Advanced Metering Infrastructure (“AMI”) Project Recovery</w:t>
            </w:r>
          </w:p>
        </w:tc>
        <w:tc>
          <w:tcPr>
            <w:tcW w:w="17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$6.8 million increase</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May 2025</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Advice Letter No. 618 – Water Contamination Litigation Memorandum Account (“WCLMA”)</w:t>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immediate revenue impact</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July 2025</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Advice Letter No. 620 – Ground Water Regulation Legal Expenses Memorandum Account (“GWRLEMA”) </w:t>
            </w:r>
          </w:p>
        </w:tc>
        <w:tc>
          <w:tcPr>
            <w:tcW w:w="17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immediate revenue impact</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October 2025</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Advice Letter No. 621A – Revenue Requirement Increase</w:t>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$17.2 million increase</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December 2025</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7"/>
        <w:gridCol w:w="369"/>
        <w:gridCol w:w="369"/>
        <w:gridCol w:w="373"/>
        <w:gridCol w:w="1097"/>
        <w:gridCol w:w="701"/>
        <w:gridCol w:w="703"/>
        <w:gridCol w:w="1098"/>
        <w:gridCol w:w="764"/>
        <w:gridCol w:w="767"/>
        <w:gridCol w:w="392"/>
        <w:gridCol w:w="392"/>
        <w:gridCol w:w="393"/>
        <w:gridCol w:w="668"/>
        <w:gridCol w:w="618"/>
        <w:gridCol w:w="88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 of Capital (“COC”) Filing Deferment</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change expected</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November 2025</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for the next COC filing will be May 1, 2027, approximately effective January 1, 2028 </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Advice Letter No. 627A – Monterey Water Revenue Adjustment Mechanism (“M-WRAM”) </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$13.3 million surcharge</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June 2026</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Advice Letter No. 628A – Purchased Water / Groundwater Offset</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$22.8 million increase</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June 2026</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Advice Letter No. 629A – </w:t>
              <w:br/>
              <w:t>AMI Project Recovery</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$8.38 million increase; $52.9 million rate base increase</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June 2026</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2024 Water Infrastructure Conservation Adjustment (“WICA”) Reconciliation and Increase</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$1.6 million surcharge, $6.0 million annual collection</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2025</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2024 Water Rate Adjustment mechanism (“WRA”)</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$4.6 million surcharge</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2025</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2025 WICA Increase</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 million surcharge, $9.1 million annual collection</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July 2025</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Water Quality and Treatment Adjustment (“WQTA”)</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$0.6 million surcharge</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2026</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2025 WRA</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$7.2 million surcharge</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2026</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2025 WICA Reconciliation and Increase</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 of $2.7 million surcharge and reconciliation surcharge of $0.3 million. $12.1 million annual collection</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2026</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Camden Rockland General Rate Case</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$0.9 million increase</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June 2025</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Water Infrastructure Surcharge (“WISC”) for Oakland and Biddeford Saco divisions</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$0.5 million surcharge</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June 2025</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Request to establish a unified tariff across its ten separate rate divisions.</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revenue impact</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January 2026</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WISC</w:t>
            </w:r>
          </w:p>
        </w:tc>
        <w:tc>
          <w:tcPr>
            <w:tcW w:w="26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$0.9 million surcharge</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May 2026</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System Improvement Charge (“SIC”)</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 of $3.9 million for water and $0.2 million for sewer</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May 2025</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15, 2025</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Pending Regulatory Proceedings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Recovery of Per- and Polyfluoroalkyl Substances (“PFAS”) Compliance Program</w:t>
            </w:r>
          </w:p>
        </w:tc>
        <w:tc>
          <w:tcPr>
            <w:tcW w:w="26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 immediate revenue impact</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April 10, 2026</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Expected Q4 2027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5"/>
        <w:gridCol w:w="198"/>
        <w:gridCol w:w="370"/>
        <w:gridCol w:w="370"/>
        <w:gridCol w:w="371"/>
        <w:gridCol w:w="631"/>
        <w:gridCol w:w="553"/>
        <w:gridCol w:w="527"/>
        <w:gridCol w:w="1120"/>
        <w:gridCol w:w="1120"/>
        <w:gridCol w:w="1125"/>
        <w:gridCol w:w="539"/>
        <w:gridCol w:w="455"/>
        <w:gridCol w:w="457"/>
        <w:gridCol w:w="568"/>
        <w:gridCol w:w="568"/>
        <w:gridCol w:w="815"/>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Rate Case</w:t>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$28.8 million increase</w:t>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May 11, 2026</w:t>
            </w:r>
          </w:p>
        </w:tc>
        <w:tc>
          <w:tcPr>
            <w:tcW w:w="19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February 2027</w:t>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365"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17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Rate Case</w:t>
            </w:r>
          </w:p>
        </w:tc>
        <w:tc>
          <w:tcPr>
            <w:tcW w:w="33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$9.5 million increase</w:t>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April 13, 2026</w:t>
            </w:r>
          </w:p>
        </w:tc>
        <w:tc>
          <w:tcPr>
            <w:tcW w:w="19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Q2 2027</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Second SIC Amendment</w:t>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 of $4.7 million for water and $0.3 million for sewer</w:t>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October 6, 2025</w:t>
            </w:r>
          </w:p>
        </w:tc>
        <w:tc>
          <w:tcPr>
            <w:tcW w:w="195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Expected second half of 2026</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filings included in the above table, TWC is required to file a general rate case on or before March 21, 2028.</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Water Utility Services’ business derives the majority of its revenue directly from residential and business customers. Management asserts that the collection rate for its accounts receivables has improved as the ability to use service disconnections has returned to normal.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Funds collected from Water Utility Services’ customers are used to pay for water production expenses, in addition to costs associated with general operations. Funds were also generated from borrowings.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H2O America and its subsidiaries received $290.2 million in proceeds from an underwritten offer of common stock. From these amounts, H2O America expects to fund its acquisition of Quadvest L.P. and Quadvest Wholesale LLC and capital expenditures. See Note 3 “Capitalization” and Note 4 "Lines of Credit and Long-term Liabilities” for discussion on the equity and debt financing activities of H2O America. In addition, H2O America paid cash dividends on its common stock of $34.3 million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the dividends declared and paid on H2O America’s common stock represented approximately 57% of net income. Dividends have been paid on H2O America’s and its predecessor’s common stock for 330 consecutive quarters and the annual dividend amount has increased in each of the last 58 years. While historically H2O America has generally paid dividends equal to approximately 50% to 60% of its net income, H2O America cannot guarantee that this trend will continue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operating, investing and financing cash flows for the six months ended June 30, 2026 and 2025.</w:t>
      </w:r>
    </w:p>
    <w:tbl>
      <w:tblPr>
        <w:tblW w:w="8459" w:type="dxa"/>
        <w:jc w:val="left"/>
        <w:tblInd w:w="0" w:type="dxa"/>
        <w:tblLayout w:type="fixed"/>
        <w:tblCellMar>
          <w:top w:w="28" w:type="dxa"/>
          <w:left w:w="28" w:type="dxa"/>
          <w:bottom w:w="28" w:type="dxa"/>
          <w:right w:w="28" w:type="dxa"/>
        </w:tblCellMar>
      </w:tblPr>
      <w:tblGrid>
        <w:gridCol w:w="1570"/>
        <w:gridCol w:w="1377"/>
        <w:gridCol w:w="1388"/>
        <w:gridCol w:w="237"/>
        <w:gridCol w:w="929"/>
        <w:gridCol w:w="122"/>
        <w:gridCol w:w="122"/>
        <w:gridCol w:w="122"/>
        <w:gridCol w:w="122"/>
        <w:gridCol w:w="449"/>
        <w:gridCol w:w="451"/>
        <w:gridCol w:w="156"/>
        <w:gridCol w:w="109"/>
        <w:gridCol w:w="109"/>
        <w:gridCol w:w="109"/>
        <w:gridCol w:w="360"/>
        <w:gridCol w:w="361"/>
        <w:gridCol w:w="366"/>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the period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the period</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H2O America generated cash flow from operations of $104.4 million compared to $104.0 million during six months ended June 30, 2025. Cash flow from operations are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the increase in cash flows from operations was primarily attributable to higher net income, changes in working capital balances, and changes in regulatory assets and liabilities.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investing activities consist of cash payments and cash receipts for capital expenditures and investments. Net cash used in investing activities for the six months ended June 30, 2026, decreased by $1.7 million from the same period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year related to lower company-funded utility capital expenditures of $10.2 million partially offset by increased developer-funded capital expenditures of $8.2 million.</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activities consist of cash payments to and cash receipts from creditors, investors, and developers. Net cash provided by financing activities for the six months ended June 30, 2026 increased by $72.6 million from the same period in the prior year, primarily as a result of (1) an increase in net proceeds from common stock equity offerings of $204.9 million, (2) an increase in proceeds of $16.9 million from the issuance of long-term debt, (3) proceeds from PFAS litigation settlement of $7.3 million, offset by (4) an increase in net repayments on the lines of credit of $127.2 million, (5) an increase in net repayments on long-term borrowings of $15.1 million, (6) a decrease in cash receipts of advances and contributions in aid of construction of $9.9 million and (7) an increase in payments of dividends of $5.6 million. </w:t>
      </w:r>
    </w:p>
    <w:p>
      <w:pPr>
        <w:pStyle w:val="TextBody"/>
        <w:bidi w:val="0"/>
        <w:spacing w:lineRule="auto" w:line="288" w:before="160" w:after="283"/>
        <w:ind w:left="0" w:right="0" w:firstLine="630"/>
        <w:jc w:val="left"/>
        <w:rPr>
          <w:rFonts w:ascii="Times New Roman;serif" w:hAnsi="Times New Roman;serif"/>
          <w:b/>
          <w:color w:val="000000"/>
          <w:sz w:val="20"/>
        </w:rPr>
      </w:pPr>
      <w:bookmarkStart w:id="0" w:name="iab9e0380fa934c2e80a5c852071ba1c4_5521"/>
      <w:bookmarkEnd w:id="0"/>
      <w:r>
        <w:rPr>
          <w:rFonts w:ascii="Times New Roman;serif" w:hAnsi="Times New Roman;serif"/>
          <w:b/>
          <w:color w:val="000000"/>
          <w:sz w:val="20"/>
        </w:rPr>
        <w:t>Budgeted 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Utility Services’ estimated utility capital expenditures for 2026, exclusive of capital expenditures financed by customer contributions and advances, are anticipated to be approximately $458.0 million. The budgeted capital expenditures exclude capitalizable costs of $25.0 million forecasted in 2026 that are associated with cloud-based computing arrangements. As of June 30, 2026, $194.3 million, or approximately 42%, of the $458.0 million has been invested.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$2,568.0 million in capital expenditures, which includes replacement of pipes and mains, maintaining water systems, and installing approximately $400.0 million in PFAS treatment facilities.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these capital expenditures, Water Utility Services expects to incur approximately $100.0 million over the next five years, including $25.0 million in 2026, in capitalizable costs associated with cloud-based computing arrangements. For the six months ended June 30, 2026, Water Utility Services incurred $12.6 million in cloud-based computing expenses.</w:t>
      </w:r>
    </w:p>
    <w:p>
      <w:pPr>
        <w:pStyle w:val="TextBody"/>
        <w:bidi w:val="0"/>
        <w:spacing w:before="12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Sources of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Financing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have unsecured line of credit agreements where borrowings are used to refinance existing debt, for working capital, and for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line of credit agreements as of June 30, 2026 are as follows:</w:t>
      </w:r>
    </w:p>
    <w:tbl>
      <w:tblPr>
        <w:tblW w:w="9782" w:type="dxa"/>
        <w:jc w:val="left"/>
        <w:tblInd w:w="0" w:type="dxa"/>
        <w:tblLayout w:type="fixed"/>
        <w:tblCellMar>
          <w:top w:w="28" w:type="dxa"/>
          <w:left w:w="28" w:type="dxa"/>
          <w:bottom w:w="28" w:type="dxa"/>
          <w:right w:w="28" w:type="dxa"/>
        </w:tblCellMar>
      </w:tblPr>
      <w:tblGrid>
        <w:gridCol w:w="1042"/>
        <w:gridCol w:w="917"/>
        <w:gridCol w:w="920"/>
        <w:gridCol w:w="574"/>
        <w:gridCol w:w="574"/>
        <w:gridCol w:w="577"/>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Portion</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Syndicated credit agreement:</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SJWTX</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syndicated credit agreement</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 credit agreement</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 credit agreement</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368,636 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7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11, 2026, SJWC extended the termination date of its uncommitted loan facility under the SJWC Credit Agreement from June 11, 2026 to June 11,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borrowings under the unsecured lines of credit as of June 30, 2026 were $1.4 million. For the six months ended June 30, 2026, the cost of borrowing on the lines of credit averaged 4.61% compared to 5.45% in the same period in 2025. As of June 30, 2026, the borrowing capacity of the lines of credit was $367.7 million, which excludes a $0.9 million standby letter of credit issued on behalf of H2O America Risk Solutions and guaranteed by H2O America under the Syndicated Credit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of H2O America’s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June 30, 2026, H2O America and its subsidiaries were in compliance with all covenants on their lines of credit.</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Long-term Financing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12, 2025, SJWC entered into a Note Purchase Agreement with certain institutional investors. Under the agreement, SJWC issued an aggregate principal amount of $70.0 million of senior notes in two series consisting of $55.0 million of 5.83% of Senior Notes, Series R ("Series R Notes"), and $15.0 million of 5.91% Senior Notes, Series S ("Series S Notes"). The issuance of the Series S Notes was subject to approval by the CPUC which closed on May 14, 2026. The Series S Notes are unsecured obligations of SJWC and are due on November 1, 2055. Interest is payable semi-annually in arrears on May 1st and November 1st of each year, commencing November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 of long-term debt outstanding, net of unamortized debt issuance costs and debt premium and discount, as of June 30, 2026 was $1,881.5 million. The current portion of long-term debt as of June 30, 2026 was $8.6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debt and credit agreements of H2O America and its subsidiaries contain various financial and other covenants. Non-compliance with these covenants could result in accelerated due dates and termination of the agreements. In addition, the debit and credit agreements contain customary representations and warranties and are subject to customary events of default, which may result in outstanding debt becoming immediately due and payable. As of June 30, 2026, H2O America and its subsidiaries were in compliance with all covenants related to their debt and credit agreements.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Financing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 million. The Equity Distribution Agreement replaced the previous agreement that ended in 2024. For the three and six months ended June 30, 2026, H2O America did not issue or sell any shares of its common stock under the Equity Distribution Agreement and, accordingly, received no net proceeds therefrom. Since the inception of the Equity Distribution Agreement, H2O America has issued and sold 2,763,359 shares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a weighted average price of $52.39 for total net proceeds of $143.0 million, and has $55.2 million of aggregate gross sales price of shares remaining to issue under the Equity Distribution Agreement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2026, H2O America issued 3,937,654 shares of common stock in an underwritten offering pursuant to an Underwriting Agreement with J.P. Morgan Securities LLC and Wells Fargo Securities LLC, as representatives of several underwriters named in the Underwriting Agreement (the “Offering”). In connection with the Offering, H2O America entered into two-year forward purchase agreements (“FPA”) to issue 7,547,170 shares of common stock with an initial forward purchase price of $51.28 per share, subject to adjustment based on the overnight bank funding rate and expected dividend amounts due upon settlement through maturity in March 2028. The FPA can be settled or net settled for delivery of physical shares or settled for cash at the option of H2O America. In addition, the underwriters in the Offering, through the exercise of a 30-day overallotment option, purchased an additional 1,722,723 shares of common stock at a price of $51.28 per share. Total net proceeds to H2O America for the common stock offering were $290.2 million after deducting the underwriting discounts and before estimated offering expenses payable by H2O America of $1.6 million, which are recognized as a reduction of additional paid-in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forward purchase agreements issued under the Offering were settled during the three and six months ended June 30, 2026.</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Rating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condition of the capital and credit markets or the strength of financial institutions could impact H2O America’s ability to draw on its lines of credit, issue long-term debt, sell its equity or earn interest income. In addition, government policies, the state of the credit markets and other factors could result in increased interest rates, which would increase H2O America’s cost of capital. While our ability to obtain financing will continue to be a risk, we believe that based on our 2026 and 2025 activities we will continue to have access to the external funding sources necessary to implement our ongoing capital investment programs in the future. On July 15, 2025, Standard &amp; Poor’s Ratings Services revised the outlook for H2O America, CTWS and CWC from stable to negative following the announcement of the Quadvest acquisition.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current Standard &amp; Poor’s Ratings Services assigned company ratings:</w:t>
      </w:r>
    </w:p>
    <w:tbl>
      <w:tblPr>
        <w:tblW w:w="3355" w:type="dxa"/>
        <w:jc w:val="left"/>
        <w:tblInd w:w="0" w:type="dxa"/>
        <w:tblLayout w:type="fixed"/>
        <w:tblCellMar>
          <w:top w:w="28" w:type="dxa"/>
          <w:left w:w="28" w:type="dxa"/>
          <w:bottom w:w="28" w:type="dxa"/>
          <w:right w:w="28" w:type="dxa"/>
        </w:tblCellMar>
      </w:tblPr>
      <w:tblGrid>
        <w:gridCol w:w="439"/>
        <w:gridCol w:w="384"/>
        <w:gridCol w:w="391"/>
        <w:gridCol w:w="109"/>
        <w:gridCol w:w="109"/>
        <w:gridCol w:w="109"/>
        <w:gridCol w:w="200"/>
        <w:gridCol w:w="200"/>
        <w:gridCol w:w="201"/>
        <w:gridCol w:w="109"/>
        <w:gridCol w:w="109"/>
        <w:gridCol w:w="109"/>
        <w:gridCol w:w="259"/>
        <w:gridCol w:w="259"/>
        <w:gridCol w:w="368"/>
      </w:tblGrid>
      <w:tr>
        <w:trPr/>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H2O America’s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has no derivative financial instruments, financial instruments with significant off-balance sheet risks, or financial instruments with concentrations of credit risk.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management, with the participation of its Chief Executive Officer and Chief Financial Officer, evaluated the effectiveness of H2O America’s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H2O America’s disclosure controls and procedures as of the end of the period covered by this report have been designed and are functioning effectively to provide reasonable assurance that the information required to be disclosed by H2O America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H2O America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 over financial reporting during the second fiscal quarter of 2026 that has materially affected, or is reasonably likely to materially affect, the internal controls over financial reporting of H2O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are subject to ordinary routine litigation incidental to its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an Multi-District Litigation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received $11.0 million from legal settlements with Tyco Fire Products LP, BASF Corporation, and 3M Company related to PFAS contamination, allocated as follows: SJWC received $7.4 million; CWC received $3.5 million; and MWC received $0.1 million, which includes $0.1 million payable to contract operators. For the three and six months ended June 30, 2025, the Company received $6.4 million in cash proceeds from a legal settlement with 3M Company related to PFAS contamination. These proceeds were allocated as follows: SJWC received $4.4 million; CWC received $1.9 million; and MWC received $0.1 million, which includes $0.1 million payable to contract operators. As of June 30, 2026, the Company has received aggregate cash proceeds of $36.1 million from MDL court approved settlements. The proceeds have been allocated as follows: SJWC received $24.4 million; CWC received $11.1 million; and MWC received $0.6 million, which includes $0.4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entitled to receive additional cash proceeds from 3M Company in the subsequent seven years, pursuant to the terms of the settlement agreement. The total estimated proceeds to be received during this period are approximately $5.7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monitoring and evaluating the ongoing litigation and settlement activity with the PFAS manufacturers for potential impacts to the various claims that these utility subsidiaries have asserted.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“Risk Factors” in H2O America’s Annual report on Form 10-K for the year ended December 31, 2025 and our other public filings, which could materially affect our business, financial condition or future results. There have been no material changes from risk factors previously disclosed in “Risk Factors” in H2O America’s Annual report on Form 10-K for the year ended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Quarterly Dividend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27, 2026, the Board of Directors of H2O America declared the regular quarterly dividend of $0.44 per share of common stock. The dividend will be paid on September 1, 2026, to stockholders of record as of the close of business on August 10, 2026.</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Insider 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June 30, 2026,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Information Web Sites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posts information about the operating and financial performance of H2O America and its subsidiaries on its web sites at www.h2o-america.com, www.sjwater.com, www.ctwater.com, www.txwaterco.com, and www.mainewater.com from time to time. The information on our web sites is not a part of and should not be considered incorporated by reference into this Form 10-Q.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1"/>
        <w:gridCol w:w="257"/>
        <w:gridCol w:w="258"/>
        <w:gridCol w:w="109"/>
        <w:gridCol w:w="109"/>
        <w:gridCol w:w="109"/>
        <w:gridCol w:w="2963"/>
        <w:gridCol w:w="2963"/>
        <w:gridCol w:w="2989"/>
        <w:gridCol w:w="157"/>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063026xex101.htm">
              <w:r>
                <w:rPr>
                  <w:rStyle w:val="InternetLink"/>
                  <w:rFonts w:ascii="Times New Roman;serif" w:hAnsi="Times New Roman;serif"/>
                  <w:b w:val="false"/>
                  <w:color w:val="000080"/>
                  <w:sz w:val="20"/>
                  <w:u w:val="single"/>
                </w:rPr>
                <w:t>Amended and Restated Director Compensation and Expense Reimbursement Policies</w:t>
              </w:r>
            </w:hyperlink>
            <w:hyperlink w:anchor="h2oamerica-063026xex101.htm">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063026xex102.htm">
              <w:r>
                <w:rPr>
                  <w:rStyle w:val="InternetLink"/>
                  <w:rFonts w:ascii="Times New Roman;serif" w:hAnsi="Times New Roman;serif"/>
                  <w:b w:val="false"/>
                  <w:color w:val="0000FF"/>
                  <w:sz w:val="20"/>
                  <w:u w:val="single"/>
                </w:rPr>
                <w:t>Third Amended and Restated Formulaic Equity Award Program for Non-Employee Board Members.</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6xex311.htm">
              <w:r>
                <w:rPr>
                  <w:rStyle w:val="InternetLink"/>
                  <w:rFonts w:ascii="Times New Roman;serif" w:hAnsi="Times New Roman;serif"/>
                  <w:b w:val="false"/>
                  <w:color w:val="0000FF"/>
                  <w:sz w:val="20"/>
                  <w:u w:val="single"/>
                </w:rPr>
                <w:t>Certification Pursuant to Rule 13a-14(a)/15d-14(a) by Chief Executive Officer.</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6xex312.htm">
              <w:r>
                <w:rPr>
                  <w:rStyle w:val="InternetLink"/>
                  <w:rFonts w:ascii="Times New Roman;serif" w:hAnsi="Times New Roman;serif"/>
                  <w:b w:val="false"/>
                  <w:color w:val="0000FF"/>
                  <w:sz w:val="20"/>
                  <w:u w:val="single"/>
                </w:rPr>
                <w:t>Certification Pursuant to Rule 13a-14(a)/15d-14(a) by Chief Financial Officer and Treasurer.</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6xex321.htm">
              <w:r>
                <w:rPr>
                  <w:rStyle w:val="InternetLink"/>
                  <w:rFonts w:ascii="Times New Roman;serif" w:hAnsi="Times New Roman;serif"/>
                  <w:b w:val="false"/>
                  <w:color w:val="0000FF"/>
                  <w:sz w:val="20"/>
                  <w:u w:val="single"/>
                </w:rPr>
                <w:t>Certification Pursuant to 18 U.S.C. Section 1350 by Chief Executive Officer, as adopted pursuant to Section 906 of the Sarbanes-Oxley Act of 2002.</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6xex322.htm">
              <w:r>
                <w:rPr>
                  <w:rStyle w:val="InternetLink"/>
                  <w:rFonts w:ascii="Times New Roman;serif" w:hAnsi="Times New Roman;serif"/>
                  <w:b w:val="false"/>
                  <w:color w:val="0000FF"/>
                  <w:sz w:val="20"/>
                  <w:u w:val="single"/>
                </w:rPr>
                <w:t>Certification Pursuant to 18 U.S.C. Section 1350 by Chief Financial Officer and Treasurer as adopted pursuant to Section 906 of the Sarbanes-Oxley Act of 2002.</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(1)Filed 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39e44ce03154a6eb5b7761b736783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5921" w:type="dxa"/>
        <w:jc w:val="left"/>
        <w:tblInd w:w="0" w:type="dxa"/>
        <w:tblLayout w:type="fixed"/>
        <w:tblCellMar>
          <w:top w:w="28" w:type="dxa"/>
          <w:left w:w="28" w:type="dxa"/>
          <w:bottom w:w="28" w:type="dxa"/>
          <w:right w:w="28" w:type="dxa"/>
        </w:tblCellMar>
      </w:tblPr>
      <w:tblGrid>
        <w:gridCol w:w="206"/>
        <w:gridCol w:w="181"/>
        <w:gridCol w:w="183"/>
        <w:gridCol w:w="414"/>
        <w:gridCol w:w="414"/>
        <w:gridCol w:w="417"/>
        <w:gridCol w:w="134"/>
        <w:gridCol w:w="134"/>
        <w:gridCol w:w="136"/>
        <w:gridCol w:w="109"/>
        <w:gridCol w:w="109"/>
        <w:gridCol w:w="109"/>
        <w:gridCol w:w="986"/>
        <w:gridCol w:w="986"/>
        <w:gridCol w:w="1403"/>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H2O AMERICA</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 ANN P. KELLY</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 P. Kelly</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u w:val="single"/>
        </w:rPr>
      </w:pPr>
      <w:r>
        <w:rPr>
          <w:rFonts w:ascii="Times New Roman;serif" w:hAnsi="Times New Roman;serif"/>
          <w:b/>
          <w:color w:val="000000"/>
          <w:sz w:val="28"/>
          <w:u w:val="single"/>
        </w:rPr>
        <w:t>H2O AMERICA</w: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AMENDED AND RESTATED DIRECTOR COMPENSATION AND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EXPENSE REIMBURSEMENT POLICIES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Effective as of January 1, 2027</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4"/>
        </w:rPr>
        <w:t>I.</w:t>
      </w:r>
      <w:r>
        <w:rPr>
          <w:color w:val="000000"/>
        </w:rPr>
        <w:t xml:space="preserve">     </w:t>
      </w:r>
      <w:r>
        <w:rPr>
          <w:rFonts w:ascii="Times New Roman;serif" w:hAnsi="Times New Roman;serif"/>
          <w:b/>
          <w:color w:val="000000"/>
          <w:sz w:val="24"/>
          <w:u w:val="single"/>
        </w:rPr>
        <w:t>DIRECTOR COMPENSATION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ROLE OF THE EXECUTIVE COMPENSATION COMMITTEE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H2O America (the “Corporation”) Board of Directors (the “Board”), through its Executive Compensation Committee, will review, or request management or outside consultants to review, appropriate compensation policies for the directors serving on the Board and its committees. This review may consider board compensation practices of other similar public companies, contributions to Board functions, service as committee chairs, and other appropriate factors. </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color w:val="000000"/>
          <w:sz w:val="24"/>
        </w:rPr>
        <w:t xml:space="preserve">COMPENSATION POLICIES </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1.    </w:t>
      </w:r>
      <w:r>
        <w:rPr>
          <w:rFonts w:ascii="Times New Roman;serif" w:hAnsi="Times New Roman;serif"/>
          <w:b w:val="false"/>
          <w:color w:val="000000"/>
          <w:sz w:val="24"/>
          <w:u w:val="single"/>
        </w:rPr>
        <w:t>Annual Retainer</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Corporation shall pay the members of its Board who are not employed by the Corporation or any of its subsidiaries (each a “Non-Employee Director”) the following annual retainers: </w:t>
      </w:r>
    </w:p>
    <w:tbl>
      <w:tblPr>
        <w:tblW w:w="6449" w:type="dxa"/>
        <w:jc w:val="left"/>
        <w:tblInd w:w="0" w:type="dxa"/>
        <w:tblLayout w:type="fixed"/>
        <w:tblCellMar>
          <w:top w:w="28" w:type="dxa"/>
          <w:left w:w="28" w:type="dxa"/>
          <w:bottom w:w="28" w:type="dxa"/>
          <w:right w:w="28" w:type="dxa"/>
        </w:tblCellMar>
      </w:tblPr>
      <w:tblGrid>
        <w:gridCol w:w="701"/>
        <w:gridCol w:w="616"/>
        <w:gridCol w:w="618"/>
        <w:gridCol w:w="882"/>
        <w:gridCol w:w="882"/>
        <w:gridCol w:w="890"/>
        <w:gridCol w:w="317"/>
        <w:gridCol w:w="1327"/>
        <w:gridCol w:w="216"/>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Board/Committee</w:t>
            </w:r>
          </w:p>
        </w:tc>
        <w:tc>
          <w:tcPr>
            <w:tcW w:w="265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Role</w:t>
            </w:r>
          </w:p>
        </w:tc>
        <w:tc>
          <w:tcPr>
            <w:tcW w:w="18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Annual Retainer</w:t>
            </w:r>
          </w:p>
        </w:tc>
      </w:tr>
      <w:tr>
        <w:trPr/>
        <w:tc>
          <w:tcPr>
            <w:tcW w:w="1935"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Board</w:t>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Non-Executive Chair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225,000 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6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Lead Independent Director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117,500 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Member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100,000 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Audit</w:t>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Chair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25,000 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Member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Compensation</w:t>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Chair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Member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Finance</w:t>
            </w:r>
          </w:p>
        </w:tc>
        <w:tc>
          <w:tcPr>
            <w:tcW w:w="2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Chair</w:t>
            </w:r>
          </w:p>
        </w:tc>
        <w:tc>
          <w:tcPr>
            <w:tcW w:w="31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2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35"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6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Member</w:t>
            </w:r>
          </w:p>
        </w:tc>
        <w:tc>
          <w:tcPr>
            <w:tcW w:w="317"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5,000 </w:t>
            </w:r>
          </w:p>
        </w:tc>
        <w:tc>
          <w:tcPr>
            <w:tcW w:w="216"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07" w:type="dxa"/>
        <w:jc w:val="left"/>
        <w:tblInd w:w="0" w:type="dxa"/>
        <w:tblLayout w:type="fixed"/>
        <w:tblCellMar>
          <w:top w:w="28" w:type="dxa"/>
          <w:left w:w="28" w:type="dxa"/>
          <w:bottom w:w="28" w:type="dxa"/>
          <w:right w:w="28" w:type="dxa"/>
        </w:tblCellMar>
      </w:tblPr>
      <w:tblGrid>
        <w:gridCol w:w="978"/>
        <w:gridCol w:w="860"/>
        <w:gridCol w:w="862"/>
        <w:gridCol w:w="299"/>
        <w:gridCol w:w="299"/>
        <w:gridCol w:w="303"/>
        <w:gridCol w:w="226"/>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vMerge w:val="restart"/>
            <w:tcBorders>
              <w:left w:val="single" w:sz="4" w:space="0" w:color="000000"/>
              <w:bottom w:val="single" w:sz="4" w:space="0" w:color="000000"/>
            </w:tcBorders>
            <w:tcMar>
              <w:top w:w="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Nominating &amp; Governance</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Chair</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15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0" w:type="dxa"/>
            <w:gridSpan w:val="3"/>
            <w:vMerge w:val="continue"/>
            <w:tcBorders>
              <w:left w:val="single" w:sz="4" w:space="0" w:color="000000"/>
              <w:bottom w:val="single" w:sz="4" w:space="0" w:color="000000"/>
            </w:tcBorders>
            <w:tcMar>
              <w:top w:w="0" w:type="dxa"/>
              <w:left w:w="75" w:type="dxa"/>
              <w:bottom w:w="30" w:type="dxa"/>
              <w:right w:w="0" w:type="dxa"/>
            </w:tcMar>
            <w:vAlign w:val="center"/>
          </w:tcPr>
          <w:p>
            <w:pPr>
              <w:pStyle w:val="Normal"/>
              <w:bidi w:val="0"/>
              <w:jc w:val="left"/>
              <w:rPr/>
            </w:pPr>
            <w:r>
              <w:rPr/>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Member</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5,000 </w:t>
            </w:r>
          </w:p>
        </w:tc>
        <w:tc>
          <w:tcPr>
            <w:tcW w:w="15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0"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Sustainability</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Chair </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15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0"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Member</w:t>
            </w:r>
          </w:p>
        </w:tc>
        <w:tc>
          <w:tcPr>
            <w:tcW w:w="226"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5,000 </w:t>
            </w:r>
          </w:p>
        </w:tc>
        <w:tc>
          <w:tcPr>
            <w:tcW w:w="154"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additional retainer shall be paid to a Non-Employee Director for serving on the board of directors of a subsidiary (“Subsidiary Board”) of the Corporation, except that the special independent director who will serve on the board of SJWNE LLC (and will not be serving on the Corporation’s Board) will receive an aggregate annual retainer of $57,500 for serving on such board and any other Subsidiary Boards. </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2.</w:t>
      </w:r>
      <w:r>
        <w:rPr>
          <w:color w:val="000000"/>
        </w:rPr>
        <w:t>    </w:t>
      </w:r>
      <w:r>
        <w:rPr>
          <w:rFonts w:ascii="Times New Roman;serif" w:hAnsi="Times New Roman;serif"/>
          <w:b w:val="false"/>
          <w:color w:val="000000"/>
          <w:sz w:val="24"/>
          <w:u w:val="single"/>
        </w:rPr>
        <w:t>Long-Term Incentive Plan</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Non-Employee Directors may be eligible to participate in the Corporation’s 2023 Long-Term Incentive Plan (“LTIP”), and as hereafter amended, and may also be eligible to participate in programs now or hereafter established thereunder, as more fully set forth in the LTIP and the programs established thereunder.    </w:t>
      </w:r>
    </w:p>
    <w:p>
      <w:pPr>
        <w:pStyle w:val="TextBody"/>
        <w:bidi w:val="0"/>
        <w:spacing w:lineRule="auto" w:line="288" w:before="0" w:after="0"/>
        <w:jc w:val="left"/>
        <w:rPr/>
      </w:pPr>
      <w:r>
        <w:rPr>
          <w:rFonts w:ascii="Times New Roman;serif" w:hAnsi="Times New Roman;serif"/>
          <w:b/>
          <w:color w:val="000000"/>
          <w:sz w:val="24"/>
        </w:rPr>
        <w:t>II.</w:t>
      </w:r>
      <w:r>
        <w:rPr>
          <w:color w:val="000000"/>
        </w:rPr>
        <w:t xml:space="preserve">     </w:t>
      </w:r>
      <w:r>
        <w:rPr>
          <w:rFonts w:ascii="Times New Roman;serif" w:hAnsi="Times New Roman;serif"/>
          <w:b/>
          <w:color w:val="000000"/>
          <w:sz w:val="24"/>
          <w:u w:val="single"/>
        </w:rPr>
        <w:t>EXPENSE REIMBURSEMENT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All reasonable expenses incurred by a Non-Employee Director in connection with his or her attendance at the Corporation’s Board meetings, Subsidiary Board meetings, Committee Meeting, or other meetings of the Corporation, which may include the expense of traveling first class for any travel within the United States, shall be reimbursed.</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70890"/>
                <wp:effectExtent l="0" t="0" r="0" b="0"/>
                <wp:wrapNone/>
                <wp:docPr id="40" name="Frame4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H2O AMERICA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AMENDED AND RESTATED FORMULAIC EQUITY AWARD PROGRAM FOR NON-EMPLOYEE BOARD MEMBERS</w:t>
      </w:r>
    </w:p>
    <w:p>
      <w:pPr>
        <w:pStyle w:val="TextBody"/>
        <w:bidi w:val="0"/>
        <w:spacing w:before="0" w:after="0"/>
        <w:jc w:val="left"/>
        <w:rPr/>
      </w:pPr>
      <w:r>
        <w:rPr/>
      </w:r>
    </w:p>
    <w:p>
      <w:pPr>
        <w:pStyle w:val="TextBody"/>
        <w:bidi w:val="0"/>
        <w:spacing w:lineRule="auto" w:line="288" w:before="0" w:after="0"/>
        <w:ind w:left="0" w:right="0" w:hanging="719"/>
        <w:jc w:val="both"/>
        <w:rPr>
          <w:rFonts w:ascii="Times New Roman;serif" w:hAnsi="Times New Roman;serif"/>
          <w:b/>
          <w:color w:val="000000"/>
          <w:sz w:val="24"/>
        </w:rPr>
      </w:pPr>
      <w:r>
        <w:rPr>
          <w:rFonts w:ascii="Times New Roman;serif" w:hAnsi="Times New Roman;serif"/>
          <w:b/>
          <w:color w:val="000000"/>
          <w:sz w:val="24"/>
        </w:rPr>
        <w:t>I.IMPLEMENTATION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Third Amended and Restated Formulaic Equity Award Program for Non-Employee Board Members (the “Automatic Grant Program”) is implemented under the H2O America (the “Corporation”) 2023 Long-Term Incentive Plan (the “Plan”) and shall become effective as of January 1, 2027.</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indicated to the contrary, all capitalized terms in this Automatic Grant Program shall have the meanings assigned to them in the Appendix to the Plan.</w:t>
      </w:r>
    </w:p>
    <w:p>
      <w:pPr>
        <w:pStyle w:val="TextBody"/>
        <w:bidi w:val="0"/>
        <w:spacing w:lineRule="auto" w:line="288" w:before="240" w:after="283"/>
        <w:ind w:left="0" w:right="0" w:hanging="719"/>
        <w:jc w:val="both"/>
        <w:rPr>
          <w:rFonts w:ascii="Times New Roman;serif" w:hAnsi="Times New Roman;serif"/>
          <w:b/>
          <w:color w:val="000000"/>
          <w:sz w:val="24"/>
        </w:rPr>
      </w:pPr>
      <w:r>
        <w:rPr>
          <w:rFonts w:ascii="Times New Roman;serif" w:hAnsi="Times New Roman;serif"/>
          <w:b/>
          <w:color w:val="000000"/>
          <w:sz w:val="24"/>
        </w:rPr>
        <w:t>II.AWARD TERMS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A.Automatic Grants</w:t>
      </w:r>
      <w:r>
        <w:rPr>
          <w:rFonts w:ascii="Times New Roman;serif" w:hAnsi="Times New Roman;serif"/>
          <w:b w:val="false"/>
          <w:color w:val="000000"/>
          <w:sz w:val="24"/>
        </w:rPr>
        <w:t>.    The Awards to be made pursuant to the Automatic Grant Program shall be as follows: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1.At the close of business on the date of each annual meeting of the Corporation’s shareholders, beginning with the 2023 Annual Meeting, each individual who is elected or re-elected to serve as a non-employee member of the Board of Directors of the Corporation (the “Board”) shall automatically be granted an Award in the form of restricted stock units covering that number of shares of Common Stock (rounded up to the next whole share) determined by dividing the Applicable Annual Amount (as defined below) by the Fair Market Value per share on such date.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2.Each individual who commences service as a non-employee Board member following the date of an annual meeting of the Corporation’s shareholders, but before the date that is two months prior to the next annual meeting of the Corporation’s shareholders (the “New Non-Employee Director”), shall automatically be granted an Award (the “New Non-Employee Director Award”) on the date of commencement of such service in the form of restricted stock units covering that number of shares of Common Stock (rounded up to the next whole share) determined by (i) dividing the Applicable Annual Amount by the Fair Market Value per share on the date of grant of the New Non-Employee Director Award, and (ii) multiplying the number obtained from clause (i) by a fraction, with the numerator being the number of months (with each partial month rounded up to a whole number) elapsed from the date the New Non-Employee Director commenced service to the estimated date of the next annual meeting of the Corporation’s shareholders, and the denominator being twelve (12). Each New Non-Employee Director shall be eligible for an Award pursuant to the terms of paragraph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A.1 of this Section as of the next annual meeting following the date the New Non-Employee Director commences service as a non-employee Board member.</w:t>
      </w:r>
    </w:p>
    <w:p>
      <w:pPr>
        <w:pStyle w:val="TextBody"/>
        <w:bidi w:val="0"/>
        <w:spacing w:before="0" w:after="0"/>
        <w:jc w:val="left"/>
        <w:rPr/>
      </w:pPr>
      <w:r>
        <w:rPr/>
      </w:r>
    </w:p>
    <w:p>
      <w:pPr>
        <w:pStyle w:val="TextBody"/>
        <w:bidi w:val="0"/>
        <w:spacing w:lineRule="auto" w:line="288" w:before="77"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3.The Applicable Annual Amount shall be One Hundred and Thirty Thousand Dollars ($130,000.00) per non-employee Board member for the Awards to be made at each annual meeting of the Corporation’s shareholders, commencing with the 2027 Annual Meeting.</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4.Each restricted unit awarded under the Automatic Grant Program shall entitle the non-employee Board member to one share of Common Stock on the applicable vesting date of that unit.</w:t>
      </w:r>
    </w:p>
    <w:p>
      <w:pPr>
        <w:pStyle w:val="TextBody"/>
        <w:bidi w:val="0"/>
        <w:spacing w:lineRule="auto" w:line="288" w:before="240" w:after="283"/>
        <w:ind w:left="0" w:right="0" w:hanging="719"/>
        <w:jc w:val="both"/>
        <w:rPr/>
      </w:pPr>
      <w:r>
        <w:rPr>
          <w:rFonts w:ascii="Times New Roman;serif" w:hAnsi="Times New Roman;serif"/>
          <w:b w:val="false"/>
          <w:color w:val="000000"/>
          <w:sz w:val="24"/>
          <w:u w:val="single"/>
        </w:rPr>
        <w:t>B.Vesting of Awards and Issuance of Shares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1.Each restricted stock unit award granted under paragraph A.1. of this Section shall vest in full upon the non-employee Board member’s continuation in Board service through the day immediately preceding the date of the first annual shareholders meeting following the annual shareholders meeting at which that restricted stock unit award was made.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2.Each restricted stock unit award granted under paragraph A.2. of this Section shall vest on the one-year anniversary of the date such award was granted, subject to the non-employee Board member’s continuation in Board service through such date.</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3.In the event that the non-employee Board member (including any New Non-Employee Director) ceases Board service by reason of death or Permanent Disability prior to the vesting date set forth herein, then his or her restricted stock unit award outstanding under the Automatic Grant Program at the time of such cessation of Board service shall immediately vest in full at that time.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4.Subject to Section IV hereof, the shares of Common Stock underlying each restricted stock unit award which vests in accordance with the foregoing vesting provisions shall be issued as soon as administratively practicable following the vesting date, but in no event more than fifteen (15) business days after such vesting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5.If a non-employee Board member dies prior to the vesting date set forth herein or before the issuance of Common Stock underlying a vested restricted stock unit award, then the shares of Common Stock underlying the restricted stock unit award shall be issued in a single payment to his or her designed beneficiary(ies) under the Automatic Grant Program. Such payment shall be made within sixty (60) days after the date of the non-employee Board member’s death or as soon as administratively practical following the non-employee Board member’s death, but in no event later than the later of: (i) the end of the calendar year in which the non-employee Board member’s death occurs or (ii) the fifteenth (15th) day of the third (3rd) calendar month following the date of the non-employee Board member’s death. Non-employee Board members may designate one or more such beneficiaries, or may revoke an existing beneficiary designation and make a new designation, by filing a properly completed Designation of Beneficiary, in substantially the form of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with the Plan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Administrator or its designate. Should a non-employee Board member die without a valid beneficiary designation in effect or after the death of the non-employee Board member’s designated beneficiary(ies), then any amounts due under the Automatic Grant Program shall be paid to the personal representative of such non-employee Board member’s estate.</w:t>
      </w:r>
    </w:p>
    <w:p>
      <w:pPr>
        <w:pStyle w:val="TextBody"/>
        <w:bidi w:val="0"/>
        <w:spacing w:lineRule="auto" w:line="288" w:before="240" w:after="240"/>
        <w:ind w:left="0" w:right="0" w:firstLine="720"/>
        <w:jc w:val="both"/>
        <w:rPr/>
      </w:pPr>
      <w:r>
        <w:rPr>
          <w:rFonts w:ascii="Times New Roman;serif" w:hAnsi="Times New Roman;serif"/>
          <w:b w:val="false"/>
          <w:color w:val="000000"/>
          <w:sz w:val="24"/>
          <w:u w:val="single"/>
        </w:rPr>
        <w:t>C.Dividend Equivalent Rights</w:t>
      </w:r>
      <w:r>
        <w:rPr>
          <w:rFonts w:ascii="Times New Roman;serif" w:hAnsi="Times New Roman;serif"/>
          <w:b w:val="false"/>
          <w:color w:val="000000"/>
          <w:sz w:val="24"/>
        </w:rPr>
        <w:t>. None of the restricted stock unit awards granted under the Automatic Grant Program shall include any dividend equivalent rights, and the holder of each restricted stock unit award under the Automatic Grant Program shall not have any shareholder rights with respect to the shares of Common Stock subject to that award until the award vests and the shares of Common Stock are issued to such holder.</w:t>
      </w:r>
    </w:p>
    <w:p>
      <w:pPr>
        <w:pStyle w:val="TextBody"/>
        <w:bidi w:val="0"/>
        <w:spacing w:lineRule="auto" w:line="288" w:before="61" w:after="283"/>
        <w:ind w:left="0" w:right="0" w:firstLine="720"/>
        <w:jc w:val="both"/>
        <w:rPr/>
      </w:pPr>
      <w:r>
        <w:rPr>
          <w:rFonts w:ascii="Times New Roman;serif" w:hAnsi="Times New Roman;serif"/>
          <w:b w:val="false"/>
          <w:color w:val="000000"/>
          <w:sz w:val="24"/>
          <w:u w:val="single"/>
        </w:rPr>
        <w:t>D.Retention of Issued Shares</w:t>
      </w:r>
      <w:r>
        <w:rPr>
          <w:rFonts w:ascii="Times New Roman;serif" w:hAnsi="Times New Roman;serif"/>
          <w:b w:val="false"/>
          <w:color w:val="000000"/>
          <w:sz w:val="24"/>
        </w:rPr>
        <w:t>. Each non-employee Board member who participates in the Automatic Grant Program shall, with respect to each restricted stock unit award he or she receives under such program, retain beneficial ownership of at least fifty percent (50%) of the shares of Common Stock issued in connection with the vesting of that award until such time as such individual is in compliance with the equity ownership guidelines that the Corporation from time to time establishes for its non-employee Board members. In no event may the non-employee Board member sell or otherwise transfer beneficial ownership of more than fifty percent (50%) of the shares issued to him or her under the Automatic Grant Program unless he or she is at the time of such sale or transfer in full compliance with the equity ownership guidelines in effect at that time for the non-employee Board members.</w:t>
      </w:r>
    </w:p>
    <w:p>
      <w:pPr>
        <w:pStyle w:val="TextBody"/>
        <w:bidi w:val="0"/>
        <w:spacing w:lineRule="auto" w:line="288" w:before="240" w:after="283"/>
        <w:ind w:left="0" w:right="0" w:hanging="719"/>
        <w:jc w:val="both"/>
        <w:rPr>
          <w:rFonts w:ascii="Times New Roman;serif" w:hAnsi="Times New Roman;serif"/>
          <w:b/>
          <w:color w:val="000000"/>
          <w:sz w:val="24"/>
        </w:rPr>
      </w:pPr>
      <w:r>
        <w:rPr>
          <w:rFonts w:ascii="Times New Roman;serif" w:hAnsi="Times New Roman;serif"/>
          <w:b/>
          <w:color w:val="000000"/>
          <w:sz w:val="24"/>
        </w:rPr>
        <w:t>III.CHANGE IN CONTROL</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Should the non-employee Board member continue in Board service until the effective date of an actual Change in Control transaction, then the shares of Common Stock subject to any outstanding restricted stock unit award made to such Board member under the Automatic Grant Program shall, immediately prior to the effective date of that Change in Control transaction, vest in full and shall be issued to him or her as soon as administratively practicable thereafter, but in no event more than fifteen (15) business days after such effective date, or shall otherwise be converted into the right to receive the same consideration per share of Common Stock payable to the other stockholders in the Change in Control and distributed at the same time as such stockholder payments, but in no event later than the later of (i) the close of the calendar year in which such Change in Control is effected or (ii) the fifteenth (15th) day of the third (3rd) calendar month following the effective date of such Change in Control.</w:t>
      </w:r>
    </w:p>
    <w:p>
      <w:pPr>
        <w:pStyle w:val="TextBody"/>
        <w:bidi w:val="0"/>
        <w:spacing w:lineRule="auto" w:line="288" w:before="241" w:after="283"/>
        <w:ind w:left="0" w:right="0" w:hanging="719"/>
        <w:jc w:val="both"/>
        <w:rPr>
          <w:rFonts w:ascii="Times New Roman;serif" w:hAnsi="Times New Roman;serif"/>
          <w:b/>
          <w:color w:val="000000"/>
          <w:sz w:val="24"/>
        </w:rPr>
      </w:pPr>
      <w:r>
        <w:rPr>
          <w:rFonts w:ascii="Times New Roman;serif" w:hAnsi="Times New Roman;serif"/>
          <w:b/>
          <w:color w:val="000000"/>
          <w:sz w:val="24"/>
        </w:rPr>
        <w:t>IV.ELECTION TO DEFER ISSUANCES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720"/>
        <w:jc w:val="both"/>
        <w:rPr/>
      </w:pPr>
      <w:r>
        <w:rPr>
          <w:rFonts w:ascii="Times New Roman;serif" w:hAnsi="Times New Roman;serif"/>
          <w:b w:val="false"/>
          <w:color w:val="000000"/>
          <w:sz w:val="24"/>
          <w:u w:val="single"/>
        </w:rPr>
        <w:t>A.General</w:t>
      </w:r>
      <w:r>
        <w:rPr>
          <w:rFonts w:ascii="Times New Roman;serif" w:hAnsi="Times New Roman;serif"/>
          <w:b w:val="false"/>
          <w:color w:val="000000"/>
          <w:sz w:val="24"/>
        </w:rPr>
        <w:t xml:space="preserve">. The Board may, in its discretion and in accordance with the Plan, provide each non-employee Board member with the opportunity to defer the issuance of the Common Stock underlying restricted stock unit awards granted under this Automatic Grant Program, including any New Non-Employee Director Awards, that would otherwise be issued to the non-employee Board member in connection with the vesting of the restricted stock unit award pursuant to paragraph II.B.2 hereof until the earliest of: (i) the date on which the non-employee Board member incurs a separation from service within the meaning of Section 409A of the Code; (ii) the date specified by the non-employee Board member, in writing, in his or her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Deferral Election (defined below); and (iii) the date of the closing of a transaction that results in a Change in Control. Any such deferral election (“Deferral Election”) shall be subject to such rules, conditions and procedures as shall be determined by the Board, in its sole discretion, which rules, conditions and procedures shall at all times comply with the requirements of Section 409A of the Code, unless otherwise specifically determined by the Board. If an individual elects to defer the delivery of the shares underlying restricted stock unit awards granted under this Program, settlement of the deferred restricted stock unit award shall be made in accordance with the terms of the Deferral Election.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B.Election Method</w:t>
      </w:r>
      <w:r>
        <w:rPr>
          <w:rFonts w:ascii="Times New Roman;serif" w:hAnsi="Times New Roman;serif"/>
          <w:b w:val="false"/>
          <w:color w:val="000000"/>
          <w:sz w:val="24"/>
        </w:rPr>
        <w:t>. Each Deferral Election must be submitted to the Corporation in the form and manner specified by the Board. Deferral Elections must comply with the following timing requirements: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Initial Deferral Election</w:t>
      </w:r>
      <w:r>
        <w:rPr>
          <w:rFonts w:ascii="Times New Roman;serif" w:hAnsi="Times New Roman;serif"/>
          <w:b w:val="false"/>
          <w:color w:val="000000"/>
          <w:sz w:val="24"/>
        </w:rPr>
        <w:t>. Each New Non-Employee Director may make a Deferral Election with respect to the New Non-Employee Director Award (the “Initial Deferral Election”). The Initial Deferral Election must be submitted to the Corporation on or before the date that the individual first becomes a New Non-Employee Director and the Initial Deferral Election shall become final and irrevocable as of such date.</w:t>
      </w:r>
    </w:p>
    <w:p>
      <w:pPr>
        <w:pStyle w:val="TextBody"/>
        <w:bidi w:val="0"/>
        <w:spacing w:before="0" w:after="0"/>
        <w:jc w:val="both"/>
        <w:rPr/>
      </w:pPr>
      <w:r>
        <w:rPr/>
      </w:r>
    </w:p>
    <w:p>
      <w:pPr>
        <w:pStyle w:val="TextBody"/>
        <w:bidi w:val="0"/>
        <w:spacing w:lineRule="auto" w:line="288" w:before="61" w:after="283"/>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Annual Deferral Election</w:t>
      </w:r>
      <w:r>
        <w:rPr>
          <w:rFonts w:ascii="Times New Roman;serif" w:hAnsi="Times New Roman;serif"/>
          <w:b w:val="false"/>
          <w:color w:val="000000"/>
          <w:sz w:val="24"/>
        </w:rPr>
        <w:t>. No later than December 31 of each calendar year, or such earlier deadline as may be established by the Board, in its discretion (the “Annual Election Deadline”), each individual who is a non-employee Board member as of immediately before the Annual Election Deadline may make a Deferral Election with respect to the restricted stock unit award to be granted in the following calendar year (the “Annual Deferral Election”). The Annual Deferral Election must be submitted to the Corporation on or before the applicable Annual Election Deadline and shall become final and irrevocable for the subsequent calendar year as of the applicable Annual Election Deadline.</w:t>
      </w:r>
    </w:p>
    <w:p>
      <w:pPr>
        <w:pStyle w:val="TextBody"/>
        <w:bidi w:val="0"/>
        <w:spacing w:before="61" w:after="283"/>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C. </w:t>
      </w:r>
      <w:r>
        <w:rPr>
          <w:rFonts w:ascii="Times New Roman;serif" w:hAnsi="Times New Roman;serif"/>
          <w:b w:val="false"/>
          <w:color w:val="000000"/>
          <w:sz w:val="24"/>
          <w:u w:val="single"/>
        </w:rPr>
        <w:t>Distribution of Deferred Awards</w:t>
      </w:r>
      <w:r>
        <w:rPr>
          <w:rFonts w:ascii="Times New Roman;serif" w:hAnsi="Times New Roman;serif"/>
          <w:b w:val="false"/>
          <w:color w:val="000000"/>
          <w:sz w:val="24"/>
        </w:rPr>
        <w:t xml:space="preserve">. </w:t>
      </w:r>
    </w:p>
    <w:p>
      <w:pPr>
        <w:pStyle w:val="TextBody"/>
        <w:bidi w:val="0"/>
        <w:spacing w:lineRule="auto" w:line="288" w:before="240" w:after="283"/>
        <w:ind w:left="0" w:right="0" w:firstLine="153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 Distribution</w:t>
      </w:r>
      <w:r>
        <w:rPr>
          <w:rFonts w:ascii="Times New Roman;serif" w:hAnsi="Times New Roman;serif"/>
          <w:b w:val="false"/>
          <w:color w:val="000000"/>
          <w:sz w:val="24"/>
        </w:rPr>
        <w:t>. Issuance of the Common Stock underlying a restricted stock unit award for which a non-employee Board member properly submitted a Deferral Election (such Common Stock, a “Deferred Award”) shall, to the extent vested, be made within thirty (30) days following the date on which such non-employee Board member designated to defer his or her Deferred Award in accordance with the terms of the Deferral Election (the “Deferral Date”) or as soon as administratively practicable after such Deferral Date, but in no event later than the later of (i) the end of the calendar year of the Deferral Date or (ii) the fifteenth (15th) day of the third (3rd) calendar month following the Deferral Date.</w:t>
      </w:r>
    </w:p>
    <w:p>
      <w:pPr>
        <w:pStyle w:val="TextBody"/>
        <w:bidi w:val="0"/>
        <w:spacing w:lineRule="auto" w:line="288" w:before="240" w:after="283"/>
        <w:ind w:left="0" w:right="0" w:firstLine="153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Settlement in Common Stock</w:t>
      </w:r>
      <w:r>
        <w:rPr>
          <w:rFonts w:ascii="Times New Roman;serif" w:hAnsi="Times New Roman;serif"/>
          <w:b w:val="false"/>
          <w:color w:val="000000"/>
          <w:sz w:val="24"/>
        </w:rPr>
        <w:t>. All shares of Common Stock issued under the Automatic Grant Program shall be drawn from the Common Stock reserved for issuance under the Plan. Accordingly, the share reserve under the Plan shall be reduced by any and all shares of Common Stock issued under the Automatic Grant Program.</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53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Death Before Distribution</w:t>
      </w:r>
      <w:r>
        <w:rPr>
          <w:rFonts w:ascii="Times New Roman;serif" w:hAnsi="Times New Roman;serif"/>
          <w:b w:val="false"/>
          <w:color w:val="000000"/>
          <w:sz w:val="24"/>
        </w:rPr>
        <w:t xml:space="preserve">. If a non-employee Board member dies before the Deferral Date or before the distribution of his or her Deferred Award, then the shares of Common Stock underlying the Deferred Award shall be issued in a single payment to his or her designed beneficiary(ies) under the Automatic Grant Program. Such payment shall be made within sixty (60) days after the date of the non-employee Board member’s death or as soon as administratively practical following the non-employee Board member’s death, but in no event later than the later of: (i) the end of the calendar year in which the non-employee Board member’s death occurs or (ii) the fifteenth (15th) day of the third (3rd) calendar month following the date of the non-employee Board member’s death. Non-employee Board members may designate one or more such beneficiaries, or may revoke an existing beneficiary designation and make a new designation, by filing a properly completed Designation of Beneficiary, in substantially the form of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with the Plan Administrator or its designate. Should a non-employee Board member die without a valid beneficiary designation in effect or after the death of the non-employee Board member’s designated beneficiary(ies), then any amounts due under the Automatic Grant Program shall be paid to the personal representative of such non-employee Board member’s estate.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D. </w:t>
      </w:r>
      <w:r>
        <w:rPr>
          <w:rFonts w:ascii="Times New Roman;serif" w:hAnsi="Times New Roman;serif"/>
          <w:b w:val="false"/>
          <w:color w:val="000000"/>
          <w:sz w:val="24"/>
          <w:u w:val="single"/>
        </w:rPr>
        <w:t>Award is Unfunded</w:t>
      </w:r>
      <w:r>
        <w:rPr>
          <w:rFonts w:ascii="Times New Roman;serif" w:hAnsi="Times New Roman;serif"/>
          <w:b w:val="false"/>
          <w:color w:val="000000"/>
          <w:sz w:val="24"/>
        </w:rPr>
        <w:t>. Each non-employee Board member who submits a Deferral Election shall be considered a general unsecured creditor of the Corporation with respect to any rights under a restricted stock unit award granted hereunder and understands that the Corporation has not formally funded such award.</w:t>
      </w:r>
    </w:p>
    <w:p>
      <w:pPr>
        <w:pStyle w:val="TextBody"/>
        <w:bidi w:val="0"/>
        <w:spacing w:lineRule="auto" w:line="288" w:before="241" w:after="283"/>
        <w:jc w:val="both"/>
        <w:rPr/>
      </w:pPr>
      <w:r>
        <w:rPr>
          <w:color w:val="000000"/>
        </w:rPr>
        <w:t>    </w:t>
      </w:r>
      <w:r>
        <w:rPr>
          <w:rFonts w:ascii="Times New Roman;serif" w:hAnsi="Times New Roman;serif"/>
          <w:b w:val="false"/>
          <w:color w:val="000000"/>
          <w:sz w:val="24"/>
        </w:rPr>
        <w:t xml:space="preserve">E. </w:t>
      </w:r>
      <w:r>
        <w:rPr>
          <w:rFonts w:ascii="Times New Roman;serif" w:hAnsi="Times New Roman;serif"/>
          <w:b w:val="false"/>
          <w:color w:val="000000"/>
          <w:sz w:val="24"/>
          <w:u w:val="single"/>
        </w:rPr>
        <w:t>Taxes</w:t>
      </w:r>
      <w:r>
        <w:rPr>
          <w:rFonts w:ascii="Times New Roman;serif" w:hAnsi="Times New Roman;serif"/>
          <w:b w:val="false"/>
          <w:color w:val="000000"/>
          <w:sz w:val="24"/>
        </w:rPr>
        <w:t>. The Corporation assumes no responsibility for individual income taxes, penalties or interest related to grant, vesting or settlement of any restricted stock unit award. Neither the Corporation nor any of its affiliate makes any representation or undertaking regarding the treatment of any tax withholding in connection with the grant, vesting or settlement of any restricted stock unit award. By accepting a restricted stock unit award and submitting a Deferral Election, non-employee Board members understand that (1) amounts deferred pursuant to a Deferral Election will be taxable as ordinary income in the year paid and (2) the Corporation may be required to withhold federal, state and/or local taxes in connection with the vesting and/or settlement of restricted stock unit awards. Further, by accepting a restricted stock unit award and submitting a Deferral Election, non-employee Board members understand that, upon receipt of deferred payouts, taxes may be owed both (1) to the state where such individual resided at the time of making the Deferral Election and, if different, (2) to the state where such individual resided when he or she received a deferred payout. The Corporation does not guarantee in any way whatsoever the tax treatment of any deferrals or payments made under this Program or the Deferral Election form.</w:t>
      </w:r>
    </w:p>
    <w:p>
      <w:pPr>
        <w:pStyle w:val="TextBody"/>
        <w:bidi w:val="0"/>
        <w:spacing w:before="0" w:after="0"/>
        <w:jc w:val="both"/>
        <w:rPr/>
      </w:pPr>
      <w:r>
        <w:rPr/>
        <w:drawing>
          <wp:inline distT="0" distB="0" distL="0" distR="0">
            <wp:extent cx="123825" cy="14605"/>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2"/>
                    <a:stretch>
                      <a:fillRect/>
                    </a:stretch>
                  </pic:blipFill>
                  <pic:spPr bwMode="auto">
                    <a:xfrm>
                      <a:off x="0" y="0"/>
                      <a:ext cx="123825" cy="14605"/>
                    </a:xfrm>
                    <a:prstGeom prst="rect">
                      <a:avLst/>
                    </a:prstGeom>
                  </pic:spPr>
                </pic:pic>
              </a:graphicData>
            </a:graphic>
          </wp:inline>
        </w:drawing>
      </w:r>
    </w:p>
    <w:p>
      <w:pPr>
        <w:pStyle w:val="TextBody"/>
        <w:bidi w:val="0"/>
        <w:spacing w:lineRule="auto" w:line="288"/>
        <w:jc w:val="both"/>
        <w:rPr/>
      </w:pPr>
      <w:r>
        <w:rPr>
          <w:color w:val="000000"/>
        </w:rPr>
        <w:t>    </w:t>
      </w:r>
      <w:r>
        <w:rPr>
          <w:rFonts w:ascii="Times New Roman;serif" w:hAnsi="Times New Roman;serif"/>
          <w:b w:val="false"/>
          <w:color w:val="000000"/>
          <w:sz w:val="24"/>
        </w:rPr>
        <w:t xml:space="preserve">F. </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Although the Corporation makes no guarantee with respect to the tax treatment of payments and benefits hereunder, it is the intent of this Program and the Deferral Election form to comply with the applicable requirements of Code Section 409A and shall be limited, construed, administered, and interpreted in accordance with such intent. Accordingly, the Corporation reserves the rights to amend the provisions of the Program and the Deferral Election form at any time to avoid the imposition of an excise tax under Code Section 409A on any payments to be made hereunder. In no event whatsoever shall the Corporation or any of its affiliates be liable for any additional tax, interest or penalties that may be imposed on a </w: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non-employee Board member by Code Section 409A or any damages for failing to comply with Code Section 409A, other than for withholding or other obligations applicable to employers, if any, under Code Section 409A.</w:t>
      </w:r>
    </w:p>
    <w:p>
      <w:pPr>
        <w:pStyle w:val="TextBody"/>
        <w:bidi w:val="0"/>
        <w:jc w:val="both"/>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H2O AMERICA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THIRD AMENDED AND RESTATED FORMULAIC EQUITY AWARD PROGRAM FOR NON-EMPLOYEE BOARD MEMBERS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DESIGNATION OF BENEFICIARY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2"/>
        <w:gridCol w:w="381"/>
        <w:gridCol w:w="338"/>
        <w:gridCol w:w="2572"/>
        <w:gridCol w:w="738"/>
        <w:gridCol w:w="738"/>
        <w:gridCol w:w="738"/>
        <w:gridCol w:w="738"/>
        <w:gridCol w:w="738"/>
        <w:gridCol w:w="787"/>
        <w:gridCol w:w="738"/>
        <w:gridCol w:w="1107"/>
      </w:tblGrid>
      <w:tr>
        <w:trPr/>
        <w:tc>
          <w:tcPr>
            <w:tcW w:w="59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Name:</w:t>
            </w:r>
          </w:p>
        </w:tc>
        <w:tc>
          <w:tcPr>
            <w:tcW w:w="8894"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Print Name</w:t>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understand that neither this Designation of Beneficiary nor any future change of Designation of Beneficiary will be effective for any purpose unless filed with the H2O America (“Company”) prior to my death. I reserve the right to change my Beneficiary(ies) for either or both of the Plan(s) listed below at any time by signing a new Designation of Beneficiary and filing it with the Company.</w:t>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Designation of Beneficiary is subject to the terms of the Plan(s) checked below. </w:t>
            </w:r>
          </w:p>
        </w:tc>
      </w:tr>
      <w:tr>
        <w:trPr/>
        <w:tc>
          <w:tcPr>
            <w:tcW w:w="131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Address</w:t>
            </w:r>
          </w:p>
        </w:tc>
        <w:tc>
          <w:tcPr>
            <w:tcW w:w="6262"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Street Address</w:t>
            </w:r>
          </w:p>
        </w:tc>
        <w:tc>
          <w:tcPr>
            <w:tcW w:w="26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Apt. No.</w:t>
            </w:r>
          </w:p>
        </w:tc>
      </w:tr>
      <w:tr>
        <w:trPr/>
        <w:tc>
          <w:tcPr>
            <w:tcW w:w="1311" w:type="dxa"/>
            <w:gridSpan w:val="3"/>
            <w:vMerge w:val="restart"/>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Information:</w:t>
            </w:r>
          </w:p>
        </w:tc>
        <w:tc>
          <w:tcPr>
            <w:tcW w:w="8894"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Social Security Number: _______________________________</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(last 4 digits only)</w:t>
            </w:r>
          </w:p>
        </w:tc>
      </w:tr>
      <w:tr>
        <w:trPr/>
        <w:tc>
          <w:tcPr>
            <w:tcW w:w="1311" w:type="dxa"/>
            <w:gridSpan w:val="3"/>
            <w:vMerge w:val="continue"/>
            <w:tcBorders>
              <w:left w:val="single" w:sz="4" w:space="0" w:color="000000"/>
            </w:tcBorders>
            <w:tcMar>
              <w:top w:w="0" w:type="dxa"/>
              <w:left w:w="75" w:type="dxa"/>
              <w:bottom w:w="0" w:type="dxa"/>
              <w:right w:w="0" w:type="dxa"/>
            </w:tcMar>
            <w:vAlign w:val="center"/>
          </w:tcPr>
          <w:p>
            <w:pPr>
              <w:pStyle w:val="Normal"/>
              <w:bidi w:val="0"/>
              <w:jc w:val="left"/>
              <w:rPr/>
            </w:pPr>
            <w:r>
              <w:rPr/>
            </w:r>
          </w:p>
        </w:tc>
        <w:tc>
          <w:tcPr>
            <w:tcW w:w="8894" w:type="dxa"/>
            <w:gridSpan w:val="9"/>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Birth: ______________________________</w:t>
            </w:r>
          </w:p>
        </w:tc>
      </w:tr>
      <w:tr>
        <w:trPr/>
        <w:tc>
          <w:tcPr>
            <w:tcW w:w="10205" w:type="dxa"/>
            <w:gridSpan w:val="12"/>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This Designation of Beneficiary is intended to designate the beneficiary or beneficiaries of all my right, title and interest in and to the unpaid vested balance credited to my vested account(s) under the following Plan(s) at the time of my death:</w:t>
            </w:r>
          </w:p>
        </w:tc>
      </w:tr>
      <w:tr>
        <w:trPr/>
        <w:tc>
          <w:tcPr>
            <w:tcW w:w="535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H2O America Deferral Election Program for Non-Employee Board Members (cash deferrals)</w:t>
            </w:r>
          </w:p>
        </w:tc>
        <w:tc>
          <w:tcPr>
            <w:tcW w:w="4846"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ind w:left="0" w:right="0" w:hanging="720"/>
              <w:jc w:val="left"/>
              <w:rPr/>
            </w:pPr>
            <w:r>
              <w:rPr>
                <w:rFonts w:ascii="Times New Roman;serif" w:hAnsi="Times New Roman;serif"/>
                <w:b w:val="false"/>
                <w:color w:val="000000"/>
                <w:sz w:val="20"/>
                <w:u w:val="single"/>
              </w:rPr>
              <w:t xml:space="preserve">H2O America </w:t>
            </w:r>
            <w:r>
              <w:rPr>
                <w:rFonts w:ascii="sans-serif" w:hAnsi="sans-serif"/>
                <w:b w:val="false"/>
                <w:color w:val="000000"/>
                <w:sz w:val="20"/>
                <w:u w:val="single"/>
              </w:rPr>
              <w:t>Formulaic Equity Award Program for Non-Employee Board Members</w:t>
            </w:r>
          </w:p>
        </w:tc>
      </w:tr>
    </w:tbl>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Primary Beneficiary(ies)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 hereby revoke any Designation of Beneficiary I may previously have made under the above plan(s) and designate the following as my primary beneficiary(ies) under the plan(s):</w:t>
      </w:r>
    </w:p>
    <w:tbl>
      <w:tblPr>
        <w:tblW w:w="6255" w:type="dxa"/>
        <w:jc w:val="left"/>
        <w:tblInd w:w="0" w:type="dxa"/>
        <w:tblLayout w:type="fixed"/>
        <w:tblCellMar>
          <w:top w:w="28" w:type="dxa"/>
          <w:left w:w="28" w:type="dxa"/>
          <w:bottom w:w="28" w:type="dxa"/>
          <w:right w:w="28" w:type="dxa"/>
        </w:tblCellMar>
      </w:tblPr>
      <w:tblGrid>
        <w:gridCol w:w="141"/>
        <w:gridCol w:w="124"/>
        <w:gridCol w:w="124"/>
        <w:gridCol w:w="934"/>
        <w:gridCol w:w="934"/>
        <w:gridCol w:w="937"/>
        <w:gridCol w:w="440"/>
        <w:gridCol w:w="440"/>
        <w:gridCol w:w="441"/>
        <w:gridCol w:w="510"/>
        <w:gridCol w:w="510"/>
        <w:gridCol w:w="72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Name and Current Address</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Relationship</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Percent of Total</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w:t>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w:t>
            </w:r>
          </w:p>
        </w:tc>
        <w:tc>
          <w:tcPr>
            <w:tcW w:w="280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0"/>
        <w:gridCol w:w="123"/>
        <w:gridCol w:w="123"/>
        <w:gridCol w:w="1035"/>
        <w:gridCol w:w="1035"/>
        <w:gridCol w:w="1035"/>
        <w:gridCol w:w="1035"/>
        <w:gridCol w:w="1035"/>
        <w:gridCol w:w="1035"/>
        <w:gridCol w:w="1035"/>
        <w:gridCol w:w="1035"/>
        <w:gridCol w:w="1539"/>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w:t>
            </w:r>
          </w:p>
        </w:tc>
        <w:tc>
          <w:tcPr>
            <w:tcW w:w="3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w:t>
            </w:r>
          </w:p>
        </w:tc>
        <w:tc>
          <w:tcPr>
            <w:tcW w:w="3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(If more than one person is designated above and all but one die, state whether survivor will receive 100%)</w:t>
            </w:r>
          </w:p>
        </w:tc>
      </w:tr>
    </w:tbl>
    <w:p>
      <w:pPr>
        <w:pStyle w:val="TextBody"/>
        <w:bidi w:val="0"/>
        <w:spacing w:before="120" w:after="12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Contingent Beneficiary(ies)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 the event none of the above designated individual(s) survive me, I hereby designate the following as the contingent beneficiary or beneficiaries under the plan(s):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60"/>
        <w:gridCol w:w="1560"/>
        <w:gridCol w:w="1566"/>
        <w:gridCol w:w="749"/>
        <w:gridCol w:w="749"/>
        <w:gridCol w:w="750"/>
        <w:gridCol w:w="856"/>
        <w:gridCol w:w="856"/>
        <w:gridCol w:w="12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Name and Current Address</w:t>
            </w:r>
          </w:p>
        </w:tc>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Relationship</w:t>
            </w:r>
          </w:p>
        </w:tc>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Percent of 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46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46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46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(If more than one person is designated above and all but one die, state whether survivor will receive 100%)</w:t>
            </w:r>
          </w:p>
        </w:tc>
      </w:tr>
    </w:tbl>
    <w:p>
      <w:pPr>
        <w:pStyle w:val="TextBody"/>
        <w:bidi w:val="0"/>
        <w:spacing w:before="0" w:after="0"/>
        <w:jc w:val="both"/>
        <w:rPr/>
      </w:pPr>
      <w:r>
        <w:rPr/>
      </w:r>
    </w:p>
    <w:tbl>
      <w:tblPr>
        <w:tblW w:w="6435" w:type="dxa"/>
        <w:jc w:val="left"/>
        <w:tblInd w:w="0" w:type="dxa"/>
        <w:tblLayout w:type="fixed"/>
        <w:tblCellMar>
          <w:top w:w="28" w:type="dxa"/>
          <w:left w:w="28" w:type="dxa"/>
          <w:bottom w:w="28" w:type="dxa"/>
          <w:right w:w="28" w:type="dxa"/>
        </w:tblCellMar>
      </w:tblPr>
      <w:tblGrid>
        <w:gridCol w:w="1075"/>
        <w:gridCol w:w="946"/>
        <w:gridCol w:w="949"/>
        <w:gridCol w:w="1013"/>
        <w:gridCol w:w="1013"/>
        <w:gridCol w:w="1439"/>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6435" w:type="dxa"/>
            <w:gridSpan w:val="6"/>
            <w:tcBorders>
              <w:top w:val="single" w:sz="4" w:space="0" w:color="000000"/>
            </w:tcBorders>
            <w:tcMar>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of Director)</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COMPANY USE ONLY:</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Received for filing on </w:t>
            </w:r>
            <w:r>
              <w:rPr>
                <w:color w:val="000000"/>
                <w:u w:val="single"/>
              </w:rPr>
              <w:t>        </w:t>
            </w:r>
            <w:r>
              <w:rPr>
                <w:rFonts w:ascii="Times New Roman;serif" w:hAnsi="Times New Roman;serif"/>
                <w:b w:val="false"/>
                <w:color w:val="000000"/>
                <w:sz w:val="22"/>
              </w:rPr>
              <w:t>, _____</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By</w:t>
            </w:r>
            <w:r>
              <w:rPr>
                <w:color w:val="000000"/>
                <w:u w:val="single"/>
              </w:rPr>
              <w:t>                    </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Title:</w:t>
            </w:r>
            <w:r>
              <w:rPr>
                <w:color w:val="000000"/>
                <w:u w:val="single"/>
              </w:rPr>
              <w:t>                    </w:t>
            </w:r>
          </w:p>
        </w:tc>
      </w:tr>
    </w:tbl>
    <w:p>
      <w:pPr>
        <w:pStyle w:val="TextBody"/>
        <w:bidi w:val="0"/>
        <w:spacing w:before="0" w:after="120"/>
        <w:jc w:val="left"/>
        <w:rPr/>
      </w:pPr>
      <w:r>
        <w:rPr/>
      </w:r>
    </w:p>
    <w:p>
      <w:pPr>
        <w:pStyle w:val="TextBody"/>
        <w:bidi w:val="0"/>
        <w:spacing w:before="0" w:after="0"/>
        <w:jc w:val="left"/>
        <w:rPr/>
      </w:pPr>
      <w:r>
        <w:rPr/>
      </w:r>
    </w:p>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31.1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F. Walters,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H2O America (the “registrant”);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573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159"/>
        <w:gridCol w:w="1159"/>
        <w:gridCol w:w="16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31.2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Ann P. Kelly,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H2O America (the “registrant”);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91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19"/>
        <w:gridCol w:w="919"/>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P.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P.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H2O America (the “Company”) on Form 10-Q for the quarter ended June 30, 2026, as filed with the Securities and Exchange Commission on the date hereof (the “Report”), I, Andrew F. Walters, Chief Executive Officer,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01" w:type="dxa"/>
        <w:jc w:val="center"/>
        <w:tblInd w:w="0" w:type="dxa"/>
        <w:tblLayout w:type="fixed"/>
        <w:tblCellMar>
          <w:top w:w="28" w:type="dxa"/>
          <w:left w:w="28" w:type="dxa"/>
          <w:bottom w:w="28" w:type="dxa"/>
          <w:right w:w="28" w:type="dxa"/>
        </w:tblCellMar>
      </w:tblPr>
      <w:tblGrid>
        <w:gridCol w:w="1422"/>
        <w:gridCol w:w="1252"/>
        <w:gridCol w:w="1255"/>
        <w:gridCol w:w="109"/>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H2O America (the “Company”) on Form 10-Q for the quarter ended June 30, 2026, as filed with the Securities and Exchange Commission on the date hereof (the “Report”), I, Ann P. Kelly, Chief Financial Officer and Treasurer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3492" w:type="dxa"/>
        <w:jc w:val="center"/>
        <w:tblInd w:w="0" w:type="dxa"/>
        <w:tblLayout w:type="fixed"/>
        <w:tblCellMar>
          <w:top w:w="28" w:type="dxa"/>
          <w:left w:w="28" w:type="dxa"/>
          <w:bottom w:w="28" w:type="dxa"/>
          <w:right w:w="28" w:type="dxa"/>
        </w:tblCellMar>
      </w:tblPr>
      <w:tblGrid>
        <w:gridCol w:w="1130"/>
        <w:gridCol w:w="993"/>
        <w:gridCol w:w="997"/>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P.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P.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21049</Words>
  <Characters>118544</Characters>
  <CharactersWithSpaces>138508</CharactersWithSpaces>
  <Paragraphs>2677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