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4000" w:right="1740" w:hanging="3992"/>
        <w:spacing w:after="0" w:line="323" w:lineRule="auto"/>
        <w:tabs>
          <w:tab w:leader="none" w:pos="24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2023</w:t>
      </w:r>
    </w:p>
    <w:p>
      <w:pPr>
        <w:jc w:val="center"/>
        <w:ind w:right="-179"/>
        <w:spacing w:after="0"/>
        <w:rPr>
          <w:sz w:val="20"/>
          <w:szCs w:val="20"/>
          <w:color w:val="auto"/>
        </w:rPr>
      </w:pPr>
      <w:r>
        <w:rPr>
          <w:rFonts w:ascii="Arial" w:cs="Arial" w:eastAsia="Arial" w:hAnsi="Arial"/>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rPr>
              <w:t>For the transition period from</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Commission file number 1-8966</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603"/>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Arial" w:cs="Arial" w:eastAsia="Arial" w:hAnsi="Arial"/>
                <w:sz w:val="43"/>
                <w:szCs w:val="43"/>
                <w:b w:val="1"/>
                <w:bCs w:val="1"/>
                <w:color w:val="auto"/>
                <w:w w:val="97"/>
              </w:rPr>
              <w:t>SJW GROUP</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Delaware</w:t>
            </w:r>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77-0066628</w:t>
            </w:r>
          </w:p>
        </w:tc>
      </w:tr>
      <w:tr>
        <w:trPr>
          <w:trHeight w:val="257"/>
        </w:trPr>
        <w:tc>
          <w:tcPr>
            <w:tcW w:w="1420" w:type="dxa"/>
            <w:vAlign w:val="bottom"/>
          </w:tcPr>
          <w:p>
            <w:pPr>
              <w:spacing w:after="0"/>
              <w:rPr>
                <w:sz w:val="22"/>
                <w:szCs w:val="22"/>
                <w:color w:val="auto"/>
              </w:rPr>
            </w:pPr>
          </w:p>
        </w:tc>
        <w:tc>
          <w:tcPr>
            <w:tcW w:w="550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gridSpan w:val="2"/>
          </w:tcPr>
          <w:p>
            <w:pPr>
              <w:jc w:val="center"/>
              <w:ind w:right="830"/>
              <w:spacing w:after="0"/>
              <w:rPr>
                <w:sz w:val="20"/>
                <w:szCs w:val="20"/>
                <w:color w:val="auto"/>
              </w:rPr>
            </w:pPr>
            <w:r>
              <w:rPr>
                <w:rFonts w:ascii="Arial" w:cs="Arial" w:eastAsia="Arial" w:hAnsi="Arial"/>
                <w:sz w:val="18"/>
                <w:szCs w:val="18"/>
                <w:color w:val="auto"/>
                <w:w w:val="94"/>
              </w:rPr>
              <w:t>(I.R.S. Employer Identification No.)</w:t>
            </w:r>
          </w:p>
        </w:tc>
      </w:tr>
      <w:tr>
        <w:trPr>
          <w:trHeight w:val="337"/>
        </w:trPr>
        <w:tc>
          <w:tcPr>
            <w:tcW w:w="3980" w:type="dxa"/>
            <w:vAlign w:val="bottom"/>
            <w:gridSpan w:val="3"/>
          </w:tcPr>
          <w:p>
            <w:pPr>
              <w:ind w:left="1280"/>
              <w:spacing w:after="0"/>
              <w:rPr>
                <w:sz w:val="20"/>
                <w:szCs w:val="20"/>
                <w:color w:val="auto"/>
              </w:rPr>
            </w:pPr>
            <w:r>
              <w:rPr>
                <w:rFonts w:ascii="Arial" w:cs="Arial" w:eastAsia="Arial" w:hAnsi="Arial"/>
                <w:sz w:val="18"/>
                <w:szCs w:val="18"/>
                <w:b w:val="1"/>
                <w:bCs w:val="1"/>
                <w:color w:val="auto"/>
                <w:w w:val="91"/>
              </w:rPr>
              <w:t>110 West Taylor Street,  San Jose,</w:t>
            </w:r>
          </w:p>
        </w:tc>
        <w:tc>
          <w:tcPr>
            <w:tcW w:w="2940" w:type="dxa"/>
            <w:vAlign w:val="bottom"/>
            <w:gridSpan w:val="3"/>
          </w:tcPr>
          <w:p>
            <w:pPr>
              <w:ind w:left="60"/>
              <w:spacing w:after="0"/>
              <w:rPr>
                <w:sz w:val="20"/>
                <w:szCs w:val="20"/>
                <w:color w:val="auto"/>
              </w:rPr>
            </w:pPr>
            <w:r>
              <w:rPr>
                <w:rFonts w:ascii="Arial" w:cs="Arial" w:eastAsia="Arial" w:hAnsi="Arial"/>
                <w:sz w:val="18"/>
                <w:szCs w:val="18"/>
                <w:b w:val="1"/>
                <w:bCs w:val="1"/>
                <w:color w:val="auto"/>
              </w:rPr>
              <w:t>CA</w:t>
            </w:r>
          </w:p>
        </w:tc>
        <w:tc>
          <w:tcPr>
            <w:tcW w:w="386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95110</w:t>
            </w:r>
          </w:p>
        </w:tc>
      </w:tr>
      <w:tr>
        <w:trPr>
          <w:trHeight w:val="230"/>
        </w:trPr>
        <w:tc>
          <w:tcPr>
            <w:tcW w:w="1420" w:type="dxa"/>
            <w:vAlign w:val="bottom"/>
          </w:tcPr>
          <w:p>
            <w:pPr>
              <w:spacing w:after="0"/>
              <w:rPr>
                <w:sz w:val="20"/>
                <w:szCs w:val="20"/>
                <w:color w:val="auto"/>
              </w:rPr>
            </w:pPr>
          </w:p>
        </w:tc>
        <w:tc>
          <w:tcPr>
            <w:tcW w:w="550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Pr>
          <w:p>
            <w:pPr>
              <w:spacing w:after="0"/>
              <w:rPr>
                <w:sz w:val="20"/>
                <w:szCs w:val="20"/>
                <w:color w:val="auto"/>
              </w:rPr>
            </w:pPr>
          </w:p>
        </w:tc>
        <w:tc>
          <w:tcPr>
            <w:tcW w:w="3340" w:type="dxa"/>
            <w:vAlign w:val="bottom"/>
          </w:tcPr>
          <w:p>
            <w:pPr>
              <w:jc w:val="center"/>
              <w:ind w:right="1350"/>
              <w:spacing w:after="0"/>
              <w:rPr>
                <w:sz w:val="20"/>
                <w:szCs w:val="20"/>
                <w:color w:val="auto"/>
              </w:rPr>
            </w:pPr>
            <w:r>
              <w:rPr>
                <w:rFonts w:ascii="Arial" w:cs="Arial" w:eastAsia="Arial" w:hAnsi="Arial"/>
                <w:sz w:val="18"/>
                <w:szCs w:val="18"/>
                <w:color w:val="auto"/>
                <w:w w:val="91"/>
              </w:rPr>
              <w:t>(Zip Code)</w:t>
            </w:r>
          </w:p>
        </w:tc>
      </w:tr>
      <w:tr>
        <w:trPr>
          <w:trHeight w:val="409"/>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gridSpan w:val="2"/>
          </w:tcPr>
          <w:p>
            <w:pPr>
              <w:jc w:val="center"/>
              <w:ind w:left="852"/>
              <w:spacing w:after="0"/>
              <w:rPr>
                <w:sz w:val="20"/>
                <w:szCs w:val="20"/>
                <w:color w:val="auto"/>
              </w:rPr>
            </w:pPr>
            <w:r>
              <w:rPr>
                <w:rFonts w:ascii="Arial" w:cs="Arial" w:eastAsia="Arial" w:hAnsi="Arial"/>
                <w:sz w:val="18"/>
                <w:szCs w:val="18"/>
                <w:b w:val="1"/>
                <w:bCs w:val="1"/>
                <w:color w:val="auto"/>
                <w:w w:val="90"/>
              </w:rPr>
              <w:t>(408) 279-7800</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6"/>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69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w w:val="86"/>
              </w:rPr>
              <w:t>Title of each class</w:t>
            </w:r>
          </w:p>
        </w:tc>
        <w:tc>
          <w:tcPr>
            <w:tcW w:w="880" w:type="dxa"/>
            <w:vAlign w:val="bottom"/>
          </w:tcPr>
          <w:p>
            <w:pPr>
              <w:spacing w:after="0"/>
              <w:rPr>
                <w:sz w:val="18"/>
                <w:szCs w:val="18"/>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Trading Symbol(s)</w:t>
            </w:r>
          </w:p>
        </w:tc>
        <w:tc>
          <w:tcPr>
            <w:tcW w:w="5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64"/>
        </w:trPr>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Common Stock, par value $0.001 per share</w:t>
            </w:r>
          </w:p>
        </w:tc>
        <w:tc>
          <w:tcPr>
            <w:tcW w:w="880" w:type="dxa"/>
            <w:vAlign w:val="bottom"/>
          </w:tcPr>
          <w:p>
            <w:pPr>
              <w:spacing w:after="0"/>
              <w:rPr>
                <w:sz w:val="22"/>
                <w:szCs w:val="2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SJW</w:t>
            </w:r>
          </w:p>
        </w:tc>
        <w:tc>
          <w:tcPr>
            <w:tcW w:w="52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New York Stock Exchange LLC</w:t>
            </w:r>
          </w:p>
        </w:tc>
      </w:tr>
    </w:tbl>
    <w:p>
      <w:pPr>
        <w:spacing w:after="0" w:line="80" w:lineRule="exact"/>
        <w:rPr>
          <w:sz w:val="24"/>
          <w:szCs w:val="24"/>
          <w:color w:val="auto"/>
        </w:rPr>
      </w:pPr>
    </w:p>
    <w:p>
      <w:pPr>
        <w:ind w:right="140"/>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51" w:lineRule="exact"/>
        <w:rPr>
          <w:sz w:val="24"/>
          <w:szCs w:val="24"/>
          <w:color w:val="auto"/>
        </w:rPr>
      </w:pPr>
    </w:p>
    <w:p>
      <w:pPr>
        <w:jc w:val="both"/>
        <w:ind w:right="140"/>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51"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72" w:right="499" w:bottom="1440" w:gutter="0" w:footer="0" w:header="0"/>
        </w:sectPr>
      </w:pPr>
    </w:p>
    <w:p>
      <w:pPr>
        <w:spacing w:after="0" w:line="28" w:lineRule="exact"/>
        <w:rPr>
          <w:sz w:val="24"/>
          <w:szCs w:val="24"/>
          <w:color w:val="auto"/>
        </w:rPr>
      </w:pPr>
    </w:p>
    <w:p>
      <w:pPr>
        <w:ind w:left="36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90"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both"/>
        <w:ind w:firstLine="438"/>
        <w:spacing w:after="0" w:line="342" w:lineRule="auto"/>
        <w:rPr>
          <w:sz w:val="20"/>
          <w:szCs w:val="20"/>
          <w:color w:val="auto"/>
        </w:rPr>
      </w:pPr>
      <w:r>
        <w:rPr>
          <w:rFonts w:ascii="Arial" w:cs="Arial" w:eastAsia="Arial" w:hAnsi="Arial"/>
          <w:sz w:val="16"/>
          <w:szCs w:val="16"/>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43" w:lineRule="exact"/>
        <w:rPr>
          <w:sz w:val="24"/>
          <w:szCs w:val="24"/>
          <w:color w:val="auto"/>
        </w:rPr>
      </w:pPr>
    </w:p>
    <w:p>
      <w:pPr>
        <w:sectPr>
          <w:pgSz w:w="11900" w:h="16838" w:orient="portrait"/>
          <w:cols w:equalWidth="0" w:num="4">
            <w:col w:w="2340" w:space="80"/>
            <w:col w:w="160" w:space="40"/>
            <w:col w:w="1980" w:space="80"/>
            <w:col w:w="6400"/>
          </w:cols>
          <w:pgMar w:left="320" w:top="1372" w:right="499" w:bottom="1440" w:gutter="0" w:footer="0" w:header="0"/>
          <w:type w:val="continuous"/>
        </w:sect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1" w:lineRule="exact"/>
        <w:rPr>
          <w:sz w:val="24"/>
          <w:szCs w:val="24"/>
          <w:color w:val="auto"/>
        </w:rPr>
      </w:pPr>
    </w:p>
    <w:p>
      <w:pPr>
        <w:spacing w:after="0" w:line="207" w:lineRule="exact"/>
        <w:tabs>
          <w:tab w:leader="none" w:pos="88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highlight w:val="black"/>
        </w:rPr>
        <w:t>☐</w:t>
      </w:r>
      <w:r>
        <w:rPr>
          <w:sz w:val="20"/>
          <w:szCs w:val="20"/>
          <w:color w:val="auto"/>
        </w:rPr>
        <w:tab/>
      </w:r>
      <w:r>
        <w:rPr>
          <w:rFonts w:ascii="Arial" w:cs="Arial" w:eastAsia="Arial" w:hAnsi="Arial"/>
          <w:sz w:val="18"/>
          <w:szCs w:val="18"/>
          <w:color w:val="auto"/>
        </w:rPr>
        <w:t>No x</w:t>
      </w:r>
    </w:p>
    <w:p>
      <w:pPr>
        <w:spacing w:after="0" w:line="7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July 25, 2023, there were 31,768,933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72" w:right="49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69" w:lineRule="exact"/>
        <w:rPr>
          <w:sz w:val="20"/>
          <w:szCs w:val="20"/>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regulatory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impact of climate change;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5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other similar occurrences;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44"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5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149,041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273,343</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5520" w:type="dxa"/>
            <w:vAlign w:val="bottom"/>
          </w:tcPr>
          <w:p>
            <w:pPr>
              <w:ind w:left="680"/>
              <w:spacing w:after="0"/>
              <w:rPr>
                <w:sz w:val="20"/>
                <w:szCs w:val="20"/>
                <w:color w:val="auto"/>
              </w:rPr>
            </w:pPr>
            <w:r>
              <w:rPr>
                <w:rFonts w:ascii="Arial" w:cs="Arial" w:eastAsia="Arial" w:hAnsi="Arial"/>
                <w:sz w:val="18"/>
                <w:szCs w:val="18"/>
                <w:color w:val="auto"/>
              </w:rPr>
              <w:t>Purchased water</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26,352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45,569</w:t>
            </w:r>
          </w:p>
        </w:tc>
      </w:tr>
      <w:tr>
        <w:trPr>
          <w:trHeight w:val="236"/>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Power</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6,474</w:t>
            </w:r>
          </w:p>
        </w:tc>
      </w:tr>
      <w:tr>
        <w:trPr>
          <w:trHeight w:val="229"/>
        </w:trPr>
        <w:tc>
          <w:tcPr>
            <w:tcW w:w="5520" w:type="dxa"/>
            <w:vAlign w:val="bottom"/>
          </w:tcPr>
          <w:p>
            <w:pPr>
              <w:ind w:left="680"/>
              <w:spacing w:after="0"/>
              <w:rPr>
                <w:sz w:val="20"/>
                <w:szCs w:val="20"/>
                <w:color w:val="auto"/>
              </w:rPr>
            </w:pPr>
            <w:r>
              <w:rPr>
                <w:rFonts w:ascii="Arial" w:cs="Arial" w:eastAsia="Arial" w:hAnsi="Arial"/>
                <w:sz w:val="18"/>
                <w:szCs w:val="18"/>
                <w:color w:val="auto"/>
              </w:rPr>
              <w:t>Groundwater extraction charges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32,288</w:t>
            </w:r>
          </w:p>
        </w:tc>
      </w:tr>
      <w:tr>
        <w:trPr>
          <w:trHeight w:val="243"/>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production expenses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21,719</w:t>
            </w:r>
          </w:p>
        </w:tc>
      </w:tr>
      <w:tr>
        <w:trPr>
          <w:trHeight w:val="223"/>
        </w:trPr>
        <w:tc>
          <w:tcPr>
            <w:tcW w:w="5520" w:type="dxa"/>
            <w:vAlign w:val="bottom"/>
          </w:tcPr>
          <w:p>
            <w:pPr>
              <w:ind w:left="360"/>
              <w:spacing w:after="0"/>
              <w:rPr>
                <w:sz w:val="20"/>
                <w:szCs w:val="20"/>
                <w:color w:val="auto"/>
              </w:rPr>
            </w:pPr>
            <w:r>
              <w:rPr>
                <w:rFonts w:ascii="Arial" w:cs="Arial" w:eastAsia="Arial" w:hAnsi="Arial"/>
                <w:sz w:val="18"/>
                <w:szCs w:val="18"/>
                <w:color w:val="auto"/>
              </w:rPr>
              <w:t>Total production expenses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61,886</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108,905</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106,050</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general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47,465</w:t>
            </w:r>
          </w:p>
        </w:tc>
      </w:tr>
      <w:tr>
        <w:trPr>
          <w:trHeight w:val="237"/>
        </w:trPr>
        <w:tc>
          <w:tcPr>
            <w:tcW w:w="5520" w:type="dxa"/>
            <w:vAlign w:val="bottom"/>
          </w:tcPr>
          <w:p>
            <w:pPr>
              <w:ind w:left="360"/>
              <w:spacing w:after="0"/>
              <w:rPr>
                <w:sz w:val="20"/>
                <w:szCs w:val="20"/>
                <w:color w:val="auto"/>
              </w:rPr>
            </w:pPr>
            <w:r>
              <w:rPr>
                <w:rFonts w:ascii="Arial" w:cs="Arial" w:eastAsia="Arial" w:hAnsi="Arial"/>
                <w:sz w:val="18"/>
                <w:szCs w:val="18"/>
                <w:color w:val="auto"/>
              </w:rPr>
              <w:t>Maintenance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13,586</w:t>
            </w:r>
          </w:p>
        </w:tc>
      </w:tr>
      <w:tr>
        <w:trPr>
          <w:trHeight w:val="23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taxes and other non-income taxes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15,888</w:t>
            </w: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52,813</w:t>
            </w:r>
          </w:p>
        </w:tc>
      </w:tr>
      <w:tr>
        <w:trPr>
          <w:trHeight w:val="243"/>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nonutility property</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(5,450)</w:t>
            </w:r>
          </w:p>
        </w:tc>
      </w:tr>
      <w:tr>
        <w:trPr>
          <w:trHeight w:val="223"/>
        </w:trPr>
        <w:tc>
          <w:tcPr>
            <w:tcW w:w="5520" w:type="dxa"/>
            <w:vAlign w:val="bottom"/>
          </w:tcPr>
          <w:p>
            <w:pPr>
              <w:ind w:left="1120"/>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125,728</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122,639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237,846</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230,352</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42,991</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long-term debt and other interest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(27,970)</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Pension non-service cost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1,890</w:t>
            </w:r>
          </w:p>
        </w:tc>
      </w:tr>
      <w:tr>
        <w:trPr>
          <w:trHeight w:val="243"/>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w:t>
            </w:r>
          </w:p>
        </w:tc>
      </w:tr>
      <w:tr>
        <w:trPr>
          <w:trHeight w:val="223"/>
        </w:trPr>
        <w:tc>
          <w:tcPr>
            <w:tcW w:w="552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16,774</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29,382</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18,730</w:t>
            </w:r>
          </w:p>
        </w:tc>
      </w:tr>
      <w:tr>
        <w:trPr>
          <w:trHeight w:val="229"/>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15,295</w:t>
            </w:r>
          </w:p>
        </w:tc>
      </w:tr>
      <w:tr>
        <w:trPr>
          <w:trHeight w:val="23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18,295</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14,866</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0.50</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31,499,068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30,244,511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31,219,324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30,234,381</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31,594,494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30,346,040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31,319,248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30,341,065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right"/>
              <w:ind w:right="51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74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1860" w:type="dxa"/>
            <w:vAlign w:val="bottom"/>
            <w:gridSpan w:val="2"/>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Utility plant: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Depreciable plant and equipment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3,761,749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3,661,285</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141,179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116,851</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35,947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35,959</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utility plant</w:t>
            </w:r>
          </w:p>
        </w:tc>
        <w:tc>
          <w:tcPr>
            <w:tcW w:w="3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3,980,261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3,854,077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1,277,102</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1,223,760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utility plant</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2,703,159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2,630,317</w:t>
            </w:r>
          </w:p>
        </w:tc>
        <w:tc>
          <w:tcPr>
            <w:tcW w:w="0" w:type="dxa"/>
            <w:vAlign w:val="bottom"/>
          </w:tcPr>
          <w:p>
            <w:pPr>
              <w:spacing w:after="0"/>
              <w:rPr>
                <w:sz w:val="1"/>
                <w:szCs w:val="1"/>
                <w:color w:val="auto"/>
              </w:rPr>
            </w:pPr>
          </w:p>
        </w:tc>
      </w:tr>
      <w:tr>
        <w:trPr>
          <w:trHeight w:val="202"/>
        </w:trPr>
        <w:tc>
          <w:tcPr>
            <w:tcW w:w="76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investments and nonutility properties</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58,033</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17,158</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real estate investments and nonutility properties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40,875</w:t>
            </w: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25,474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680"/>
              <w:spacing w:after="0" w:line="176" w:lineRule="exact"/>
              <w:rPr>
                <w:sz w:val="20"/>
                <w:szCs w:val="20"/>
                <w:color w:val="auto"/>
              </w:rPr>
            </w:pPr>
            <w:r>
              <w:rPr>
                <w:rFonts w:ascii="Arial" w:cs="Arial" w:eastAsia="Arial" w:hAnsi="Arial"/>
                <w:sz w:val="18"/>
                <w:szCs w:val="18"/>
                <w:color w:val="auto"/>
                <w:w w:val="91"/>
              </w:rPr>
              <w:t>Customers, net of allowances for uncollectible accounts of $6,414 and $5,753 on June 30, 2023</w:t>
            </w:r>
          </w:p>
        </w:tc>
        <w:tc>
          <w:tcPr>
            <w:tcW w:w="3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58,545</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59,172</w:t>
            </w:r>
          </w:p>
        </w:tc>
        <w:tc>
          <w:tcPr>
            <w:tcW w:w="0" w:type="dxa"/>
            <w:vAlign w:val="bottom"/>
          </w:tcPr>
          <w:p>
            <w:pPr>
              <w:spacing w:after="0"/>
              <w:rPr>
                <w:sz w:val="1"/>
                <w:szCs w:val="1"/>
                <w:color w:val="auto"/>
              </w:rPr>
            </w:pPr>
          </w:p>
        </w:tc>
      </w:tr>
      <w:tr>
        <w:trPr>
          <w:trHeight w:val="230"/>
        </w:trPr>
        <w:tc>
          <w:tcPr>
            <w:tcW w:w="7640" w:type="dxa"/>
            <w:vAlign w:val="bottom"/>
          </w:tcPr>
          <w:p>
            <w:pPr>
              <w:ind w:left="680"/>
              <w:spacing w:after="0"/>
              <w:rPr>
                <w:sz w:val="20"/>
                <w:szCs w:val="20"/>
                <w:color w:val="auto"/>
              </w:rPr>
            </w:pPr>
            <w:r>
              <w:rPr>
                <w:rFonts w:ascii="Arial" w:cs="Arial" w:eastAsia="Arial" w:hAnsi="Arial"/>
                <w:sz w:val="18"/>
                <w:szCs w:val="18"/>
                <w:color w:val="auto"/>
              </w:rPr>
              <w:t>and December 31, 2022, respectively</w:t>
            </w:r>
          </w:p>
        </w:tc>
        <w:tc>
          <w:tcPr>
            <w:tcW w:w="3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Accrued unbilled utility revenue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50,555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45,722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9,152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9,753</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regulatory assets, net</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154,714</w:t>
            </w:r>
          </w:p>
        </w:tc>
        <w:tc>
          <w:tcPr>
            <w:tcW w:w="0" w:type="dxa"/>
            <w:vAlign w:val="bottom"/>
          </w:tcPr>
          <w:p>
            <w:pPr>
              <w:spacing w:after="0"/>
              <w:rPr>
                <w:sz w:val="1"/>
                <w:szCs w:val="1"/>
                <w:color w:val="auto"/>
              </w:rPr>
            </w:pPr>
          </w:p>
        </w:tc>
      </w:tr>
      <w:tr>
        <w:trPr>
          <w:trHeight w:val="217"/>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regulatory assets, less current portion</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127,275</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16,136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640,311</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19,913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24,313</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806,718</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3,712,158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3,632,624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53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76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652"/>
              <w:spacing w:after="0"/>
              <w:rPr>
                <w:sz w:val="20"/>
                <w:szCs w:val="20"/>
                <w:color w:val="auto"/>
              </w:rPr>
            </w:pPr>
            <w:r>
              <w:rPr>
                <w:rFonts w:ascii="Arial" w:cs="Arial" w:eastAsia="Arial" w:hAnsi="Arial"/>
                <w:sz w:val="14"/>
                <w:szCs w:val="14"/>
                <w:b w:val="1"/>
                <w:bCs w:val="1"/>
                <w:color w:val="auto"/>
              </w:rPr>
              <w:t>2023</w:t>
            </w:r>
          </w:p>
        </w:tc>
        <w:tc>
          <w:tcPr>
            <w:tcW w:w="1880" w:type="dxa"/>
            <w:vAlign w:val="bottom"/>
            <w:gridSpan w:val="2"/>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6"/>
        </w:trPr>
        <w:tc>
          <w:tcPr>
            <w:tcW w:w="7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AND LIABILITIES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8"/>
        </w:trPr>
        <w:tc>
          <w:tcPr>
            <w:tcW w:w="7580" w:type="dxa"/>
            <w:vAlign w:val="bottom"/>
          </w:tcPr>
          <w:p>
            <w:pPr>
              <w:ind w:left="360"/>
              <w:spacing w:after="0" w:line="189" w:lineRule="exact"/>
              <w:rPr>
                <w:sz w:val="20"/>
                <w:szCs w:val="20"/>
                <w:color w:val="auto"/>
              </w:rPr>
            </w:pPr>
            <w:r>
              <w:rPr>
                <w:rFonts w:ascii="Arial" w:cs="Arial" w:eastAsia="Arial" w:hAnsi="Arial"/>
                <w:sz w:val="18"/>
                <w:szCs w:val="18"/>
                <w:color w:val="auto"/>
                <w:w w:val="93"/>
              </w:rPr>
              <w:t>Common stock, $0.001 par value; authorized 70,000,000 shares; issued and outstanding shares</w:t>
            </w: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31,731,030 on June 30, 2023 and 30,801,912 on December 31, 2022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716,642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651,004</w:t>
            </w:r>
          </w:p>
        </w:tc>
      </w:tr>
      <w:tr>
        <w:trPr>
          <w:trHeight w:val="237"/>
        </w:trPr>
        <w:tc>
          <w:tcPr>
            <w:tcW w:w="75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464,464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458,356</w:t>
            </w:r>
          </w:p>
        </w:tc>
      </w:tr>
      <w:tr>
        <w:trPr>
          <w:trHeight w:val="23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23"/>
        </w:trPr>
        <w:tc>
          <w:tcPr>
            <w:tcW w:w="758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1,182,716</w:t>
            </w:r>
          </w:p>
        </w:tc>
        <w:tc>
          <w:tcPr>
            <w:tcW w:w="12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1,110,868</w:t>
            </w:r>
          </w:p>
        </w:tc>
      </w:tr>
      <w:tr>
        <w:trPr>
          <w:trHeight w:val="230"/>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1,519,281</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1,491,965</w:t>
            </w:r>
          </w:p>
        </w:tc>
      </w:tr>
      <w:tr>
        <w:trPr>
          <w:trHeight w:val="230"/>
        </w:trPr>
        <w:tc>
          <w:tcPr>
            <w:tcW w:w="7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2,701,997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2,602,833</w:t>
            </w:r>
          </w:p>
        </w:tc>
      </w:tr>
      <w:tr>
        <w:trPr>
          <w:trHeight w:val="243"/>
        </w:trPr>
        <w:tc>
          <w:tcPr>
            <w:tcW w:w="75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Lines of credit</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159,578</w:t>
            </w: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44,328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4,360</w:t>
            </w:r>
          </w:p>
        </w:tc>
      </w:tr>
      <w:tr>
        <w:trPr>
          <w:trHeight w:val="229"/>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19,707</w:t>
            </w:r>
          </w:p>
        </w:tc>
      </w:tr>
      <w:tr>
        <w:trPr>
          <w:trHeight w:val="237"/>
        </w:trPr>
        <w:tc>
          <w:tcPr>
            <w:tcW w:w="75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36,446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29,581</w:t>
            </w:r>
          </w:p>
        </w:tc>
      </w:tr>
      <w:tr>
        <w:trPr>
          <w:trHeight w:val="23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13,907</w:t>
            </w: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Accrued payroll</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10,011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11,908</w:t>
            </w:r>
          </w:p>
        </w:tc>
      </w:tr>
      <w:tr>
        <w:trPr>
          <w:trHeight w:val="243"/>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20,569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22,913</w:t>
            </w:r>
          </w:p>
        </w:tc>
      </w:tr>
      <w:tr>
        <w:trPr>
          <w:trHeight w:val="223"/>
        </w:trPr>
        <w:tc>
          <w:tcPr>
            <w:tcW w:w="75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264,650</w:t>
            </w:r>
          </w:p>
        </w:tc>
      </w:tr>
      <w:tr>
        <w:trPr>
          <w:trHeight w:val="237"/>
        </w:trPr>
        <w:tc>
          <w:tcPr>
            <w:tcW w:w="7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ADVANCES FOR CONSTRUCTION</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140,005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137,696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IN AID OF CONSTRUCTION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327,280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323,668</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53,001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59,738</w:t>
            </w:r>
          </w:p>
        </w:tc>
      </w:tr>
      <w:tr>
        <w:trPr>
          <w:trHeight w:val="23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COMMITMENTS AND CONTINGENCIES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3,712,158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3,632,624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9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8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restart"/>
          </w:tcPr>
          <w:p>
            <w:pPr>
              <w:jc w:val="center"/>
              <w:ind w:right="73"/>
              <w:spacing w:after="0" w:line="126"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center"/>
              <w:ind w:right="74"/>
              <w:spacing w:after="0" w:line="126"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73"/>
              <w:spacing w:after="0" w:line="12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8"/>
        </w:trPr>
        <w:tc>
          <w:tcPr>
            <w:tcW w:w="3880" w:type="dxa"/>
            <w:vAlign w:val="bottom"/>
          </w:tcPr>
          <w:p>
            <w:pPr>
              <w:spacing w:after="0"/>
              <w:rPr>
                <w:sz w:val="3"/>
                <w:szCs w:val="3"/>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8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3"/>
              <w:spacing w:after="0" w:line="14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30,801,912</w:t>
            </w:r>
          </w:p>
        </w:tc>
        <w:tc>
          <w:tcPr>
            <w:tcW w:w="90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458,356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1,110,868</w:t>
            </w:r>
          </w:p>
        </w:tc>
        <w:tc>
          <w:tcPr>
            <w:tcW w:w="0" w:type="dxa"/>
            <w:vAlign w:val="bottom"/>
          </w:tcPr>
          <w:p>
            <w:pPr>
              <w:spacing w:after="0"/>
              <w:rPr>
                <w:sz w:val="1"/>
                <w:szCs w:val="1"/>
                <w:color w:val="auto"/>
              </w:rPr>
            </w:pPr>
          </w:p>
        </w:tc>
      </w:tr>
      <w:tr>
        <w:trPr>
          <w:trHeight w:val="237"/>
        </w:trPr>
        <w:tc>
          <w:tcPr>
            <w:tcW w:w="3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Unrealized gain on investment, net of taxes of $0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40,997</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Dividends paid ($0.38 per share)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March 31,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31,427,124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1,152,485</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18,286</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Unrealized gain on investment, net of tax of $(37)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880" w:type="dxa"/>
            <w:vAlign w:val="bottom"/>
          </w:tcPr>
          <w:p>
            <w:pPr>
              <w:ind w:left="140"/>
              <w:spacing w:after="0"/>
              <w:rPr>
                <w:sz w:val="20"/>
                <w:szCs w:val="20"/>
                <w:color w:val="auto"/>
              </w:rPr>
            </w:pPr>
            <w:r>
              <w:rPr>
                <w:rFonts w:ascii="Arial" w:cs="Arial" w:eastAsia="Arial" w:hAnsi="Arial"/>
                <w:sz w:val="18"/>
                <w:szCs w:val="18"/>
                <w:color w:val="auto"/>
              </w:rPr>
              <w:t>Common stock issuance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290,477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22,782</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 ($0.38 per share)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BALANCES, June 30, 2023</w:t>
            </w:r>
          </w:p>
        </w:tc>
        <w:tc>
          <w:tcPr>
            <w:tcW w:w="1060" w:type="dxa"/>
            <w:vAlign w:val="bottom"/>
          </w:tcPr>
          <w:p>
            <w:pPr>
              <w:jc w:val="right"/>
              <w:spacing w:after="0"/>
              <w:rPr>
                <w:sz w:val="20"/>
                <w:szCs w:val="20"/>
                <w:color w:val="auto"/>
              </w:rPr>
            </w:pPr>
            <w:r>
              <w:rPr>
                <w:rFonts w:ascii="Arial" w:cs="Arial" w:eastAsia="Arial" w:hAnsi="Arial"/>
                <w:sz w:val="18"/>
                <w:szCs w:val="18"/>
                <w:color w:val="auto"/>
              </w:rPr>
              <w:t>31,731,030</w:t>
            </w:r>
          </w:p>
        </w:tc>
        <w:tc>
          <w:tcPr>
            <w:tcW w:w="90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716,642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464,464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1,182,716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880" w:type="dxa"/>
            <w:vAlign w:val="bottom"/>
          </w:tcPr>
          <w:p>
            <w:pPr>
              <w:spacing w:after="0"/>
              <w:rPr>
                <w:sz w:val="24"/>
                <w:szCs w:val="24"/>
                <w:color w:val="auto"/>
              </w:rPr>
            </w:pPr>
          </w:p>
        </w:tc>
        <w:tc>
          <w:tcPr>
            <w:tcW w:w="196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196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73"/>
              <w:spacing w:after="0" w:line="11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74"/>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3"/>
              <w:spacing w:after="0" w:line="11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30,181,348</w:t>
            </w:r>
          </w:p>
        </w:tc>
        <w:tc>
          <w:tcPr>
            <w:tcW w:w="90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1,034,519</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Unrealized loss on investment, net of taxes of $67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7"/>
        </w:trPr>
        <w:tc>
          <w:tcPr>
            <w:tcW w:w="38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17,918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Dividends paid ($0.36 per share)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March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30,237,145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1,028,418</w:t>
            </w:r>
          </w:p>
        </w:tc>
        <w:tc>
          <w:tcPr>
            <w:tcW w:w="0" w:type="dxa"/>
            <w:vAlign w:val="bottom"/>
          </w:tcPr>
          <w:p>
            <w:pPr>
              <w:spacing w:after="0"/>
              <w:rPr>
                <w:sz w:val="1"/>
                <w:szCs w:val="1"/>
                <w:color w:val="auto"/>
              </w:rPr>
            </w:pPr>
          </w:p>
        </w:tc>
      </w:tr>
      <w:tr>
        <w:trPr>
          <w:trHeight w:val="237"/>
        </w:trPr>
        <w:tc>
          <w:tcPr>
            <w:tcW w:w="3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investment, net of tax of $0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Dividends paid ($0.36 per share)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BALANCES, June 30, 2022</w:t>
            </w:r>
          </w:p>
        </w:tc>
        <w:tc>
          <w:tcPr>
            <w:tcW w:w="1060" w:type="dxa"/>
            <w:vAlign w:val="bottom"/>
          </w:tcPr>
          <w:p>
            <w:pPr>
              <w:jc w:val="right"/>
              <w:spacing w:after="0"/>
              <w:rPr>
                <w:sz w:val="20"/>
                <w:szCs w:val="20"/>
                <w:color w:val="auto"/>
              </w:rPr>
            </w:pPr>
            <w:r>
              <w:rPr>
                <w:rFonts w:ascii="Arial" w:cs="Arial" w:eastAsia="Arial" w:hAnsi="Arial"/>
                <w:sz w:val="18"/>
                <w:szCs w:val="18"/>
                <w:color w:val="auto"/>
              </w:rPr>
              <w:t>30,247,674</w:t>
            </w:r>
          </w:p>
        </w:tc>
        <w:tc>
          <w:tcPr>
            <w:tcW w:w="90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608,666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421,741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1,029,845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53,830</w:t>
            </w: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30"/>
        </w:trPr>
        <w:tc>
          <w:tcPr>
            <w:tcW w:w="8320" w:type="dxa"/>
            <w:vAlign w:val="bottom"/>
          </w:tcPr>
          <w:p>
            <w:pPr>
              <w:ind w:left="6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Allowance for equity funds used during construction</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8320" w:type="dxa"/>
            <w:vAlign w:val="bottom"/>
          </w:tcPr>
          <w:p>
            <w:pPr>
              <w:ind w:left="680"/>
              <w:spacing w:after="0"/>
              <w:rPr>
                <w:sz w:val="20"/>
                <w:szCs w:val="20"/>
                <w:color w:val="auto"/>
              </w:rPr>
            </w:pPr>
            <w:r>
              <w:rPr>
                <w:rFonts w:ascii="Arial" w:cs="Arial" w:eastAsia="Arial" w:hAnsi="Arial"/>
                <w:sz w:val="18"/>
                <w:szCs w:val="18"/>
                <w:color w:val="auto"/>
              </w:rPr>
              <w:t>Gain on sale of nonutility property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680"/>
              <w:spacing w:after="0"/>
              <w:rPr>
                <w:sz w:val="20"/>
                <w:szCs w:val="20"/>
                <w:color w:val="auto"/>
              </w:rPr>
            </w:pPr>
            <w:r>
              <w:rPr>
                <w:rFonts w:ascii="Arial" w:cs="Arial" w:eastAsia="Arial" w:hAnsi="Arial"/>
                <w:sz w:val="18"/>
                <w:szCs w:val="18"/>
                <w:color w:val="auto"/>
              </w:rPr>
              <w:t>Accounts receivable and accrued unbilled utility revenue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Tax receivable and payable, and other accrued taxes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Postretirement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5"/>
              </w:rPr>
              <w:t>Regulatory assets and liabilities excluding income tax temporary differences, net and postretirement</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17,284</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benefits</w:t>
            </w:r>
          </w:p>
        </w:tc>
        <w:tc>
          <w:tcPr>
            <w:tcW w:w="3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Other changes,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83,598</w:t>
            </w: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utility plant: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Company-funded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(115,749)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(101,611)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Contributions in aid of construction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0" w:type="dxa"/>
            <w:vAlign w:val="bottom"/>
          </w:tcPr>
          <w:p>
            <w:pPr>
              <w:spacing w:after="0"/>
              <w:rPr>
                <w:sz w:val="1"/>
                <w:szCs w:val="1"/>
                <w:color w:val="auto"/>
              </w:rPr>
            </w:pP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real estate investments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to retire utility plant, net of salvage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Proceeds from sale of nonutility properties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net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(125,379)</w:t>
            </w:r>
          </w:p>
        </w:tc>
        <w:tc>
          <w:tcPr>
            <w:tcW w:w="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(117,131)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Borrowings on line of credit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39,828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88,664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line of credit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borrowings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(51,612)</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Issuance of common stock, net of issuance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63,779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(21,771)</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Receipts of advances and contributions in aid of construction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15,769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Refunds of advances for construction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Other changes,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34,065</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25,474</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RESTRICTED CASH,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30,189</w:t>
            </w:r>
          </w:p>
        </w:tc>
        <w:tc>
          <w:tcPr>
            <w:tcW w:w="0" w:type="dxa"/>
            <w:vAlign w:val="bottom"/>
          </w:tcPr>
          <w:p>
            <w:pPr>
              <w:spacing w:after="0"/>
              <w:rPr>
                <w:sz w:val="1"/>
                <w:szCs w:val="1"/>
                <w:color w:val="auto"/>
              </w:rPr>
            </w:pP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non-cash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Accrued payables for additions to utility plant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27,580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Utility property installed by developers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00"/>
          </w:cols>
          <w:pgMar w:left="340" w:top="935" w:right="359" w:bottom="919"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5" w:right="359" w:bottom="919"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2022 Annual Report on Form 10-K should be read with the accompanying unaudited condensed consolidated financial statements.</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SJW Group is a holding company with five wholly-owned subsidiaries: San Jose Water Company (“SJWC”), SJWNE LLC, SJWTX, Inc., SJW Land Company, and SJWTX Holdings, Inc. SJWNE LLC is the holding company for Connecticut Water Service, Inc. (“CTWS”) whose wholly-subsidiaries are The Connecticut Water Company (“Connecticut Water”), The Maine Water Company (“Maine Water”), New England Water Utility Services, Inc. (“NEWUS”), and Chester Realty, Inc. SJWTX Holdings, Inc. is a holding company that was formed with the purpose of effecting a corporate reorganization of our water utility operations in Texas. Texas Water Resources, LLC was formed as a subsidiary of SJWTX Holdings, Inc. to hold future wholesale water supply assets. SJWC, Connecticut Water, SJWTX, Inc. doing business as The Texas Water Company (“Texas Water”), Maine Water and NEWUS are referred to as “Water Utility Services”. SJW Land Company and Chester Realty, Inc. are collectively referred to as “Real Estate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9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3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295,560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Alternative revenue programs,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(4,909)</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balancing and memorandum accounts,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regulatory mechanisms,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30"/>
        </w:trPr>
        <w:tc>
          <w:tcPr>
            <w:tcW w:w="48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156,886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149,041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294,182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273,343</w:t>
            </w:r>
          </w:p>
        </w:tc>
      </w:tr>
      <w:tr>
        <w:trPr>
          <w:trHeight w:val="27"/>
        </w:trPr>
        <w:tc>
          <w:tcPr>
            <w:tcW w:w="48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 and Nonutility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and nonutility properties as of June 30, 2023 and December 31,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2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66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5"/>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45,418</w:t>
            </w: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1,388</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17,158</w:t>
            </w:r>
          </w:p>
        </w:tc>
      </w:tr>
      <w:tr>
        <w:trPr>
          <w:trHeight w:val="25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SJW Land Company entered into a broker agreement to sell its warehouse buildings and land property located in Knoxville, Tennessee. The company reclassified the Tennessee properties from held-and-used to held-for-sale at March 31,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2023. The company’s intention is to complete the sale of these assets within a twelve month period. The company recorded the Tennessee properties at the lower of their carrying value or estimated fair value less cost to sell, and also stopped recording depreciation on assets held for sale. The company's broker provided the estimated fair value of the Tennessee properties. The estimated costs to sell was subtracted to estimate the fair value. The resulting net fair value of the Tennessee properties exceeded their carrying value, and accordingly no impairment was recorded.</w:t>
      </w:r>
    </w:p>
    <w:p>
      <w:pPr>
        <w:spacing w:after="0" w:line="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sale of the Tennessee properties does not represent a strategic shift that has or will have a major effect on SJW Group; therefore, the sale does not qualify for treatment as a discontinued operation.</w:t>
      </w:r>
    </w:p>
    <w:p>
      <w:pPr>
        <w:spacing w:after="0" w:line="6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 xml:space="preserve">The Tennessee warehouse buildings and land property is included in SJW Group’s “Real Estate Services” reportable segment in </w:t>
      </w:r>
      <w:r>
        <w:rPr>
          <w:rFonts w:ascii="Arial" w:cs="Arial" w:eastAsia="Arial" w:hAnsi="Arial"/>
          <w:sz w:val="18"/>
          <w:szCs w:val="18"/>
          <w:u w:val="single" w:color="auto"/>
          <w:color w:val="0000FF"/>
        </w:rPr>
        <w:t>Note 9</w:t>
      </w:r>
      <w:r>
        <w:rPr>
          <w:rFonts w:ascii="Arial" w:cs="Arial" w:eastAsia="Arial" w:hAnsi="Arial"/>
          <w:sz w:val="18"/>
          <w:szCs w:val="18"/>
          <w:color w:val="auto"/>
        </w:rPr>
        <w:t>, “Segment and Non-Tariffed Business Reporting”. The following represents the major components of the Tennessee warehouse building and land property recorded in assets held-for-sale on the condensed consolidated balance sheets as of June 30,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r>
      <w:tr>
        <w:trPr>
          <w:trHeight w:val="186"/>
        </w:trPr>
        <w:tc>
          <w:tcPr>
            <w:tcW w:w="9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6"/>
        </w:trPr>
        <w:tc>
          <w:tcPr>
            <w:tcW w:w="9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44,950</w:t>
            </w:r>
          </w:p>
        </w:tc>
      </w:tr>
      <w:tr>
        <w:trPr>
          <w:trHeight w:val="223"/>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58,120</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17,270</w:t>
            </w:r>
          </w:p>
        </w:tc>
      </w:tr>
      <w:tr>
        <w:trPr>
          <w:trHeight w:val="255"/>
        </w:trPr>
        <w:tc>
          <w:tcPr>
            <w:tcW w:w="9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15, 2022, the California Public Utilities Commission (“CPUC”) review on a SJWC nonutility property sold in October 2021 was completed and the deferred gain of $5,442 was recognized as gain on sale in the first quarter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The following instruments are not measured at fair value on SJW Group’s condensed consolidated balance sheets as of June 30, 2023, but require disclosure of their fair values: cash and cash equivalents, accounts receivable and accounts payable. The estimated fair value of such instruments as of June 30, 2023, approximates their carrying value as reported on the condensed consolidated balance sheets. There have been no changes in valuation techniques during the three and six months ended June 30, 2023. The fair value of these instruments would be categorized as Level 2 in the fair value hierarchy, with the exception of cash and cash equivalents, which would be categorized as Level 1.</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SJW Group’s long-term debt was $1,354,865 and $1,294,354 as of June 30, 2023 and December 31, 2022, respectively, and was determined using a discounted cash flow analysis, based on the current rates for similar financial instruments of the same duration and creditworthiness of the company. The book value of long-term debt was $1,563,609 and $1,496,325 as of June 30, 2023 and December 31, 2022, respectively. The fair value of long-term debt would be categorized as Level 2 in the fair value hierarchy.</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$2,808 and $2,809 as of June 30, 2023 and December 31, 2022, respectively, and are categorized as Level 1 in the fair value hierarchy.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For the three months ended June 30, 2023 and 2022, 1,843 and 4,964 anti-dilutive restricted common stock units were excluded from the dilutive earnings per share calculation, respectively. For the six months ended June 30, 2023 and 2022, 10,698 and 15,824 anti-dilutive restricted common stock units were excluded from the dilutive earnings per share calculation, respectively.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Regulatory Matters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45"/>
        </w:trPr>
        <w:tc>
          <w:tcPr>
            <w:tcW w:w="8080" w:type="dxa"/>
            <w:vAlign w:val="bottom"/>
            <w:gridSpan w:val="3"/>
          </w:tcPr>
          <w:p>
            <w:pPr>
              <w:spacing w:after="0"/>
              <w:rPr>
                <w:sz w:val="20"/>
                <w:szCs w:val="20"/>
                <w:color w:val="auto"/>
              </w:rPr>
            </w:pPr>
            <w:r>
              <w:rPr>
                <w:rFonts w:ascii="Arial" w:cs="Arial" w:eastAsia="Arial" w:hAnsi="Arial"/>
                <w:sz w:val="18"/>
                <w:szCs w:val="18"/>
                <w:color w:val="auto"/>
              </w:rPr>
              <w:t>Regulatory assets, net are comprised of the following as of June 30, 2023 and December 31, 2022:</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2"/>
        </w:trPr>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December 31, 2022</w:t>
            </w: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5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Income tax temporary differences,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54,110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43,434</w:t>
            </w:r>
          </w:p>
        </w:tc>
      </w:tr>
      <w:tr>
        <w:trPr>
          <w:trHeight w:val="243"/>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Postretirement pensions and other postretirement benefits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31,493</w:t>
            </w:r>
          </w:p>
        </w:tc>
      </w:tr>
      <w:tr>
        <w:trPr>
          <w:trHeight w:val="230"/>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Business combinations debt premium,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17,396</w:t>
            </w:r>
          </w:p>
        </w:tc>
      </w:tr>
      <w:tr>
        <w:trPr>
          <w:trHeight w:val="229"/>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Monterey Water Revenue Adjustment Mechanism (“MWRAM”)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10,864</w:t>
            </w:r>
          </w:p>
        </w:tc>
      </w:tr>
      <w:tr>
        <w:trPr>
          <w:trHeight w:val="378"/>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Water Conservation Memorandum Account (“WCMA”)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(5,039)</w:t>
            </w:r>
          </w:p>
        </w:tc>
      </w:tr>
      <w:tr>
        <w:trPr>
          <w:trHeight w:val="243"/>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2022 General Rate Case Interim Memorandum Account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20,650</w:t>
            </w:r>
          </w:p>
        </w:tc>
      </w:tr>
      <w:tr>
        <w:trPr>
          <w:trHeight w:val="229"/>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Cost recovery balancing and memorandum accounts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16,545</w:t>
            </w:r>
          </w:p>
        </w:tc>
      </w:tr>
      <w:tr>
        <w:trPr>
          <w:trHeight w:val="230"/>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All other balancing and memorandum accounts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37"/>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Water Revenue Adjustment (“WRA”)</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(8,063)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(4,488)</w:t>
            </w:r>
          </w:p>
        </w:tc>
      </w:tr>
      <w:tr>
        <w:trPr>
          <w:trHeight w:val="236"/>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50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r>
      <w:tr>
        <w:trPr>
          <w:trHeight w:val="22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in Condensed Consolidated Balance Sheets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135,977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143,343</w:t>
            </w:r>
          </w:p>
        </w:tc>
      </w:tr>
      <w:tr>
        <w:trPr>
          <w:trHeight w:val="243"/>
        </w:trPr>
        <w:tc>
          <w:tcPr>
            <w:tcW w:w="8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current regulatory assets, net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2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127,275</w:t>
            </w:r>
          </w:p>
        </w:tc>
      </w:tr>
      <w:tr>
        <w:trPr>
          <w:trHeight w:val="20"/>
        </w:trPr>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SJWC has established balancing accounts for the purpose of tracking the under-collection or over-collection associated with expense changes and revenue authorized by the CPUC to offset those expense changes. In 2022, SJWC’s general rate case decision approved the use of the Full Cost Balancing Account to track the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1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SJWC records the lost revenue captured in the WCMA balancing accounts. Drought surcharges collected are used to offset the revenue losses tracked in the WCMA. Mandatory water conservation requirements from Santa Clara Valley Water District ended on April 11, 2023, which also ended SJWC’s Mandatory Conservation Plan, that included drought allocations and surcharges.</w:t>
      </w:r>
    </w:p>
    <w:p>
      <w:pPr>
        <w:spacing w:after="0" w:line="9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4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Connecticut Water has been authorized by the Connecticut Public Utilities Regulatory Authority to utilize a WRA, a decoupling mechanism, to mitigate risk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2023 and December 31, 2022, SJW Group’s regulatory assets, net, not earning a return primarily included postretirement pensions and the unfunded amount of other medical benefits, and business combination debt premiums, net. The total amount of regulatory assets, net not earning a return at June 30, 2023 and December 31, 2022, either by interest on the regulatory asset/liability or as a component of rate base at the allowed rate of return was $49,958 and $52,066,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Capitalization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2023, SJW Group entered into an Amendment No. 1 to the equity distribution agreement (the “Equity Distribution Agreement”), dated November 17, 2021, between SJW Group and J.P. Morgan Securities LLC, Janney Montgomery Scott LLC, RBC Capital Markets, LLC and Wells Fargo Securities, LLC (each a “Sales Agent” and, collectively, the “Sales Agents”), pursuant to which SJW Group increased the aggregate gross sales price of shares of SJW Group’s common stock, $0.001 par value per share, that may be sold under the Equity Distribution Agreement from $100,000 to $240,000. For the three and six months ended June 30, 2023, SJW Group issued and sold a total of 312,683 and 860,503 shares of common stock, respectively, with a weighted average price of $74.60 and $75.56 per share, respectively, and received $22,782 and $63,779 in net proceeds, respectively, under the Equity Distribution Agreement. Since the inception of the Equity Distribution Agreement, SJW Group has issued and sold 1,745,354 shares of common stock with a weighted average price of $74.49 for a total net proceeds of $127,210 and has $109,995 remaining under the Equity Distribution Agreement to issue into shares.</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Bank Borrowings and Long-Term Liabilities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and other obligations. Water Utility Services has received advance deposit payments from its customers and developers on certain construction projects. The refunds of the advance deposit payments constitute an obligation of the respective entities.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Financing Agreements</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July 2022, SJWC entered into a note purchase agreement with certain affiliates of New York Life Insurance, Metropolitan Life Insurance, Northwestern Mutual Life Insurance, and John Hancock Life Insurance (collectively the “Purchasers”), pursuant to which SJWC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w:t>
      </w:r>
    </w:p>
    <w:p>
      <w:pPr>
        <w:spacing w:after="0" w:line="32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u w:val="single" w:color="auto"/>
          <w:color w:val="auto"/>
        </w:rPr>
        <w:t>Income Taxes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 and six months ended June 30, 2023, income tax benefit was $1,512 and $434, respectively. Income tax expense for the three and six months ended June 30, 2022, was $2,368 and $3,435, respectively. The effective consolidated income tax rates were (9)% and 17% for the three months ended June 30, 2023 and 2022, respectively, and (1)% and 18% for the six months ended June 30, 2023 and 2022, respectively. The lower effective tax rate for the three and six months ended June 30, 2023, was primarily due to the partial release of an uncertain tax position reserve.</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April 2023, the Internal Revenue Service issued additional tax guidance that has allowed the company to revisit certain historical income tax reserves. Pursuant to the issuance of this guidance, which provided additional clarification regarding some of the uncertain tax areas, the company re-evaluated the risk relating to repair deductions. The result of the analysis led to a partial release of an uncertain tax position reserve of $3,087. The release relates to repairs expenditures that are more likely than not to be sustained on audit.</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 Group had unrecognized tax benefits, before the impact of deductions of state taxes, excluding interest and penalties, of approximately $5,877 and $9,004 as of June 30, 2023 and December 31, 2022, respectively.</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SJW Group currently does not expect uncertain tax positions to change significantly over the next 12 months, except in the case of a lapse of the statute of limitations.</w:t>
      </w:r>
    </w:p>
    <w:p>
      <w:pPr>
        <w:spacing w:after="0" w:line="3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u w:val="single" w:color="auto"/>
          <w:color w:val="auto"/>
        </w:rPr>
        <w:t>Commitments and Contingencies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u w:val="single" w:color="auto"/>
          <w:color w:val="auto"/>
        </w:rPr>
        <w:t>Benefit Plans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Texas Water employees are also eligible to participate under SJWC’s cash balance plan.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w:t>
      </w:r>
    </w:p>
    <w:p>
      <w:pPr>
        <w:spacing w:after="0" w:line="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net periodic benefit costs for the defined benefit plans and other postretirement benefits for the three and six months ended June 30, 2023 and 2022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w w:val="96"/>
              </w:rPr>
              <w:t>Pension Benefits</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Borders>
              <w:bottom w:val="single" w:sz="8" w:color="auto"/>
            </w:tcBorders>
          </w:tcPr>
          <w:p>
            <w:pPr>
              <w:spacing w:after="0"/>
              <w:rPr>
                <w:sz w:val="16"/>
                <w:szCs w:val="16"/>
                <w:color w:val="auto"/>
              </w:rPr>
            </w:pPr>
          </w:p>
        </w:tc>
      </w:tr>
      <w:tr>
        <w:trPr>
          <w:trHeight w:val="196"/>
        </w:trPr>
        <w:tc>
          <w:tcPr>
            <w:tcW w:w="50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1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3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(4,069)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(4,824)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0"/>
        </w:trPr>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w w:val="96"/>
              </w:rPr>
              <w:t>Pension Benefits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Pr>
          <w:p>
            <w:pPr>
              <w:spacing w:after="0"/>
              <w:rPr>
                <w:sz w:val="24"/>
                <w:szCs w:val="24"/>
                <w:color w:val="auto"/>
              </w:rPr>
            </w:pPr>
          </w:p>
        </w:tc>
      </w:tr>
      <w:tr>
        <w:trPr>
          <w:trHeight w:val="25"/>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38"/>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120" w:type="dxa"/>
            <w:vAlign w:val="bottom"/>
            <w:gridSpan w:val="2"/>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(8,138)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(9,646)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2023, SJW Group expects to make required and discretionary cash contributions of up to $8,120 to the pension plans and other postretirement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SJW Group has made $4,060 of contributions to such plans.</w:t>
      </w:r>
    </w:p>
    <w:p>
      <w:pPr>
        <w:spacing w:after="0" w:line="3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 As of June 30, 2023, 156,299 shares are issuable upon the vesting of outstanding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restricted stock units and deferred restricted stock units and an additional 1,132,390 shares are available for award issuances under the long-term incentive plans.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26, 2023, SJW Group adopted the successor plans, 2023 Long-Term Incentive Plan and 2023 Employee Stock Purchase Plan, to replace the Amended and Restated Long-Term Incentive Plan (the, “Predecessor Incentive Plan”) and 2014 Employee Stock Purchase Plan (the, “Predecessor ESPP”), respectively. The Predecessor Incentive Plan terminated on April 23, 2023 and Predecessor ESPP terminated on July 31, 2023. Each outstanding award under the Predecessor Incentive Plan will remain outstanding under the Predecessor Incentive Plan and shall be governed solely by the terms of the documents evidencing such awards. The 2023 Long-Term Incentive Plan reserves a total of 1,142,000 shares of SJW Group’s common stock for issuance to employees, non-employee board members or the board of directors of any parent or subsidiary, consultants, and other independent advisors who provide services to the SJW Group and its subsidiaries. The 2023 Employee Stock Purchase Plan reserves for a total of 500,000 shares of SJW Group’s common stock for issuance for eligible employees to purchase common stock at a discount through accumulated payroll deductions. Remaining reserves for both of the predecessor plans will be terminated with the adoption of the successor plans.</w:t>
      </w:r>
    </w:p>
    <w:p>
      <w:pPr>
        <w:spacing w:after="0" w:line="5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 summary of compensation costs charged to income and proceeds from the exercise of restricted stock and similar instruments that are recorded to additional paid-in capital and common stock, by award type, are presented below for the three and six months ended June 30,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2022</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costs charged to income:</w:t>
            </w: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tcPr>
          <w:p>
            <w:pPr>
              <w:ind w:left="160"/>
              <w:spacing w:after="0"/>
              <w:rPr>
                <w:sz w:val="20"/>
                <w:szCs w:val="20"/>
                <w:color w:val="auto"/>
              </w:rPr>
            </w:pPr>
            <w:r>
              <w:rPr>
                <w:rFonts w:ascii="Arial" w:cs="Arial" w:eastAsia="Arial" w:hAnsi="Arial"/>
                <w:sz w:val="18"/>
                <w:szCs w:val="18"/>
                <w:color w:val="auto"/>
              </w:rPr>
              <w:t>ESPP</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and deferred restricted stock</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Total compensation costs charged to income</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1,139</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1,041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2,593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 proceeds</w:t>
            </w: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three months ended June 30, 2023, and 2022, SJW Group granted 9,610 and 12,604, respectively, one year and three year service-based restricted stock awards with a weighted-average grant date fair value per unit of $75.28 and $58.04, respectively. For the six months ended June 30, 2023 and 2022, SJW Group granted 37,342 and 44,003, respectively, one year and three year service-based restricted stock awards with a weighted-average grant date fair value per unit of $77.21 and $65.41, respectively.</w:t>
      </w:r>
    </w:p>
    <w:p>
      <w:pPr>
        <w:spacing w:after="0" w:line="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three months ended June 30, 2023, no performance-based or market-based restricted stock awards were granted. For the three months ended June 30, 2022, SJW Group granted 32 target units performance-based and market-based restricted stock awards granted with a weighted-average grant date fair value per unit of $66.14. For the six months ended June 30, 2023 and 2022, SJW Group granted 31,345 and 33,653 target units, respectively, performance-based and market-based restricted stock awards granted with a weighted-average grant date fair value per unit of $80.05 and $70.35,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2023, the total unrecognized compensation costs related to restricted and deferred restricted stock plans was $7,121. This cost is expected to be recognized over a weighted-average period of 1.99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SJW Group’s recorded expenses for its ESPP were $106 and $196 for the three and six months ended June 30, 2023, respectively, and $89 and $182 for the three and six months ended June 30, 2022, respectively. The total unrecognized compensation costs related to the semi-annual offering period that ends July 31, 2023, for the employee stock purchase plan is approximately $34. This cost is expected to be recognized during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SJW Group is a holding company with five subsidiaries: (i) SJWC, a water utility operation with both regulated and non-tariffed businesses, (ii) Texas Water, a regulated water and non-tariffed wastewater utility located in Canyon Lake, Texas, and its consolidated non-tariffed variable interest entity, Acequia Water Supply Corporation, (iii) SJW Land Company and its consolidated variable interest entity, 444 West Santa Clara Street, L.P., which operated commercial building rentals, (iv) SJWNE LLC, a holding company for CTWS and its subsidiaries, Connecticut Water, Maine Water, NEWUS and Chester Realty, Inc., and (v) SJWTX Holdings, Inc. which was formed for the purpose of effecting a corporate reorganization of the water utility operations in Texas. SJW Group’s reportable segments have been determined based on information used by the chief operating decision maker. SJW Group’s chief operating decision maker includes the Chairman, President and Chief Executive Officer, and his executive staff. The first segment provides water utility and utility-related services to its customers through SJW Group’s subsidiaries, SJWC, Connecticut Water, Texas Water, Maine Water, and NEWUS together referred to as “Water Utility Services”. The second segment consists of property management and investment activity conducted by SJW Land Company and Chester Realty, Inc., referred to as “Real Estate Services.”</w:t>
      </w:r>
    </w:p>
    <w:p>
      <w:pPr>
        <w:spacing w:after="0" w:line="7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Three Months Ended June 30, 2023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Water Utility Services</w:t>
            </w:r>
          </w:p>
        </w:tc>
        <w:tc>
          <w:tcPr>
            <w:tcW w:w="10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All Other (1)</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Regulated</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Regulated</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122,678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1,789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122,678</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3,050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125,728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29,847</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20,510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25,811</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line="189" w:lineRule="exact"/>
              <w:rPr>
                <w:sz w:val="20"/>
                <w:szCs w:val="20"/>
                <w:color w:val="auto"/>
              </w:rPr>
            </w:pPr>
            <w:r>
              <w:rPr>
                <w:rFonts w:ascii="Arial" w:cs="Arial" w:eastAsia="Arial" w:hAnsi="Arial"/>
                <w:sz w:val="18"/>
                <w:szCs w:val="18"/>
                <w:color w:val="auto"/>
              </w:rPr>
              <w:t>Interest on long-term debt and 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10,846</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5,551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3,605,238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43,714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58,726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3,605,238</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106,920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3,712,158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Three Months Ended June 30, 2022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Water Utility Services</w:t>
            </w:r>
          </w:p>
        </w:tc>
        <w:tc>
          <w:tcPr>
            <w:tcW w:w="1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All Other (1)</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Regulated</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Regulated</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119,430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119,430</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3,209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1,571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12,765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24,458</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4,439</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9,805</w:t>
            </w:r>
          </w:p>
        </w:tc>
        <w:tc>
          <w:tcPr>
            <w:tcW w:w="122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4,436</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3,435,758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44,033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57,036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3,435,758</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105,289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3,541,047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gridSpan w:val="2"/>
          </w:tcPr>
          <w:p>
            <w:pPr>
              <w:jc w:val="right"/>
              <w:ind w:right="60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For Six Months Ended June 30, 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vMerge w:val="restart"/>
          </w:tcPr>
          <w:p>
            <w:pPr>
              <w:jc w:val="right"/>
              <w:ind w:right="397"/>
              <w:spacing w:after="0"/>
              <w:rPr>
                <w:sz w:val="20"/>
                <w:szCs w:val="20"/>
                <w:color w:val="auto"/>
              </w:rPr>
            </w:pPr>
            <w:r>
              <w:rPr>
                <w:rFonts w:ascii="Arial" w:cs="Arial" w:eastAsia="Arial" w:hAnsi="Arial"/>
                <w:sz w:val="14"/>
                <w:szCs w:val="14"/>
                <w:b w:val="1"/>
                <w:bCs w:val="1"/>
                <w:color w:val="auto"/>
              </w:rPr>
              <w:t>Water Utility Services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All Other (1)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SJW Group</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Regulated</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Regulated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285,797</w:t>
            </w:r>
          </w:p>
        </w:tc>
        <w:tc>
          <w:tcPr>
            <w:tcW w:w="1220" w:type="dxa"/>
            <w:vAlign w:val="bottom"/>
            <w:gridSpan w:val="4"/>
            <w:shd w:val="clear" w:color="auto" w:fill="CCEEFF"/>
          </w:tcPr>
          <w:p>
            <w:pPr>
              <w:jc w:val="right"/>
              <w:ind w:right="4"/>
              <w:spacing w:after="0"/>
              <w:rPr>
                <w:sz w:val="20"/>
                <w:szCs w:val="20"/>
                <w:color w:val="auto"/>
              </w:rPr>
            </w:pPr>
            <w:r>
              <w:rPr>
                <w:rFonts w:ascii="Arial" w:cs="Arial" w:eastAsia="Arial" w:hAnsi="Arial"/>
                <w:sz w:val="18"/>
                <w:szCs w:val="18"/>
                <w:color w:val="auto"/>
              </w:rPr>
              <w:t>8,385</w:t>
            </w:r>
          </w:p>
        </w:tc>
        <w:tc>
          <w:tcPr>
            <w:tcW w:w="12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294,182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231,545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3,203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1,560</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1,538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231,545</w:t>
            </w:r>
          </w:p>
        </w:tc>
        <w:tc>
          <w:tcPr>
            <w:tcW w:w="1220" w:type="dxa"/>
            <w:vAlign w:val="bottom"/>
            <w:gridSpan w:val="4"/>
          </w:tcPr>
          <w:p>
            <w:pPr>
              <w:jc w:val="right"/>
              <w:ind w:right="4"/>
              <w:spacing w:after="0"/>
              <w:rPr>
                <w:sz w:val="20"/>
                <w:szCs w:val="20"/>
                <w:color w:val="auto"/>
              </w:rPr>
            </w:pPr>
            <w:r>
              <w:rPr>
                <w:rFonts w:ascii="Arial" w:cs="Arial" w:eastAsia="Arial" w:hAnsi="Arial"/>
                <w:sz w:val="18"/>
                <w:szCs w:val="18"/>
                <w:color w:val="auto"/>
              </w:rPr>
              <w:t>6,301</w:t>
            </w:r>
          </w:p>
        </w:tc>
        <w:tc>
          <w:tcPr>
            <w:tcW w:w="1200" w:type="dxa"/>
            <w:vAlign w:val="bottom"/>
            <w:gridSpan w:val="3"/>
          </w:tcPr>
          <w:p>
            <w:pPr>
              <w:jc w:val="right"/>
              <w:ind w:right="2"/>
              <w:spacing w:after="0"/>
              <w:rPr>
                <w:sz w:val="20"/>
                <w:szCs w:val="20"/>
                <w:color w:val="auto"/>
              </w:rPr>
            </w:pPr>
            <w:r>
              <w:rPr>
                <w:rFonts w:ascii="Arial" w:cs="Arial" w:eastAsia="Arial" w:hAnsi="Arial"/>
                <w:sz w:val="18"/>
                <w:szCs w:val="18"/>
                <w:color w:val="auto"/>
              </w:rPr>
              <w:t>237,846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54,252</w:t>
            </w:r>
          </w:p>
        </w:tc>
        <w:tc>
          <w:tcPr>
            <w:tcW w:w="1220" w:type="dxa"/>
            <w:vAlign w:val="bottom"/>
            <w:gridSpan w:val="4"/>
            <w:shd w:val="clear" w:color="auto" w:fill="CCEEFF"/>
          </w:tcPr>
          <w:p>
            <w:pPr>
              <w:jc w:val="right"/>
              <w:ind w:right="4"/>
              <w:spacing w:after="0"/>
              <w:rPr>
                <w:sz w:val="20"/>
                <w:szCs w:val="20"/>
                <w:color w:val="auto"/>
              </w:rPr>
            </w:pPr>
            <w:r>
              <w:rPr>
                <w:rFonts w:ascii="Arial" w:cs="Arial" w:eastAsia="Arial" w:hAnsi="Arial"/>
                <w:sz w:val="18"/>
                <w:szCs w:val="18"/>
                <w:color w:val="auto"/>
              </w:rPr>
              <w:t>2,084</w:t>
            </w:r>
          </w:p>
        </w:tc>
        <w:tc>
          <w:tcPr>
            <w:tcW w:w="12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56,336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969</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(6,099)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33,732</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(3,916)</w:t>
            </w:r>
          </w:p>
        </w:tc>
        <w:tc>
          <w:tcPr>
            <w:tcW w:w="1200" w:type="dxa"/>
            <w:vAlign w:val="bottom"/>
            <w:gridSpan w:val="3"/>
          </w:tcPr>
          <w:p>
            <w:pPr>
              <w:jc w:val="right"/>
              <w:ind w:right="2"/>
              <w:spacing w:after="0"/>
              <w:rPr>
                <w:sz w:val="20"/>
                <w:szCs w:val="20"/>
                <w:color w:val="auto"/>
              </w:rPr>
            </w:pPr>
            <w:r>
              <w:rPr>
                <w:rFonts w:ascii="Arial" w:cs="Arial" w:eastAsia="Arial" w:hAnsi="Arial"/>
                <w:sz w:val="18"/>
                <w:szCs w:val="18"/>
                <w:color w:val="auto"/>
              </w:rPr>
              <w:t>29,816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51,497</w:t>
            </w:r>
          </w:p>
        </w:tc>
        <w:tc>
          <w:tcPr>
            <w:tcW w:w="1220" w:type="dxa"/>
            <w:vAlign w:val="bottom"/>
            <w:gridSpan w:val="4"/>
            <w:shd w:val="clear" w:color="auto" w:fill="CCEEFF"/>
          </w:tcPr>
          <w:p>
            <w:pPr>
              <w:jc w:val="right"/>
              <w:ind w:right="4"/>
              <w:spacing w:after="0"/>
              <w:rPr>
                <w:sz w:val="20"/>
                <w:szCs w:val="20"/>
                <w:color w:val="auto"/>
              </w:rPr>
            </w:pPr>
            <w:r>
              <w:rPr>
                <w:rFonts w:ascii="Arial" w:cs="Arial" w:eastAsia="Arial" w:hAnsi="Arial"/>
                <w:sz w:val="18"/>
                <w:szCs w:val="18"/>
                <w:color w:val="auto"/>
              </w:rPr>
              <w:t>920</w:t>
            </w:r>
          </w:p>
        </w:tc>
        <w:tc>
          <w:tcPr>
            <w:tcW w:w="12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52,417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color w:val="auto"/>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10,776</w:t>
            </w:r>
          </w:p>
        </w:tc>
        <w:tc>
          <w:tcPr>
            <w:tcW w:w="1200" w:type="dxa"/>
            <w:vAlign w:val="bottom"/>
            <w:gridSpan w:val="3"/>
            <w:vMerge w:val="restart"/>
          </w:tcPr>
          <w:p>
            <w:pPr>
              <w:jc w:val="right"/>
              <w:spacing w:after="0"/>
              <w:rPr>
                <w:sz w:val="20"/>
                <w:szCs w:val="20"/>
                <w:color w:val="auto"/>
              </w:rPr>
            </w:pPr>
            <w:r>
              <w:rPr>
                <w:rFonts w:ascii="Arial" w:cs="Arial" w:eastAsia="Arial" w:hAnsi="Arial"/>
                <w:sz w:val="18"/>
                <w:szCs w:val="18"/>
                <w:color w:val="auto"/>
              </w:rPr>
              <w:t>21,393</w:t>
            </w:r>
          </w:p>
        </w:tc>
        <w:tc>
          <w:tcPr>
            <w:tcW w:w="1220" w:type="dxa"/>
            <w:vAlign w:val="bottom"/>
            <w:gridSpan w:val="4"/>
            <w:vMerge w:val="restart"/>
          </w:tcPr>
          <w:p>
            <w:pPr>
              <w:jc w:val="right"/>
              <w:ind w:right="4"/>
              <w:spacing w:after="0"/>
              <w:rPr>
                <w:sz w:val="20"/>
                <w:szCs w:val="20"/>
                <w:color w:val="auto"/>
              </w:rPr>
            </w:pPr>
            <w:r>
              <w:rPr>
                <w:rFonts w:ascii="Arial" w:cs="Arial" w:eastAsia="Arial" w:hAnsi="Arial"/>
                <w:sz w:val="18"/>
                <w:szCs w:val="18"/>
                <w:color w:val="auto"/>
              </w:rPr>
              <w:t>10,776</w:t>
            </w:r>
          </w:p>
        </w:tc>
        <w:tc>
          <w:tcPr>
            <w:tcW w:w="1200" w:type="dxa"/>
            <w:vAlign w:val="bottom"/>
            <w:gridSpan w:val="3"/>
            <w:vMerge w:val="restart"/>
          </w:tcPr>
          <w:p>
            <w:pPr>
              <w:jc w:val="right"/>
              <w:ind w:right="2"/>
              <w:spacing w:after="0"/>
              <w:rPr>
                <w:sz w:val="20"/>
                <w:szCs w:val="20"/>
                <w:color w:val="auto"/>
              </w:rPr>
            </w:pPr>
            <w:r>
              <w:rPr>
                <w:rFonts w:ascii="Arial" w:cs="Arial" w:eastAsia="Arial" w:hAnsi="Arial"/>
                <w:sz w:val="18"/>
                <w:szCs w:val="18"/>
                <w:color w:val="auto"/>
              </w:rPr>
              <w:t>32,169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0" w:type="dxa"/>
            <w:vAlign w:val="bottom"/>
            <w:gridSpan w:val="4"/>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3,605,238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4,480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43,714</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58,726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3,605,238</w:t>
            </w:r>
          </w:p>
        </w:tc>
        <w:tc>
          <w:tcPr>
            <w:tcW w:w="1220" w:type="dxa"/>
            <w:vAlign w:val="bottom"/>
            <w:gridSpan w:val="4"/>
          </w:tcPr>
          <w:p>
            <w:pPr>
              <w:jc w:val="right"/>
              <w:ind w:right="4"/>
              <w:spacing w:after="0"/>
              <w:rPr>
                <w:sz w:val="20"/>
                <w:szCs w:val="20"/>
                <w:color w:val="auto"/>
              </w:rPr>
            </w:pPr>
            <w:r>
              <w:rPr>
                <w:rFonts w:ascii="Arial" w:cs="Arial" w:eastAsia="Arial" w:hAnsi="Arial"/>
                <w:sz w:val="18"/>
                <w:szCs w:val="18"/>
                <w:color w:val="auto"/>
              </w:rPr>
              <w:t>106,920</w:t>
            </w:r>
          </w:p>
        </w:tc>
        <w:tc>
          <w:tcPr>
            <w:tcW w:w="1200" w:type="dxa"/>
            <w:vAlign w:val="bottom"/>
            <w:gridSpan w:val="3"/>
          </w:tcPr>
          <w:p>
            <w:pPr>
              <w:jc w:val="right"/>
              <w:ind w:right="2"/>
              <w:spacing w:after="0"/>
              <w:rPr>
                <w:sz w:val="20"/>
                <w:szCs w:val="20"/>
                <w:color w:val="auto"/>
              </w:rPr>
            </w:pPr>
            <w:r>
              <w:rPr>
                <w:rFonts w:ascii="Arial" w:cs="Arial" w:eastAsia="Arial" w:hAnsi="Arial"/>
                <w:sz w:val="18"/>
                <w:szCs w:val="18"/>
                <w:color w:val="auto"/>
              </w:rPr>
              <w:t>3,712,158</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For Six Months Ended June 30,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3"/>
            <w:vMerge w:val="restart"/>
          </w:tcPr>
          <w:p>
            <w:pPr>
              <w:jc w:val="right"/>
              <w:ind w:right="377"/>
              <w:spacing w:after="0"/>
              <w:rPr>
                <w:sz w:val="20"/>
                <w:szCs w:val="20"/>
                <w:color w:val="auto"/>
              </w:rPr>
            </w:pPr>
            <w:r>
              <w:rPr>
                <w:rFonts w:ascii="Arial" w:cs="Arial" w:eastAsia="Arial" w:hAnsi="Arial"/>
                <w:sz w:val="14"/>
                <w:szCs w:val="14"/>
                <w:b w:val="1"/>
                <w:bCs w:val="1"/>
                <w:color w:val="auto"/>
              </w:rPr>
              <w:t>Water Utility Services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All Other (1)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Regulated</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20" w:type="dxa"/>
            <w:vAlign w:val="bottom"/>
            <w:gridSpan w:val="2"/>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264,779</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8,564</w:t>
            </w:r>
          </w:p>
        </w:tc>
        <w:tc>
          <w:tcPr>
            <w:tcW w:w="120" w:type="dxa"/>
            <w:vAlign w:val="bottom"/>
            <w:gridSpan w:val="2"/>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220,881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5,776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1,824</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1,871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220,881</w:t>
            </w:r>
          </w:p>
        </w:tc>
        <w:tc>
          <w:tcPr>
            <w:tcW w:w="1220" w:type="dxa"/>
            <w:vAlign w:val="bottom"/>
            <w:gridSpan w:val="4"/>
          </w:tcPr>
          <w:p>
            <w:pPr>
              <w:jc w:val="right"/>
              <w:ind w:right="4"/>
              <w:spacing w:after="0"/>
              <w:rPr>
                <w:sz w:val="20"/>
                <w:szCs w:val="20"/>
                <w:color w:val="auto"/>
              </w:rPr>
            </w:pPr>
            <w:r>
              <w:rPr>
                <w:rFonts w:ascii="Arial" w:cs="Arial" w:eastAsia="Arial" w:hAnsi="Arial"/>
                <w:sz w:val="18"/>
                <w:szCs w:val="18"/>
                <w:color w:val="auto"/>
              </w:rPr>
              <w:t>9,471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230,352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43,898</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(8,267)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22,480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(7,185)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48,969</w:t>
            </w:r>
          </w:p>
        </w:tc>
        <w:tc>
          <w:tcPr>
            <w:tcW w:w="1220" w:type="dxa"/>
            <w:vAlign w:val="bottom"/>
            <w:gridSpan w:val="4"/>
            <w:shd w:val="clear" w:color="auto" w:fill="CCEEFF"/>
          </w:tcPr>
          <w:p>
            <w:pPr>
              <w:jc w:val="right"/>
              <w:ind w:right="4"/>
              <w:spacing w:after="0"/>
              <w:rPr>
                <w:sz w:val="20"/>
                <w:szCs w:val="20"/>
                <w:color w:val="auto"/>
              </w:rPr>
            </w:pPr>
            <w:r>
              <w:rPr>
                <w:rFonts w:ascii="Arial" w:cs="Arial" w:eastAsia="Arial" w:hAnsi="Arial"/>
                <w:sz w:val="18"/>
                <w:szCs w:val="18"/>
                <w:color w:val="auto"/>
              </w:rPr>
              <w:t>3,844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Pr>
          <w:p>
            <w:pPr>
              <w:ind w:left="20"/>
              <w:spacing w:after="0" w:line="176" w:lineRule="exact"/>
              <w:rPr>
                <w:sz w:val="20"/>
                <w:szCs w:val="20"/>
                <w:color w:val="auto"/>
              </w:rPr>
            </w:pPr>
            <w:r>
              <w:rPr>
                <w:rFonts w:ascii="Arial" w:cs="Arial" w:eastAsia="Arial" w:hAnsi="Arial"/>
                <w:sz w:val="18"/>
                <w:szCs w:val="18"/>
                <w:color w:val="auto"/>
                <w:w w:val="99"/>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18,568</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9,405</w:t>
            </w:r>
          </w:p>
        </w:tc>
        <w:tc>
          <w:tcPr>
            <w:tcW w:w="1200" w:type="dxa"/>
            <w:vAlign w:val="bottom"/>
            <w:gridSpan w:val="3"/>
            <w:vMerge w:val="restart"/>
          </w:tcPr>
          <w:p>
            <w:pPr>
              <w:jc w:val="right"/>
              <w:spacing w:after="0"/>
              <w:rPr>
                <w:sz w:val="20"/>
                <w:szCs w:val="20"/>
                <w:color w:val="auto"/>
              </w:rPr>
            </w:pPr>
            <w:r>
              <w:rPr>
                <w:rFonts w:ascii="Arial" w:cs="Arial" w:eastAsia="Arial" w:hAnsi="Arial"/>
                <w:sz w:val="18"/>
                <w:szCs w:val="18"/>
                <w:color w:val="auto"/>
              </w:rPr>
              <w:t>18,568</w:t>
            </w:r>
          </w:p>
        </w:tc>
        <w:tc>
          <w:tcPr>
            <w:tcW w:w="1220" w:type="dxa"/>
            <w:vAlign w:val="bottom"/>
            <w:gridSpan w:val="4"/>
            <w:vMerge w:val="restart"/>
          </w:tcPr>
          <w:p>
            <w:pPr>
              <w:jc w:val="right"/>
              <w:ind w:right="4"/>
              <w:spacing w:after="0"/>
              <w:rPr>
                <w:sz w:val="20"/>
                <w:szCs w:val="20"/>
                <w:color w:val="auto"/>
              </w:rPr>
            </w:pPr>
            <w:r>
              <w:rPr>
                <w:rFonts w:ascii="Arial" w:cs="Arial" w:eastAsia="Arial" w:hAnsi="Arial"/>
                <w:sz w:val="18"/>
                <w:szCs w:val="18"/>
                <w:color w:val="auto"/>
              </w:rPr>
              <w:t>9,402</w:t>
            </w:r>
          </w:p>
        </w:tc>
        <w:tc>
          <w:tcPr>
            <w:tcW w:w="1200" w:type="dxa"/>
            <w:vAlign w:val="bottom"/>
            <w:gridSpan w:val="3"/>
            <w:vMerge w:val="restart"/>
          </w:tcPr>
          <w:p>
            <w:pPr>
              <w:jc w:val="right"/>
              <w:spacing w:after="0"/>
              <w:rPr>
                <w:sz w:val="20"/>
                <w:szCs w:val="20"/>
                <w:color w:val="auto"/>
              </w:rPr>
            </w:pPr>
            <w:r>
              <w:rPr>
                <w:rFonts w:ascii="Arial" w:cs="Arial" w:eastAsia="Arial" w:hAnsi="Arial"/>
                <w:sz w:val="18"/>
                <w:szCs w:val="18"/>
                <w:color w:val="auto"/>
              </w:rPr>
              <w:t>27,970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200" w:type="dxa"/>
            <w:vAlign w:val="bottom"/>
            <w:gridSpan w:val="4"/>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3,435,758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4,220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44,033</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57,036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3,435,758</w:t>
            </w:r>
          </w:p>
        </w:tc>
        <w:tc>
          <w:tcPr>
            <w:tcW w:w="1220" w:type="dxa"/>
            <w:vAlign w:val="bottom"/>
            <w:gridSpan w:val="4"/>
          </w:tcPr>
          <w:p>
            <w:pPr>
              <w:jc w:val="right"/>
              <w:ind w:right="4"/>
              <w:spacing w:after="0"/>
              <w:rPr>
                <w:sz w:val="20"/>
                <w:szCs w:val="20"/>
                <w:color w:val="auto"/>
              </w:rPr>
            </w:pPr>
            <w:r>
              <w:rPr>
                <w:rFonts w:ascii="Arial" w:cs="Arial" w:eastAsia="Arial" w:hAnsi="Arial"/>
                <w:sz w:val="18"/>
                <w:szCs w:val="18"/>
                <w:color w:val="auto"/>
              </w:rPr>
              <w:t>105,289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3,541,047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 w:lineRule="exact"/>
        <w:rPr>
          <w:sz w:val="20"/>
          <w:szCs w:val="20"/>
          <w:color w:val="auto"/>
        </w:rPr>
      </w:pPr>
    </w:p>
    <w:p>
      <w:pPr>
        <w:ind w:left="660" w:right="220" w:hanging="652"/>
        <w:spacing w:after="0" w:line="272" w:lineRule="auto"/>
        <w:tabs>
          <w:tab w:leader="none" w:pos="32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“All Other” category for the six months ended June 30, 2023, includes the accounts of SJW Group, SJWNE LLC, CTWS and SJWTX Holdings, Inc. on a stand-alone basis. SJWTX Holdings, Inc. had no activity for the six months ended June 30, 2023. For the six months ended June 30, 2022, “All Other” category includes the accounts of SJW Group, SJWNE LLC and CTWS on a stand-alone basis.</w:t>
      </w:r>
    </w:p>
    <w:p>
      <w:pPr>
        <w:spacing w:after="0" w:line="31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January 13, 2023, Texas Water reached agreements to acquire KT Water Development Ltd. and KT Water Resource L.P. for the purchase price of</w:t>
      </w:r>
    </w:p>
    <w:p>
      <w:pPr>
        <w:spacing w:after="0" w:line="4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$7,338 and $56,500, respectively. KT Water Development Ltd. is an investor-owned water utility providing water to approximately 1,725 people through over 570 service connections in the Rockwall Ranch subdivision in southern Comal County, Texas. KT Water Resources L.P. is a privately-held company formed to develop wholesale water supplies for the fast-growing utilities of Comal County, Texas. The Public Utility Commission of Texas approved of the proposed KT Water Development Ltd. acquisition on July 24, 2023. Both transactions are expected to close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ind w:left="1300" w:right="64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9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2022.</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SJW Group’s Annual Report on Form 10-K for the year ended December 31, 2022 under “Risk Factors.”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SJW Group is a holding company with five wholly-owned subsidiaries: San Jose Water Company (“SJWC”), SJWNE LLC, SJWTX, Inc., SJW Land Company, and SJWTX Holdings, Inc.</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SJWC is a public utility in the business of providing water service to approximately 232,000 connections that serve a population of approximately one million people in an area comprising approximately 139 square miles in the metropolitan San Jose, California area. 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SJWNE LLC is the holding company for Connecticut Water Service, Inc. (“CTWS”). CTWS, headquartered in Connecticut, serves as a holding company for water utility companies providing water service to approximately 141,000 connections that serve a population of approximately 461,000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The remaining two CTWS subsidiaries are Chester Realty, Inc., a real estate company in Connecticut, and New England Water Utility Services, Inc., which provides contract water and sewer operations and other water related services.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SJWTX, Inc., doing business as The Texas Water Company (“Texas Water”), is a public utility in the business of providing water service to approximately 26,000 connections that serve approximately 79,000 people and approximately 900 wastewater connections. In 2022, SJWTX, Inc. filed and was approved with the State of Texas an assumed named certificate to operate under the name The Texas Water Company. Texas Water was previously doing business as Canyon Lake Water Service Company. Texas Water’s service area comprises more than 268 square miles in Bandera, Blanco, Comal, Hays, Kendall,</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6" w:name="page17"/>
    <w:bookmarkEnd w:id="16"/>
    <w:p>
      <w:pPr>
        <w:ind w:right="60"/>
        <w:spacing w:after="0" w:line="254" w:lineRule="auto"/>
        <w:rPr>
          <w:sz w:val="20"/>
          <w:szCs w:val="20"/>
          <w:color w:val="auto"/>
        </w:rPr>
      </w:pPr>
      <w:r>
        <w:rPr>
          <w:rFonts w:ascii="Arial" w:cs="Arial" w:eastAsia="Arial" w:hAnsi="Arial"/>
          <w:sz w:val="18"/>
          <w:szCs w:val="18"/>
          <w:color w:val="auto"/>
        </w:rPr>
        <w:t>Medina and Travis Counties in the growing region between San Antonio and Austin, Texas. Texas Water holds a 25% equity interest in Acequia Water Supply Corporation (“Acequia”). Acequia has been determined to be a variable interest entity within the scope of Accounting Standards Codification Topic 810 with Texas Water as the primary beneficiary. As a result, Acequia has been consolidated with Texas Water. Texas Water is undergoing a corporate reorganization to separate regulated operations from non-tariffed activities. In 2021, SJWTX Holdings, Inc. and Texas Water Operation Services LLC (“TWOS”) were formed for the purpose of effecting a corporate reorganization of our water services organization in Texas. TWOS was created for non-tariffed operations and is wholly-owned by SJWTX Holdings, Inc. In the second quarter of 2023, Texas Water Resources, LLC (“TWR”) was formed to hold wholesale water supply assets. SJWTX Holdings, Inc. is a wholly-owned subsidiary of SJW Group, incorporated to hold the investments in Texas Water, TWOS and TWR.</w:t>
      </w:r>
    </w:p>
    <w:p>
      <w:pPr>
        <w:spacing w:after="0" w:line="8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SJW Land Company and Chester Realty, Inc. own undeveloped land and operate commercial buildings in Tennessee, California and Connecticut. SJW Land Company and Chester Realty, Inc. owned the following real properties during the six months ended June 30, 2023:</w:t>
      </w:r>
    </w:p>
    <w:p>
      <w:pPr>
        <w:spacing w:after="0" w:line="165" w:lineRule="exact"/>
        <w:rPr>
          <w:sz w:val="20"/>
          <w:szCs w:val="20"/>
          <w:color w:val="auto"/>
        </w:rPr>
      </w:pPr>
    </w:p>
    <w:p>
      <w:pPr>
        <w:jc w:val="center"/>
        <w:ind w:left="8700"/>
        <w:spacing w:after="0"/>
        <w:rPr>
          <w:sz w:val="20"/>
          <w:szCs w:val="20"/>
          <w:color w:val="auto"/>
        </w:rPr>
      </w:pPr>
      <w:r>
        <w:rPr>
          <w:rFonts w:ascii="Arial" w:cs="Arial" w:eastAsia="Arial" w:hAnsi="Arial"/>
          <w:sz w:val="13"/>
          <w:szCs w:val="13"/>
          <w:b w:val="1"/>
          <w:bCs w:val="1"/>
          <w:color w:val="auto"/>
        </w:rPr>
        <w:t>% for Six months ended June 30, 2023</w:t>
      </w:r>
    </w:p>
    <w:p>
      <w:pPr>
        <w:jc w:val="center"/>
        <w:ind w:left="8700"/>
        <w:spacing w:after="0" w:line="223" w:lineRule="auto"/>
        <w:rPr>
          <w:sz w:val="20"/>
          <w:szCs w:val="20"/>
          <w:color w:val="auto"/>
        </w:rPr>
      </w:pPr>
      <w:r>
        <w:rPr>
          <w:rFonts w:ascii="Arial" w:cs="Arial" w:eastAsia="Arial" w:hAnsi="Arial"/>
          <w:sz w:val="14"/>
          <w:szCs w:val="14"/>
          <w:b w:val="1"/>
          <w:bCs w:val="1"/>
          <w:color w:val="auto"/>
        </w:rPr>
        <w:t>of</w:t>
      </w:r>
    </w:p>
    <w:p>
      <w:pPr>
        <w:ind w:left="9360"/>
        <w:spacing w:after="0"/>
        <w:rPr>
          <w:sz w:val="20"/>
          <w:szCs w:val="20"/>
          <w:color w:val="auto"/>
        </w:rPr>
      </w:pPr>
      <w:r>
        <w:rPr>
          <w:rFonts w:ascii="Arial" w:cs="Arial" w:eastAsia="Arial" w:hAnsi="Arial"/>
          <w:sz w:val="14"/>
          <w:szCs w:val="14"/>
          <w:b w:val="1"/>
          <w:bCs w:val="1"/>
          <w:color w:val="auto"/>
        </w:rPr>
        <w:t>Real Estate Services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6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7"/>
                <w:szCs w:val="17"/>
                <w:color w:val="auto"/>
              </w:rPr>
            </w:pPr>
          </w:p>
        </w:tc>
        <w:tc>
          <w:tcPr>
            <w:tcW w:w="1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Acreage</w:t>
            </w:r>
          </w:p>
        </w:tc>
        <w:tc>
          <w:tcPr>
            <w:tcW w:w="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Expense</w:t>
            </w:r>
          </w:p>
        </w:tc>
      </w:tr>
      <w:tr>
        <w:trPr>
          <w:trHeight w:val="238"/>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building</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Knoxville, Tennessee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1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Knoxville, Tennessee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Undeveloped land and parking lot</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Knoxville, Tennessee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Undeveloped land</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San Jose, California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building</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Clinton, CT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Guilford, CT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(“PURA”) in Connecticut, the Public Utilities Commission of Texas (“PUCT”) in Texas, and the Maine Public Utilities Commission (“MPUC”) in Maine;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also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“Notes to Condensed Consolidated Financial Statements” for SJW Group’s current acquisition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4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Connecticut. SJW Land Company and Chester Realty, Inc. manage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income producing and other properties until such time a determination is made to reinvest proceeds from the sale of such properties.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2022 consolidated financial statements and accompanying notes that were prepared in accordance with accounting principles generally accepted in the United States of America and included as part of our annual report on Form 10-K for the year ended December 31, 2022, that was filed with the Securities and Exchange Commission on February 24, 2023.</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2022. Our significant accounting policies are described in the notes to the 2022 consolidated financial statements included in our annual report on Form 10-K for the year ended December 31, 2022. There have been no changes to our critical or significant accounting policies during the three and six ended June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SJW Group’s consolidated net income for the three months ended June 30, 2023, was $18,286, an increase of $6,728, or approximately 58%, from $11,558 for the same period in 2022. The increase in net income was primarily driven by rate increases in California and Maine, and the delay in SJWC's 2022 General Rate Case and a decrease in income taxes due to the partial release of uncertain tax position reserve, offset by a decrease from lower customer usage driven primarily by weather conditions, higher water production expenses, and higher debt interest expenses. SJW Group’s consolidated net income for the six months ended June 30, 2023 was $29,816, an increase of $14,521, or approximately 95%, from $15,295 for the same period in 2022. The increase in net income was primarily driven by rate increases in California and Maine, and the delay in SJWC's 2022 General Rate Case, a decrease in income taxes due to the partial release of uncertain tax position reserve, and a decrease in depreciation and amortization primarily due to a one-time impact related to amortization on certain Cupertino concession assets in 2022 net of increases in depreciation related to new utility plant additions, offset by a decrease from lower customer usage, a one-time gain on sale of nonutility properties of $5,450 in 2022, and higher water production expenses.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Operating Revenue by Segment</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17"/>
        </w:trPr>
        <w:tc>
          <w:tcPr>
            <w:tcW w:w="4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3"/>
          </w:tcPr>
          <w:p>
            <w:pPr>
              <w:jc w:val="right"/>
              <w:ind w:right="730"/>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70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70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2022</w:t>
            </w:r>
          </w:p>
        </w:tc>
      </w:tr>
      <w:tr>
        <w:trPr>
          <w:trHeight w:val="23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155,470</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291,319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270,621</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50"/>
        </w:trPr>
        <w:tc>
          <w:tcPr>
            <w:tcW w:w="45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149,041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273,343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831"/>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1"/>
              </w:rPr>
              <w:t>Three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89"/>
              </w:rPr>
              <w:t>Six months ended</w:t>
            </w:r>
          </w:p>
        </w:tc>
        <w:tc>
          <w:tcPr>
            <w:tcW w:w="600" w:type="dxa"/>
            <w:vAlign w:val="bottom"/>
          </w:tcPr>
          <w:p>
            <w:pPr>
              <w:spacing w:after="0"/>
              <w:rPr>
                <w:sz w:val="14"/>
                <w:szCs w:val="14"/>
                <w:color w:val="auto"/>
              </w:rPr>
            </w:pPr>
          </w:p>
        </w:tc>
      </w:tr>
      <w:tr>
        <w:trPr>
          <w:trHeight w:val="139"/>
        </w:trPr>
        <w:tc>
          <w:tcPr>
            <w:tcW w:w="5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gridSpan w:val="3"/>
          </w:tcPr>
          <w:p>
            <w:pPr>
              <w:jc w:val="center"/>
              <w:ind w:left="95"/>
              <w:spacing w:after="0" w:line="139" w:lineRule="exact"/>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center"/>
              <w:ind w:left="175"/>
              <w:spacing w:after="0" w:line="139" w:lineRule="exact"/>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2"/>
                <w:szCs w:val="12"/>
                <w:color w:val="auto"/>
              </w:rPr>
            </w:pPr>
          </w:p>
        </w:tc>
      </w:tr>
      <w:tr>
        <w:trPr>
          <w:trHeight w:val="186"/>
        </w:trPr>
        <w:tc>
          <w:tcPr>
            <w:tcW w:w="5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1"/>
              </w:rPr>
              <w:t>2023 vs. 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1"/>
              </w:rPr>
              <w:t>2023 vs. 2022</w:t>
            </w:r>
          </w:p>
        </w:tc>
        <w:tc>
          <w:tcPr>
            <w:tcW w:w="600" w:type="dxa"/>
            <w:vAlign w:val="bottom"/>
          </w:tcPr>
          <w:p>
            <w:pPr>
              <w:spacing w:after="0"/>
              <w:rPr>
                <w:sz w:val="16"/>
                <w:szCs w:val="16"/>
                <w:color w:val="auto"/>
              </w:rPr>
            </w:pPr>
          </w:p>
        </w:tc>
      </w:tr>
      <w:tr>
        <w:trPr>
          <w:trHeight w:val="26"/>
        </w:trPr>
        <w:tc>
          <w:tcPr>
            <w:tcW w:w="55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8"/>
        </w:trPr>
        <w:tc>
          <w:tcPr>
            <w:tcW w:w="5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16"/>
                <w:szCs w:val="16"/>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7"/>
        </w:trPr>
        <w:tc>
          <w:tcPr>
            <w:tcW w:w="5500" w:type="dxa"/>
            <w:vAlign w:val="bottom"/>
          </w:tcPr>
          <w:p>
            <w:pPr>
              <w:ind w:left="360"/>
              <w:spacing w:after="0"/>
              <w:rPr>
                <w:sz w:val="20"/>
                <w:szCs w:val="20"/>
                <w:color w:val="auto"/>
              </w:rPr>
            </w:pPr>
            <w:r>
              <w:rPr>
                <w:rFonts w:ascii="Arial" w:cs="Arial" w:eastAsia="Arial" w:hAnsi="Arial"/>
                <w:sz w:val="18"/>
                <w:szCs w:val="18"/>
                <w:color w:val="auto"/>
              </w:rPr>
              <w:t>Consumption changes (including unbilled utility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(15,643)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customers</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Rate increases</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32,104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w:t>
            </w: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29"/>
        </w:trPr>
        <w:tc>
          <w:tcPr>
            <w:tcW w:w="5500" w:type="dxa"/>
            <w:vAlign w:val="bottom"/>
          </w:tcPr>
          <w:p>
            <w:pPr>
              <w:ind w:left="480"/>
              <w:spacing w:after="0"/>
              <w:rPr>
                <w:sz w:val="20"/>
                <w:szCs w:val="20"/>
                <w:color w:val="auto"/>
              </w:rPr>
            </w:pPr>
            <w:r>
              <w:rPr>
                <w:rFonts w:ascii="Arial" w:cs="Arial" w:eastAsia="Arial" w:hAnsi="Arial"/>
                <w:sz w:val="18"/>
                <w:szCs w:val="18"/>
                <w:color w:val="auto"/>
              </w:rPr>
              <w:t>Monterey Water Revenue Adjustment Mechanism</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Conservation Memorandum Account (“WCMA”)</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500" w:type="dxa"/>
            <w:vAlign w:val="bottom"/>
          </w:tcPr>
          <w:p>
            <w:pPr>
              <w:ind w:left="4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regulatory mechanisms</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Services</w:t>
            </w: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5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1"/>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Operating Expense by Segment</w:t>
            </w: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
        </w:trPr>
        <w:tc>
          <w:tcPr>
            <w:tcW w:w="4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9"/>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70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2022</w:t>
            </w:r>
          </w:p>
        </w:tc>
      </w:tr>
      <w:tr>
        <w:trPr>
          <w:trHeight w:val="23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121,227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234,748</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226,657</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1,824</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23"/>
        </w:trPr>
        <w:tc>
          <w:tcPr>
            <w:tcW w:w="45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125,728</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122,639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237,846</w:t>
            </w: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230,352</w:t>
            </w: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consolidated operating expense was due to the following factors: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1"/>
              </w:rPr>
              <w:t>Three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1"/>
              </w:rPr>
              <w:t>Six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gridSpan w:val="3"/>
          </w:tcPr>
          <w:p>
            <w:pPr>
              <w:jc w:val="center"/>
              <w:ind w:left="75"/>
              <w:spacing w:after="0" w:line="145" w:lineRule="exact"/>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center"/>
              <w:ind w:left="175"/>
              <w:spacing w:after="0" w:line="145" w:lineRule="exact"/>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91"/>
              </w:rPr>
              <w:t>2023 vs. 2022</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4"/>
                <w:szCs w:val="14"/>
                <w:b w:val="1"/>
                <w:bCs w:val="1"/>
                <w:color w:val="auto"/>
                <w:w w:val="91"/>
              </w:rPr>
              <w:t>2023 vs. 2022</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Change in surface water use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(10,044)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usage and new customers</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5480" w:type="dxa"/>
            <w:vAlign w:val="bottom"/>
          </w:tcPr>
          <w:p>
            <w:pPr>
              <w:ind w:left="360"/>
              <w:spacing w:after="0" w:line="176" w:lineRule="exact"/>
              <w:rPr>
                <w:sz w:val="20"/>
                <w:szCs w:val="20"/>
                <w:color w:val="auto"/>
              </w:rPr>
            </w:pPr>
            <w:r>
              <w:rPr>
                <w:rFonts w:ascii="Arial" w:cs="Arial" w:eastAsia="Arial" w:hAnsi="Arial"/>
                <w:sz w:val="18"/>
                <w:szCs w:val="18"/>
                <w:color w:val="auto"/>
                <w:w w:val="96"/>
              </w:rPr>
              <w:t>Purchased water and groundwater extraction charge, energy price</w:t>
            </w: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12,822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change and other production expenses, net</w:t>
            </w: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 cost recovery</w:t>
            </w: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2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water production expenses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Balance and memorandum account cost recovery</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Gain on sale of nonutility properties</w:t>
            </w:r>
          </w:p>
        </w:tc>
        <w:tc>
          <w:tcPr>
            <w:tcW w:w="440" w:type="dxa"/>
            <w:vAlign w:val="bottom"/>
          </w:tcPr>
          <w:p>
            <w:pPr>
              <w:spacing w:after="0"/>
              <w:rPr>
                <w:sz w:val="19"/>
                <w:szCs w:val="19"/>
                <w:color w:val="auto"/>
              </w:rPr>
            </w:pPr>
          </w:p>
        </w:tc>
        <w:tc>
          <w:tcPr>
            <w:tcW w:w="180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9" w:name="page20"/>
    <w:bookmarkEnd w:id="19"/>
    <w:p>
      <w:pPr>
        <w:ind w:right="80"/>
        <w:spacing w:after="0" w:line="296" w:lineRule="auto"/>
        <w:rPr>
          <w:sz w:val="20"/>
          <w:szCs w:val="20"/>
          <w:color w:val="auto"/>
        </w:rPr>
      </w:pPr>
      <w:r>
        <w:rPr>
          <w:rFonts w:ascii="Arial" w:cs="Arial" w:eastAsia="Arial" w:hAnsi="Arial"/>
          <w:sz w:val="16"/>
          <w:szCs w:val="16"/>
          <w:color w:val="auto"/>
        </w:rPr>
        <w:t>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now tracked in SJWC’s Full Cost Balancing Account authorized in the 2022 GRC Decision.</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Throughout the three months ended June 30, 2023, Santa Clara County’s drought classification remained at “None.” As a result, Valley Water received 100% allocations of water from the State Water Project (“SWP”) and the U.S Bureau of Reclamation’s Central Valley Project (“CVP”). In prior year period, SWP allocation was 5% of contracted amounts and the CVP allocation was reduced to the Public Health and Safety limit due to an exceptionally dry period beginning in 2022. On July 1, 2023, Valley Water’s 10 reservoirs were 35% of capacity with 19.2 billion gallons of water in storage. Valley Water’s largest reservoir, Anderson, remained drained for a dam seismic retrofit project. Valley Water also reported that the managed groundwater recharge from January to June in the Santa Clara Plain was 181% of the five-year average. The groundwater level in the Santa Clara Plain is approximately 31 feet higher than June 2022. According to Valley Water, the projected total groundwater storage at the end of 2023 is expected to be in the Normal Stage of the Water Shortage Contingency Plan.</w:t>
      </w:r>
    </w:p>
    <w:p>
      <w:pPr>
        <w:spacing w:after="0" w:line="84"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As of June 30, 2023, SJWC’s Lake Elsman was 96.7% of capacity with 1.9 billion gallons of water, approximately 189.1% of the five-year seasonal average. In addition, the rainfall at SJWC’s Lake Elsman was measured at 82.52 inches for the period from July 1, 2022 through June 30, 2023, which is 224.2% of the five-year average. SJWC’s Montevina Water Treatment Plant treated 2.9 billion gallons of water through the second quarter, which is</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214.7% of the five-year average. SJWC’s Saratoga Water Treatment Plant treated 0.1 billion gallons of water through the second quarter, which is 84.2% of the five-year average. The Saratoga Water Treatment Plant was taken out of service and will remain offline until the next rain season. SJWC believes that its various sources of water supply will be sufficient to meet customer demand through the remainder of 2023.</w:t>
      </w:r>
    </w:p>
    <w:p>
      <w:pPr>
        <w:spacing w:after="0" w:line="5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April 11, 2023, Valley Water rescinded its water shortage emergency and 15% mandatory conservation target. Valley Water also established a 15% voluntary call for conservation and retained certain watering and water waste rules. On the same day, SJWC ended its Mandatory Conservation Plan, which included drought allocations and surcharges, and lowered its drought response from Stage 3 to Stage 1. SJWC’s request to continue its WCMA and Water Conservation Expense Memorandum Account (“WCEMA”) under the voluntary call for conservation is pending before the CPUC. SJWC continues to work with Valley Water to promote conservation, educate customers on responsible water use practices, and collaborate on long-range water supply planning.</w:t>
      </w:r>
    </w:p>
    <w:p>
      <w:pPr>
        <w:spacing w:after="0" w:line="95"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Connecticut Water’s water sources vary among the individual systems, but overall approximately 80% of the total dependable yield comes from surface water supplies and 20% from wells. In addition, Connecticut Water has water supply agreements to supplement its water supply with the South Central Connecticut Regional Water Authority and The Metropolitan District that expire 2058 and 2053, respectively.</w:t>
      </w:r>
    </w:p>
    <w:p>
      <w:pPr>
        <w:spacing w:after="0" w:line="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Texas Water’s water supply consists of groundwater from wells and purchased treated and untreated raw water from local water agencies. Texas Water has long-term agreements with the Guadalupe-Blanco River Authority (“GBRA”), which expire in 2037, 2040, 2044 and 2050. The agreements, which are take-or-pay contracts, provide Texas Water with an aggregate of 7,650 acre-feet of water per year from Canyon Lake at prices that may be adjusted periodically by GBRA. Texas Water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In July 2023, Texas Water implemented its Drought Management Plan as approved the PUCT as a result of persistent drought conditions, decreasing water levels in Canyon Lake and groundwater wells, and water production levels operating at near-capacity level.</w:t>
      </w:r>
    </w:p>
    <w:p>
      <w:pPr>
        <w:spacing w:after="0" w:line="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Water sources at Maine Water vary among the individual systems, but overall approximately 90% of the total dependable yield comes from surface water supplies and 10% from wells. Maine Water has a water supply agreement with the Kennebec Water District expiring in 2040.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presents the change in sources of water supply, in billion gallons, for Water Utility Services: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 June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w w:val="81"/>
              </w:rPr>
              <w:t>30,</w:t>
            </w:r>
          </w:p>
        </w:tc>
        <w:tc>
          <w:tcPr>
            <w:tcW w:w="10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176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w:t>
            </w:r>
          </w:p>
        </w:tc>
        <w:tc>
          <w:tcPr>
            <w:tcW w:w="12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2023</w:t>
            </w:r>
          </w:p>
        </w:tc>
        <w:tc>
          <w:tcPr>
            <w:tcW w:w="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2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97"/>
              </w:rPr>
              <w:t>(0.3)</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97"/>
              </w:rPr>
              <w:t>(3.7)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87"/>
              </w:rPr>
              <w:t>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Reclaimed water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ind w:left="419"/>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7"/>
              </w:rPr>
              <w:t>(2.6)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SJWC’s unaccounted-for water on a 12-month-to-date basis for June 30, 2023 and 2022 approximated 10.1% and 7.5%,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CTWS’s unaccounted-for water on a 12-month-to-date basis for June 30, 2023 and 2022 approximated 13.8% and 13.5% for each of the respective periods,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change in water production expenses of $2,184 for the three months ended June 30, 2023, compared to the same period in 2022, was primarily attributable to increases in average per unit costs for purchased water, groundwater extraction, and other production expenses and increases in SJWC’s regulatory Full Cost Balancing Account, offset by a decrease in customer usage and an increase in available surface water for SJWC. Effective July 1, 2022, Valley Water increased the unit price of purchased water by approximately 14% and the groundwater extraction charge by approximately 15%.</w:t>
      </w:r>
    </w:p>
    <w:p>
      <w:pPr>
        <w:spacing w:after="0" w:line="49"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change in water production expenses of $2,855 for the six months ended June 30, 2023, compared to the same period in 2022, was primarily attributable to increases in average per unit costs for purchased water, groundwater extraction, and other production expenses and increases in SJWC’s regulatory Full Cost Balancing Account, offset by a decrease in customer usage and an increase in available surface water for SJWC. Effective July 1, 2022, Valley Water increased the unit price of purchased water by approximately 14% and the groundwater extraction charge by approximately 15%.</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Operating expenses, excluding water production expenses, increased $905 for the three months ended June 30, 2023, compared to the same period in 2022. The increase was primarily attributable to increases in depreciation related to new utility plant additions and an increase in taxes other than income taxes, offset by a decrease in maintenance expenses due to the timing of contract work and materials expenses.</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expenses, excluding water production expenses, increased $4,639 for the six months ended June 30, 2023, compared to the same period in 2022. The increase was primarily attributable to the $5,450 gain on sale of nonutility properties recorded in the prior year, partially offset by decreases in depreciation and amortization due to a $2,400 one-time impact related to amortization on certain Cupertino concession assets net of increases in depreciation related to new utility plant additions. In addition, there were decreases in maintenance expenses due to the timing of contract work and materials expenses.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three months ended June 30, 2023, compared to the same period in 2022, the change in other (expense) income was primarily due to an increase in interest expense due to an increase in long-term debt balances, higher interest rates on lines of credit borrowings and an increase in pension non-service cost, offset by the changes in the Rabbi Trust and life insurance policy values.</w:t>
      </w:r>
    </w:p>
    <w:p>
      <w:pPr>
        <w:spacing w:after="0" w:line="76"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For the six months ended June 30, 2023, compared to the same period in 2022, the change in other (expense) income was primarily due to a true-up on prior real estate sale transactions, an increase in interest expense due to an increase in long-term debt balances, higher interest rates on lines of credit borrowings and an increase in pension non-service cost, offset by the changes in the Rabbi Trust and life insurance policy values.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the three and six months ended June 30, 2023, compared to the same period in 2022, income tax expense decreased $3,880 and $3,869, respectively. The decrease in income tax expense for the three and six months ended June 30, 2023 was primarily due to the partial release of an uncertain tax position reserve of $3,087.</w:t>
      </w:r>
    </w:p>
    <w:p>
      <w:pPr>
        <w:spacing w:after="0" w:line="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effective consolidated income tax rates were (9)% and 17% for the three months ended June 30, 2023 and 2022, respectively, and (1)% and 18% for the six months ended June 30, 2023 and 2022, respectively. The lower effective tax rate for the three and six months ended June 30, 2023, was primarily due to the partial release of an uncertain tax position reserve of $3,087.</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also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“Notes to Condensed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California Regulatory Affairs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an increase from the current rate of 7.64%, a decrease in the average cost of debt rate from 6.20% to 5.48%, and a return of equity of 10.30% which is an increase from the current rate of 8.90%. In addition, the request seeks to adjust SJWC’s currently authorized capital structure of approximately 47% debt and 53% equity to approximately 45% debt and 55% equity. Intervenors in this proceeding, namely the Public Advocates Office and Water Rate Advocates for Transparency, Equity, and Sustainability, have suggested a lower return on equity while the latter has also suggested a higher cost of debt and different capital structure as part of their testimonies. On June 29, 2023, the CPUC approved Decision No. 23-06-025 in this proceeding. The decision authorizes a rate of return of 7.28% based on a return on equity of 8.80%, a cost of debt of 5.46%, and a capital structure of approximately 45% debt and 55% equity. The CPUC also authorized continuation of the Water Cost of Capital Mechanism (“WCCM”) in the same decision. The WCCM provides for an adjustment in SJWC’s return on equity and cost of debt if the average Moody’s Aa utility bond index rate between October 1, 2021 and September 30, 2022 varies by more than 100 basis points when compared to the same period from the prior year. The index rate difference between those periods increased 103 basis points, thereby triggering the WCCM. Accordingly, SJWC filed a Tier 2 Advice Letter to trigger the WCCM on June 30, 2023. This filing is pending before the CPUC. On July 31, 2023, the company expects to file a Tier 1 Advice Letter to implement new rates. The new rates will be prospectively effective on the date of the filing and reflect the WCCM-adjusted return on equity of 9.31%, a cost of debt of 5.26%, and an overall rate of return of 7.47%.</w:t>
      </w:r>
    </w:p>
    <w:p>
      <w:pPr>
        <w:spacing w:after="0" w:line="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SJWC filed Advice Letter No. 585 on November 10, 2022, to recover $20,554 in the Interim Rates Memorandum Account in accordance with the 2022 GRC Decision. Advice Letter No. 585 was approved with an effective date of January 1, 2023.</w:t>
      </w:r>
    </w:p>
    <w:p>
      <w:pPr>
        <w:spacing w:after="0" w:line="6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SJWC filed Advice Letter No. 586 on November 18, 2022, to increase the authorized revenue requirement by $18,418 or 4% for the escalation year increase in accordance with the 2022 GRC Decision. Advice Letter No. 586 was approved with an effective date of January 1, 2023.</w:t>
      </w:r>
    </w:p>
    <w:p>
      <w:pPr>
        <w:spacing w:after="0" w:line="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SJWC filed Advice Letter No. 590 on April 6, 2023, to recover a $14,196 under-collection in its Monterey Water Revenue Adjustment Mechanism Balancing Account as of March 31, 2023. SJWC proposed that this amount be recovered via a 12-month volume surcharge. This filing is pending before the CPUC.</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SJWC filed Advice Letter No. 591 on April 11, 2023, to discontinue its drought allocation surcharges and move from Stage 3 to Stage 1 of its Schedule 14.1 Advice Letter No. 591 was approved with an effective date of April 11, 2023.</w:t>
      </w:r>
    </w:p>
    <w:p>
      <w:pPr>
        <w:spacing w:after="0" w:line="4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SJWC filed Advice Letter No. 592 on April 20, 2023, to continue its WCMA and WCEMA under Valley Water’s voluntary call for 15% conservation. This filing is pending before the CPUC.</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SJWC filed Advice Letter No. 596 on May 31, 2023, to increase the authorized revenue requirement by $27,607 to offset the increases to purchased potable water charges, the groundwater extraction fee, and purchased recycled water charges from its water wholesalers effective July 1, 2023. Advice Letter No. 596 was approved with an effective date of July 1, 2023.</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Connecticut Regulatory Affairs</w:t>
      </w:r>
    </w:p>
    <w:p>
      <w:pPr>
        <w:spacing w:after="0" w:line="10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On January 26, 2023, Connecticut Water filed for a Water Infrastructure Conservation Adjustment (“WICA”) increase of $3,253 in annualized revenues for $27,775 in completed projects. PURA approved the Connecticut Water’s application on March 22, 2023. On January 25, 2023, Connecticut Water filed its 2022 WICA reconciliation with PURA. The reconciliation,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2" w:name="page23"/>
    <w:bookmarkEnd w:id="22"/>
    <w:p>
      <w:pPr>
        <w:ind w:right="40"/>
        <w:spacing w:after="0" w:line="261" w:lineRule="auto"/>
        <w:rPr>
          <w:sz w:val="20"/>
          <w:szCs w:val="20"/>
          <w:color w:val="auto"/>
        </w:rPr>
      </w:pPr>
      <w:r>
        <w:rPr>
          <w:rFonts w:ascii="Arial" w:cs="Arial" w:eastAsia="Arial" w:hAnsi="Arial"/>
          <w:sz w:val="18"/>
          <w:szCs w:val="18"/>
          <w:color w:val="auto"/>
        </w:rPr>
        <w:t>approved by PURA on March 29, 2023 and effective for 12 months beginning April 1, 2023, replaced the expiring 2021 reconciliation credit of 0.02% with a credit of 0.16%. The cumulative WICA surcharge as of April 1, 2023 is 6.19%, collecting $6,544 on an annual basis.</w:t>
      </w:r>
    </w:p>
    <w:p>
      <w:pPr>
        <w:spacing w:after="0" w:line="6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On February 27, 2023, Connecticut Water filed its 2022 Water Revenue Adjustment mechanism (“WRA”). The mechanism reconciles 2022 revenues as authorized in the Connecticut Water’s most recent rate case. The 2022 WRA, as approved by PURA on March 24, 2023 and effective for 12 months beginning on April 1, 2023, imposes a 4.97% surcredit on customer bills to refund the 2022 revenue over-collection.</w:t>
      </w:r>
    </w:p>
    <w:p>
      <w:pPr>
        <w:spacing w:after="0" w:line="56"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On July 27, 2023, Connecticut Water filed for a WICA increase of $1,259 in annualized revenues for $11,464 in completed projects. If approved, the increase is expected to become effective in the fourth quarter of 2023 and the cumulative WICA surcharge would be 7.38%.</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Texas Regulatory Affairs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Texas Water has no current general rate case pending. However, it filed its application to establish a System Improvement Charge (“SIC”) with the PUCT under Docket No. 54430 on December 30, 2022. This filing will allow Texas Water to add certain utility plant additions made since 2020 to its rate base, thereby increasing revenue and avoiding the immediate need for a general rate case. The SIC is projected to increase Texas Water’s water revenue by $1,596 and sewer revenue by $29 within one year of the approval from the PUCT. The PUCT will determine the completeness of the application and sufficiency of the notices on July 31, 2023. Once the PUCT files the final order approving the SIC, Texas Water will be required to file a general rate case within four years. Texas Water will incrementally increase its SIC annually until that rate case. Texas Water expects to receive the final order during the fourth quarter of 2023 or first quarter of 2024. Notwithstanding the SIC filing, Texas Water will continue to file its annual adjustments for the Water Pass-through Charges (“WPC”) for Canyon Lake, Deer Creek and Kendall West customers. All water supply cost increases are recoverable when the next annual WPC adjustment for each system is filed.</w:t>
      </w:r>
    </w:p>
    <w:p>
      <w:pPr>
        <w:spacing w:after="0" w:line="7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 April 10, 2023, Texas Water filed an application with the PUCT to acquire the Elm Ridge water system that serves 21 residential customers. Texas Water has asked for filed rate doctrine treatment, which allows the acquiring utility’s current rates to be applied at the time of acquisition.</w:t>
      </w:r>
    </w:p>
    <w:p>
      <w:pPr>
        <w:spacing w:after="0" w:line="3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June 15, 2023, the PUCT approved the application for the transfer of 520 acres of water Certificate of Convenience and Necessity (“CCN”) and 314 acres of sewer CCN from the San Antonio Water System's to Texas Water's CCN. No customers were transferred as part of the transaction.</w:t>
      </w:r>
    </w:p>
    <w:p>
      <w:pPr>
        <w:spacing w:after="0" w:line="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24, 2023, the PUCT approved Texas Water's application to acquire KT Water Development Ltd. KT Water Development Ltd. provides service to approximately 570 residential water connections. We expect to close on the acquisition during the third quarter of 2023. The PUCT's final decision that transfers the CCN to Texas Water is expected in the fourth quarter of 2023, which is when we anticipate approval of our request for fair market value and filed rate doctrine treatment.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Maine Regulatory Affairs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 As part of the stipulated agreement, Maine Water agreed to file a final phase of the rate case by April 1, 2023. The third filing was submitted on March 31, 2023. Step 3 of the planned multi-year rate filings for the Saco River Drinking Water Resource Center was filed in accordance with the Commission order on March 31, 2023. The filing requested an increase in revenue requirement of $2,949, or 19.9% and requested that the increase be implemented over two years with a 12% increase effective July 1, 2023 followed by a 9% increase effective July 1, 2024 with a slight decrease in year three to reach the overall 19.9% requested. Through a scheduling order, an Examiner’s report is expected to be issued in July regarding temporary rates effective July 1, 2023 while the areas of dispute in the case are more fully litigated into the fall. A final decision is expected in the fourth quarter of 2023.</w:t>
      </w:r>
    </w:p>
    <w:p>
      <w:pPr>
        <w:spacing w:after="0" w:line="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2, 2023, Maine Water received final decisions from the MPUC on four general rate cases filed in 2022. The rate increases are retroactively effective for January 1, 2023 and authorize a $692 increase in annual revenues. On February 28, 2022, Maine Water filed requests for general rate increases in the Camden-Rockland, Freeport, Millinocket and Oakland Divisions.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June 30, 2023, Maine Water filed a Water Infrastructure Surcharge for the Camden-Rockland division. The requested surcharge is 2.34% or $158 with a rate effective date of August 1, 2023. A decision is expected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SJW Group generated cash flows from operations of approximately $97,400, compared to approximately</w:t>
      </w:r>
    </w:p>
    <w:p>
      <w:pPr>
        <w:spacing w:after="0" w:line="4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$83,600 for the same period in 2022.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$13,800. This increase was the result of a combination of the following factors: (1) general working capital and net income, adjusted for non-cash items, increased by $25,800, and (2) an increase in collections from accounts receivable and accrued unbilled utility revenue of $4,800, offset by (3) a decrease of $5,200 in regulatory assets primarily due to lower surcharge collections on balancing and memorandum accounts, (4) a decrease of $5,100 in other changes primarily due to prior funds received from the State of California Water and Wastewater Arrearages Payment Program, (5) a decrease in tax accruals of more than $3,300 than the prior period, and (6) a decrease in payments of amounts previously invoiced and accrued including accrued production costs of $3,200.</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June 30, 2023, Water Utility Services’ write-offs for uncollectible accounts represented 1% of its total revenue, increased from less than 1% as of June 30, 2022. The increase in write-offs from the prior year is due to the end of state moratoriums to halt collection efforts related to the COVID pandemic. Management believes that the collection rate for its accounts receivables will gradually return to pre-pandemic levels now that service disconnections are once again allowable in order to mitigate payment delinquencies.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six months ended June 30, 2023, SJW Group used cash flows from investing activities of approximately $125,400, compared to approximately $117,100 for the same period in 2022. SJW Group used approximately: (1) $115,700 of cash for company-funded capital expenditures, (2) $9,300 for developer-funded capital expenditures, and (3) $500 for utility plant retirements.</w:t>
      </w:r>
    </w:p>
    <w:p>
      <w:pPr>
        <w:spacing w:after="0" w:line="7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Water Utility Services’ estimated capital expenditures for 2023, exclusive of capital expenditures financed by customer contributions and advances, are anticipated to be approximately $255,000. As of June 30, 2023, approximately $115,700 or 45% of the $255,000 has been invested.</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Water Utility Services’ capital expenditures are incurred in connection with normal upgrading and expansion of existing facilities and to comply with environmental regulations. Over the next five years, Water Utility Services expects to incur approximately $1,630,000 in capital expenditures, which includes replacement of pipes and mains, maintaining water systems, and installing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5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2023 increased by approximately $7,100 from the same period in the prior year, primarily as a result of (1) an increase in net borrowings and repayments on long-term debt of $105,100, and (2) an increase in net proceeds from our common stock equity offerings of $63,800, offset by (3) a decrease in net borrowings and repayments on our lines of credit of $154,600, and (4) $4,700 decrease in net cash receipts from advances and contributions in aid of construction.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i w:val="1"/>
          <w:iCs w:val="1"/>
          <w:u w:val="single" w:color="auto"/>
          <w:color w:val="auto"/>
        </w:rPr>
        <w:t>Short-term Financing Agreements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SJW Group and its subsidiaries have unsecured line of credit agreements where borrowings are used for long-term capital expenditure financing, working capital, and general corporate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line of credit agreements as of June 30, 2023,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54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9"/>
              </w:rPr>
              <w:t>Maturity Date</w:t>
            </w: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Line Limit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Amounts Outstanding</w:t>
            </w:r>
          </w:p>
        </w:tc>
        <w:tc>
          <w:tcPr>
            <w:tcW w:w="120" w:type="dxa"/>
            <w:vAlign w:val="bottom"/>
          </w:tcPr>
          <w:p>
            <w:pPr>
              <w:spacing w:after="0"/>
              <w:rPr>
                <w:sz w:val="16"/>
                <w:szCs w:val="16"/>
                <w:color w:val="auto"/>
              </w:rPr>
            </w:pPr>
          </w:p>
        </w:tc>
        <w:tc>
          <w:tcPr>
            <w:tcW w:w="1440" w:type="dxa"/>
            <w:vAlign w:val="bottom"/>
          </w:tcPr>
          <w:p>
            <w:pPr>
              <w:jc w:val="right"/>
              <w:ind w:right="155"/>
              <w:spacing w:after="0"/>
              <w:rPr>
                <w:sz w:val="20"/>
                <w:szCs w:val="20"/>
                <w:color w:val="auto"/>
              </w:rPr>
            </w:pPr>
            <w:r>
              <w:rPr>
                <w:rFonts w:ascii="Arial" w:cs="Arial" w:eastAsia="Arial" w:hAnsi="Arial"/>
                <w:sz w:val="14"/>
                <w:szCs w:val="14"/>
                <w:b w:val="1"/>
                <w:bCs w:val="1"/>
                <w:color w:val="auto"/>
              </w:rPr>
              <w:t>Unused Portion</w:t>
            </w:r>
          </w:p>
        </w:tc>
      </w:tr>
      <w:tr>
        <w:trPr>
          <w:trHeight w:val="26"/>
        </w:trPr>
        <w:tc>
          <w:tcPr>
            <w:tcW w:w="44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Syndicated credit agreement:</w:t>
            </w:r>
          </w:p>
        </w:tc>
        <w:tc>
          <w:tcPr>
            <w:tcW w:w="2540" w:type="dxa"/>
            <w:vAlign w:val="bottom"/>
            <w:gridSpan w:val="3"/>
          </w:tcPr>
          <w:p>
            <w:pPr>
              <w:jc w:val="center"/>
              <w:ind w:right="310"/>
              <w:spacing w:after="0"/>
              <w:rPr>
                <w:sz w:val="20"/>
                <w:szCs w:val="20"/>
                <w:color w:val="auto"/>
              </w:rPr>
            </w:pPr>
            <w:r>
              <w:rPr>
                <w:rFonts w:ascii="Arial" w:cs="Arial" w:eastAsia="Arial" w:hAnsi="Arial"/>
                <w:sz w:val="18"/>
                <w:szCs w:val="18"/>
                <w:color w:val="auto"/>
                <w:w w:val="90"/>
              </w:rPr>
              <w:t>August 2, 2027</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SJW Group</w:t>
            </w:r>
          </w:p>
        </w:tc>
        <w:tc>
          <w:tcPr>
            <w:tcW w:w="2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SJWC</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118,000</w:t>
            </w: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CTWS</w:t>
            </w:r>
          </w:p>
        </w:tc>
        <w:tc>
          <w:tcPr>
            <w:tcW w:w="2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37"/>
        </w:trPr>
        <w:tc>
          <w:tcPr>
            <w:tcW w:w="4400" w:type="dxa"/>
            <w:vAlign w:val="bottom"/>
          </w:tcPr>
          <w:p>
            <w:pPr>
              <w:ind w:left="240"/>
              <w:spacing w:after="0"/>
              <w:rPr>
                <w:sz w:val="20"/>
                <w:szCs w:val="20"/>
                <w:color w:val="auto"/>
              </w:rPr>
            </w:pPr>
            <w:r>
              <w:rPr>
                <w:rFonts w:ascii="Arial" w:cs="Arial" w:eastAsia="Arial" w:hAnsi="Arial"/>
                <w:sz w:val="18"/>
                <w:szCs w:val="18"/>
                <w:color w:val="auto"/>
              </w:rPr>
              <w:t>Texas Water</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44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syndicated credit agreement</w:t>
            </w:r>
          </w:p>
        </w:tc>
        <w:tc>
          <w:tcPr>
            <w:tcW w:w="2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CTWS credit agreement</w:t>
            </w:r>
          </w:p>
        </w:tc>
        <w:tc>
          <w:tcPr>
            <w:tcW w:w="2540" w:type="dxa"/>
            <w:vAlign w:val="bottom"/>
            <w:gridSpan w:val="3"/>
          </w:tcPr>
          <w:p>
            <w:pPr>
              <w:jc w:val="center"/>
              <w:ind w:right="310"/>
              <w:spacing w:after="0"/>
              <w:rPr>
                <w:sz w:val="20"/>
                <w:szCs w:val="20"/>
                <w:color w:val="auto"/>
              </w:rPr>
            </w:pPr>
            <w:r>
              <w:rPr>
                <w:rFonts w:ascii="Arial" w:cs="Arial" w:eastAsia="Arial" w:hAnsi="Arial"/>
                <w:sz w:val="18"/>
                <w:szCs w:val="18"/>
                <w:color w:val="auto"/>
                <w:w w:val="90"/>
              </w:rPr>
              <w:t>August 2, 2027</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6,310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3,690</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 credit agreement</w:t>
            </w:r>
          </w:p>
        </w:tc>
        <w:tc>
          <w:tcPr>
            <w:tcW w:w="2540" w:type="dxa"/>
            <w:vAlign w:val="bottom"/>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91"/>
              </w:rPr>
              <w:t>May 15, 2025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spacing w:after="0"/>
              <w:rPr>
                <w:sz w:val="19"/>
                <w:szCs w:val="19"/>
                <w:color w:val="auto"/>
              </w:rPr>
            </w:pPr>
          </w:p>
        </w:tc>
        <w:tc>
          <w:tcPr>
            <w:tcW w:w="230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83,310</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266,690</w:t>
            </w:r>
          </w:p>
        </w:tc>
      </w:tr>
      <w:tr>
        <w:trPr>
          <w:trHeight w:val="20"/>
        </w:trPr>
        <w:tc>
          <w:tcPr>
            <w:tcW w:w="4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2023, cost of borrowing on the lines of credit averaged 5.96% compared to 1.44% in the same period in 2022.</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June 30, 2023, SJW Group and its subsidiaries were in compliance with all covenants on their lines of credit.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Financing Agreements</w:t>
      </w:r>
    </w:p>
    <w:p>
      <w:pPr>
        <w:spacing w:after="0" w:line="104"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Equity Financing Arrangements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1, 2023, SJW Group entered into Amendment No. 1 to the equity distribution agreement (the “Equity Distribution Agreement”), dated November 17, 2021, between SJW Group and J.P. Morgan Securities LLC, Janney Montgomery Scott LLC, RBC Capital Markets, LLC and Wells Fargo Securities, LLC (each a “Sales Agent” and, collectively, the “Sales Agents”), pursuant to which SJW Group increased the aggregate gross sales price of shares of SJW Group’s common stock, $0.001 par value per share, that may be sold under the Equity Distribution Agreement from $100,000 to $240,000. For the three and six months ended June 30, 2023, SJW Group issued and sold a total of 312,683 and 860,503 shares of common stock, respectively, with a weighted average price of $74.60 and $75.56 per share, respectively, and received $22,782 and $63,779 in net proceeds, respectively, under the Equity Distribution Agreement. Since the inception of the Equity Distribution Agreement, SJW Group has issued and sold 1,745,354 shares of common stock with a weighted average price of $74.49 for a total net proceeds of $127,210 and has $109,995 remaining to issue from the sale of shares as of June 30, 2023 under the Equity Distribution Agreement.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Credit Rating</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2023 and 2022 activities, we will have access to the external funding sources necessary to implement our on-going capital investment programs in the future.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are the current Standard &amp; Poor’s Rating Service assigned company ratings: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ind w:left="3860"/>
              <w:spacing w:after="0"/>
              <w:rPr>
                <w:sz w:val="20"/>
                <w:szCs w:val="20"/>
                <w:color w:val="auto"/>
              </w:rPr>
            </w:pPr>
            <w:r>
              <w:rPr>
                <w:rFonts w:ascii="Arial" w:cs="Arial" w:eastAsia="Arial" w:hAnsi="Arial"/>
                <w:sz w:val="14"/>
                <w:szCs w:val="14"/>
                <w:b w:val="1"/>
                <w:bCs w:val="1"/>
                <w:color w:val="auto"/>
              </w:rPr>
              <w:t>Entity</w:t>
            </w: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00" w:type="dxa"/>
            <w:vAlign w:val="bottom"/>
          </w:tcPr>
          <w:p>
            <w:pPr>
              <w:spacing w:after="0"/>
              <w:rPr>
                <w:sz w:val="16"/>
                <w:szCs w:val="16"/>
                <w:color w:val="auto"/>
              </w:rPr>
            </w:pPr>
          </w:p>
        </w:tc>
        <w:tc>
          <w:tcPr>
            <w:tcW w:w="1460" w:type="dxa"/>
            <w:vAlign w:val="bottom"/>
          </w:tcPr>
          <w:p>
            <w:pPr>
              <w:ind w:left="480"/>
              <w:spacing w:after="0"/>
              <w:rPr>
                <w:sz w:val="20"/>
                <w:szCs w:val="20"/>
                <w:color w:val="auto"/>
              </w:rPr>
            </w:pPr>
            <w:r>
              <w:rPr>
                <w:rFonts w:ascii="Arial" w:cs="Arial" w:eastAsia="Arial" w:hAnsi="Arial"/>
                <w:sz w:val="14"/>
                <w:szCs w:val="14"/>
                <w:b w:val="1"/>
                <w:bCs w:val="1"/>
                <w:color w:val="auto"/>
              </w:rPr>
              <w:t>Outlook</w:t>
            </w:r>
          </w:p>
        </w:tc>
      </w:tr>
      <w:tr>
        <w:trPr>
          <w:trHeight w:val="26"/>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SJW Group</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Stable</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SJWC</w:t>
            </w:r>
          </w:p>
        </w:tc>
        <w:tc>
          <w:tcPr>
            <w:tcW w:w="1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rPr>
              <w:t>Stable</w:t>
            </w: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Stable</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Connecticut Water</w:t>
            </w: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20"/>
                <w:szCs w:val="20"/>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rPr>
              <w:t>Stable</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3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second fiscal quarter of 2023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annual report on Form 10-K for the year ended December 31, 2022 and our other public filings, which could materially affect our business, financial condition or future results. There has been no material changes from risk factors previously disclosed in “Risk Factors” in SJW Group’s annual report on Form 10-K for the year ended December 31, 2022.</w:t>
      </w: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26, 2023, the Board of Directors of SJW Group declared the regular quarterly dividend of $0.38 per share of common stock. The dividend will be paid on September 1, 2023, to stockholders of record as of the close of business on August 7, 2023.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12"/>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11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60" w:type="dxa"/>
            <w:vAlign w:val="bottom"/>
            <w:gridSpan w:val="7"/>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860" w:type="dxa"/>
            <w:vAlign w:val="bottom"/>
            <w:tcBorders>
              <w:bottom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00" w:type="dxa"/>
            <w:vAlign w:val="bottom"/>
            <w:gridSpan w:val="10"/>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SJW Group 2023 Long-Term Incentive Plan, Incorporated by reference to Appendix I to the Proxy Statement filed on March 9, 2023.</w:t>
              </w:r>
            </w:hyperlink>
          </w:p>
        </w:tc>
        <w:tc>
          <w:tcPr>
            <w:tcW w:w="0" w:type="dxa"/>
            <w:vAlign w:val="bottom"/>
          </w:tcPr>
          <w:p>
            <w:pPr>
              <w:spacing w:after="0"/>
              <w:rPr>
                <w:sz w:val="1"/>
                <w:szCs w:val="1"/>
                <w:color w:val="auto"/>
              </w:rPr>
            </w:pPr>
          </w:p>
        </w:tc>
      </w:tr>
      <w:tr>
        <w:trPr>
          <w:trHeight w:val="790"/>
        </w:trPr>
        <w:tc>
          <w:tcPr>
            <w:tcW w:w="1120" w:type="dxa"/>
            <w:vAlign w:val="bottom"/>
          </w:tcPr>
          <w:p>
            <w:pPr>
              <w:ind w:left="2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top w:val="single" w:sz="8" w:color="0000FF"/>
            </w:tcBorders>
            <w:gridSpan w:val="8"/>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SJW Group 2023 Employee Stock Purchase Plan, Incorporated by reference to Appendix II to the Proxy Statement filed on March 9,</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41">
              <w:r>
                <w:rPr>
                  <w:rFonts w:ascii="Arial" w:cs="Arial" w:eastAsia="Arial" w:hAnsi="Arial"/>
                  <w:sz w:val="18"/>
                  <w:szCs w:val="18"/>
                  <w:color w:val="0000FF"/>
                  <w:w w:val="84"/>
                </w:rPr>
                <w:t>2023.</w:t>
              </w:r>
            </w:hyperlink>
          </w:p>
        </w:tc>
        <w:tc>
          <w:tcPr>
            <w:tcW w:w="16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8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0"/>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0000FF"/>
              </w:rPr>
              <w:t xml:space="preserve">Certification Pursuant to Rule 13a-14(a)/15d-14(a) by Chairman, President and Chief Executive Officer. </w:t>
            </w:r>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04"/>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98"/>
              </w:rPr>
              <w:t xml:space="preserve">Certification Pursuant to Rule 13a-14(a)/15d-14(a) by Chief Financial Officer and Treasurer. </w:t>
            </w:r>
            <w:r>
              <w:rPr>
                <w:rFonts w:ascii="Arial" w:cs="Arial" w:eastAsia="Arial" w:hAnsi="Arial"/>
                <w:sz w:val="18"/>
                <w:szCs w:val="18"/>
                <w:color w:val="000000"/>
                <w:w w:val="98"/>
              </w:rPr>
              <w:t>(1)</w:t>
            </w:r>
          </w:p>
        </w:tc>
        <w:tc>
          <w:tcPr>
            <w:tcW w:w="2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0000FF"/>
                <w:w w:val="91"/>
              </w:rPr>
              <w:t>Certification Pursuant to 18 U.S.C. Section 1350 by Chairman, President and Chief Executive Officer, as adopted pursuant to Section</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0000FF"/>
                <w:w w:val="91"/>
              </w:rPr>
              <w:t>Certification Pursuant to 18 U.S.C. Section 1350 by Chief Financial Officer and Treasurer, as adopted pursuant to Section 906 of the</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3"/>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00" w:hanging="1474"/>
        <w:spacing w:after="0"/>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SJW GROUP</w:t>
      </w:r>
    </w:p>
    <w:p>
      <w:pPr>
        <w:spacing w:after="0" w:line="293" w:lineRule="exact"/>
        <w:rPr>
          <w:sz w:val="20"/>
          <w:szCs w:val="20"/>
          <w:color w:val="auto"/>
        </w:rPr>
      </w:pPr>
    </w:p>
    <w:p>
      <w:pPr>
        <w:ind w:left="260"/>
        <w:spacing w:after="0"/>
        <w:tabs>
          <w:tab w:leader="none" w:pos="5720" w:val="left"/>
          <w:tab w:leader="none" w:pos="6380" w:val="left"/>
        </w:tabs>
        <w:rPr>
          <w:sz w:val="20"/>
          <w:szCs w:val="20"/>
          <w:color w:val="auto"/>
        </w:rPr>
      </w:pPr>
      <w:r>
        <w:rPr>
          <w:rFonts w:ascii="Arial" w:cs="Arial" w:eastAsia="Arial" w:hAnsi="Arial"/>
          <w:sz w:val="18"/>
          <w:szCs w:val="18"/>
          <w:b w:val="1"/>
          <w:bCs w:val="1"/>
          <w:color w:val="auto"/>
        </w:rPr>
        <w:t>DATE: July 31,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8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Andrew F. Walters</w:t>
      </w:r>
    </w:p>
    <w:p>
      <w:pPr>
        <w:spacing w:after="0" w:line="1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Chief Financial Officer and Treasurer</w:t>
      </w:r>
    </w:p>
    <w:p>
      <w:pPr>
        <w:ind w:left="64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891"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July 31,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7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30"/>
        </w:trPr>
        <w:tc>
          <w:tcPr>
            <w:tcW w:w="57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43"/>
        </w:trPr>
        <w:tc>
          <w:tcPr>
            <w:tcW w:w="570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   July 31,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ANDREWS F. WALTERS</w:t>
            </w:r>
          </w:p>
        </w:tc>
      </w:tr>
      <w:tr>
        <w:trPr>
          <w:trHeight w:val="224"/>
        </w:trPr>
        <w:tc>
          <w:tcPr>
            <w:tcW w:w="59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Andrew F. Walters</w:t>
            </w:r>
          </w:p>
        </w:tc>
      </w:tr>
      <w:tr>
        <w:trPr>
          <w:trHeight w:val="241"/>
        </w:trPr>
        <w:tc>
          <w:tcPr>
            <w:tcW w:w="59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9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June 30, 2023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557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2023</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80" w:firstLine="446"/>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June 30, 2023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F. Walters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2023</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decimal"/>
      <w:start w:val="104"/>
    </w:lvl>
  </w:abstractNum>
  <w:abstractNum w:abstractNumId="6">
    <w:nsid w:val="5BD062C2"/>
    <w:multiLevelType w:val="hybridMultilevel"/>
    <w:lvl w:ilvl="0">
      <w:lvlJc w:val="left"/>
      <w:lvlText w:val="(%1)"/>
      <w:numFmt w:val="decimal"/>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1" Type="http://schemas.openxmlformats.org/officeDocument/2006/relationships/hyperlink" Target="https://www.sec.gov/ix?doc=/Archives/edgar/data/0000766829/000076682923000078/sjw-202303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2023-07-31T15:16:34Z</dcterms:created>
  <dcterms:modified xsi:type="dcterms:W3CDTF">2023-07-31T15:16:34Z</dcterms:modified>
</cp:coreProperties>
</file>