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780" w:right="1680" w:hanging="3772"/>
        <w:spacing w:after="0" w:line="322" w:lineRule="auto"/>
        <w:tabs>
          <w:tab w:leader="none" w:pos="2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2022</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Times New Roman" w:cs="Times New Roman" w:eastAsia="Times New Roman" w:hAnsi="Times New Roman"/>
                <w:sz w:val="18"/>
                <w:szCs w:val="18"/>
                <w:color w:val="auto"/>
                <w:w w:val="99"/>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99"/>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Times New Roman" w:cs="Times New Roman" w:eastAsia="Times New Roman" w:hAnsi="Times New Roman"/>
                <w:sz w:val="43"/>
                <w:szCs w:val="43"/>
                <w:b w:val="1"/>
                <w:bCs w:val="1"/>
                <w:color w:val="auto"/>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8"/>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77-0066628</w:t>
            </w:r>
          </w:p>
        </w:tc>
      </w:tr>
      <w:tr>
        <w:trPr>
          <w:trHeight w:val="257"/>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98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110 West Taylor Street,  San Jose,</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4"/>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(Zip Code)</w:t>
            </w:r>
          </w:p>
        </w:tc>
      </w:tr>
      <w:tr>
        <w:trPr>
          <w:trHeight w:val="394"/>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w w:val="99"/>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0"/>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34"/>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 LLC</w:t>
            </w:r>
          </w:p>
        </w:tc>
      </w:tr>
    </w:tbl>
    <w:p>
      <w:pPr>
        <w:spacing w:after="0" w:line="63" w:lineRule="exact"/>
        <w:rPr>
          <w:sz w:val="24"/>
          <w:szCs w:val="24"/>
          <w:color w:val="auto"/>
        </w:rPr>
      </w:pPr>
    </w:p>
    <w:p>
      <w:pPr>
        <w:ind w:right="1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ind w:right="1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56"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66" w:right="499" w:bottom="1440" w:gutter="0" w:footer="0" w:header="0"/>
        </w:sectPr>
      </w:pPr>
    </w:p>
    <w:p>
      <w:pPr>
        <w:spacing w:after="0" w:line="38" w:lineRule="exact"/>
        <w:rPr>
          <w:sz w:val="24"/>
          <w:szCs w:val="24"/>
          <w:color w:val="auto"/>
        </w:rPr>
      </w:pPr>
    </w:p>
    <w:p>
      <w:pPr>
        <w:ind w:left="36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p>
    <w:p>
      <w:pPr>
        <w:spacing w:after="0" w:line="65" w:lineRule="exact"/>
        <w:rPr>
          <w:sz w:val="24"/>
          <w:szCs w:val="24"/>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both"/>
        <w:ind w:firstLine="448"/>
        <w:spacing w:after="0" w:line="312" w:lineRule="auto"/>
        <w:rPr>
          <w:sz w:val="20"/>
          <w:szCs w:val="20"/>
          <w:color w:val="auto"/>
        </w:rPr>
      </w:pPr>
      <w:r>
        <w:rPr>
          <w:rFonts w:ascii="Times New Roman" w:cs="Times New Roman" w:eastAsia="Times New Roman" w:hAnsi="Times New Roman"/>
          <w:sz w:val="17"/>
          <w:szCs w:val="17"/>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26" w:lineRule="exact"/>
        <w:rPr>
          <w:sz w:val="24"/>
          <w:szCs w:val="24"/>
          <w:color w:val="auto"/>
        </w:rPr>
      </w:pPr>
    </w:p>
    <w:p>
      <w:pPr>
        <w:sectPr>
          <w:pgSz w:w="11900" w:h="16838" w:orient="portrait"/>
          <w:cols w:equalWidth="0" w:num="4">
            <w:col w:w="2340" w:space="80"/>
            <w:col w:w="160" w:space="40"/>
            <w:col w:w="1960" w:space="100"/>
            <w:col w:w="6400"/>
          </w:cols>
          <w:pgMar w:left="320" w:top="1366" w:right="49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2"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5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As of October 24, 2022, there were 30,319,317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66" w:right="49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5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Coronavirus (“COVID-19”) pandemic on our business operation and financial results;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effects thereof;</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other similar occurrences;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433,949</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Production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water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Power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0" w:type="dxa"/>
            <w:vAlign w:val="bottom"/>
          </w:tcPr>
          <w:p>
            <w:pPr>
              <w:spacing w:after="0"/>
              <w:rPr>
                <w:sz w:val="1"/>
                <w:szCs w:val="1"/>
                <w:color w:val="auto"/>
              </w:rPr>
            </w:pPr>
          </w:p>
        </w:tc>
      </w:tr>
      <w:tr>
        <w:trPr>
          <w:trHeight w:val="230"/>
        </w:trPr>
        <w:tc>
          <w:tcPr>
            <w:tcW w:w="5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59,419</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w:t>
            </w:r>
          </w:p>
        </w:tc>
        <w:tc>
          <w:tcPr>
            <w:tcW w:w="0" w:type="dxa"/>
            <w:vAlign w:val="bottom"/>
          </w:tcPr>
          <w:p>
            <w:pPr>
              <w:spacing w:after="0"/>
              <w:rPr>
                <w:sz w:val="1"/>
                <w:szCs w:val="1"/>
                <w:color w:val="auto"/>
              </w:rPr>
            </w:pPr>
          </w:p>
        </w:tc>
      </w:tr>
      <w:tr>
        <w:trPr>
          <w:trHeight w:val="223"/>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138,379</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368,731</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354,457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non-service cost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Texas Water Alliance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30,269,462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30,246,201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29,496,533</w:t>
            </w:r>
          </w:p>
        </w:tc>
        <w:tc>
          <w:tcPr>
            <w:tcW w:w="0" w:type="dxa"/>
            <w:vAlign w:val="bottom"/>
          </w:tcPr>
          <w:p>
            <w:pPr>
              <w:spacing w:after="0"/>
              <w:rPr>
                <w:sz w:val="1"/>
                <w:szCs w:val="1"/>
                <w:color w:val="auto"/>
              </w:rPr>
            </w:pPr>
          </w:p>
        </w:tc>
      </w:tr>
      <w:tr>
        <w:trPr>
          <w:trHeight w:val="234"/>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30,392,295</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29,952,477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30,358,268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29,625,784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plant: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39,004</w:t>
            </w: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3,596,198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3,381,908</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176,427</w:t>
            </w:r>
          </w:p>
        </w:tc>
      </w:tr>
      <w:tr>
        <w:trPr>
          <w:trHeight w:val="229"/>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36,276</w:t>
            </w:r>
          </w:p>
        </w:tc>
      </w:tr>
      <w:tr>
        <w:trPr>
          <w:trHeight w:val="223"/>
        </w:trPr>
        <w:tc>
          <w:tcPr>
            <w:tcW w:w="7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3,799,571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3,633,615</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1,206,690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1,136,116</w:t>
            </w: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2,592,881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2,497,499</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investments and nonutility properties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3"/>
        </w:trPr>
        <w:tc>
          <w:tcPr>
            <w:tcW w:w="7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41,681</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30"/>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6"/>
        </w:trPr>
        <w:tc>
          <w:tcPr>
            <w:tcW w:w="76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$5,665 and $4,600 on September 30,</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53,699</w:t>
            </w:r>
          </w:p>
        </w:tc>
      </w:tr>
      <w:tr>
        <w:trPr>
          <w:trHeight w:val="230"/>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29"/>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unbilled utility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44,026</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w:t>
            </w: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regulatory assets,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9"/>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157,900</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134,085</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regulatory assets, less current portion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151,992</w:t>
            </w: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640,471</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812,766</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819,130</w:t>
            </w:r>
          </w:p>
        </w:tc>
      </w:tr>
      <w:tr>
        <w:trPr>
          <w:trHeight w:val="223"/>
        </w:trPr>
        <w:tc>
          <w:tcPr>
            <w:tcW w:w="76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3,604,704</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3,492,395</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CAPITALIZATION AND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issued and outstanding shares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30,315,265 on September 30, 2022 and 30,181,348 on December 31, 2021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614,226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606,392</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435,856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428,260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1,049,347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1,034,519</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1,453,748</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1,492,935</w:t>
            </w:r>
          </w:p>
        </w:tc>
      </w:tr>
      <w:tr>
        <w:trPr>
          <w:trHeight w:val="223"/>
        </w:trPr>
        <w:tc>
          <w:tcPr>
            <w:tcW w:w="7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2,503,095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2,527,454</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199,170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39,106</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w:t>
            </w:r>
          </w:p>
        </w:tc>
      </w:tr>
      <w:tr>
        <w:trPr>
          <w:trHeight w:val="223"/>
        </w:trPr>
        <w:tc>
          <w:tcPr>
            <w:tcW w:w="7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318,710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208,130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200,451</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FOR CONSTRUCTION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140,842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IN AID OF CONSTRUCTION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319,866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89,998</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3,492,395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CONDENSED CONSOLIDATED STATEMENTS OF CHANGES IN STOCKHOLDERS’ EQUITY</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ectPr>
          <w:pgSz w:w="11900" w:h="16838" w:orient="portrait"/>
          <w:cols w:equalWidth="0" w:num="1">
            <w:col w:w="11220"/>
          </w:cols>
          <w:pgMar w:left="340" w:top="891" w:right="339" w:bottom="1440" w:gutter="0" w:footer="0" w:header="0"/>
        </w:sect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6"/>
                <w:szCs w:val="16"/>
                <w:color w:val="auto"/>
              </w:rPr>
            </w:pP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30,181,348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 tax benefit of</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($0.36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2022</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30,237,145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investment, net of tax of $0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costs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($0.36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30,247,674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 tax benefit of</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($0.36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30,315,265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-3805555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-3505200</wp:posOffset>
            </wp:positionV>
            <wp:extent cx="713232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-3093720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-2802255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-2510790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-2211070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-1919605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-1628140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-1327785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-916305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606,392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1,034,519</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1,028,418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421,741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1,029,845</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1,049,347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80" w:space="120"/>
            <w:col w:w="5020"/>
          </w:cols>
          <w:pgMar w:left="34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40" w:top="891"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60" w:type="dxa"/>
            <w:vAlign w:val="bottom"/>
            <w:gridSpan w:val="3"/>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19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1100" w:type="dxa"/>
            <w:vAlign w:val="bottom"/>
            <w:vMerge w:val="restart"/>
          </w:tcPr>
          <w:p>
            <w:pPr>
              <w:jc w:val="center"/>
              <w:ind w:right="92"/>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0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28,556,605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917,160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income on investment, net of taxes of</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1,184,500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29,789,887</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978,296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 net of tax of $39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($0.34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June 30, 2021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29,804,927</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411,511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989,679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175"/>
        </w:trPr>
        <w:tc>
          <w:tcPr>
            <w:tcW w:w="39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 on investment, net of tax benefit of</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($0.34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1,000,711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color w:val="auto"/>
        </w:rPr>
        <w:t>SJW GROUP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w:t>
            </w: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71,912</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30"/>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Allowance for equity funds used during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sale of nonutility properties and Texas Water Alliance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and accrued unbilled utility revenue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Tax receivable and payable, and other accrued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Postretirement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176"/>
        </w:trPr>
        <w:tc>
          <w:tcPr>
            <w:tcW w:w="83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Regulatory assets and liabilities excluding income tax temporary differences, net and postretirement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benefits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21,776</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r>
      <w:tr>
        <w:trPr>
          <w:trHeight w:val="229"/>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Up-front service concession payment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100,255</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utility plant: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Company-funded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(169,238)</w:t>
            </w:r>
          </w:p>
        </w:tc>
      </w:tr>
      <w:tr>
        <w:trPr>
          <w:trHeight w:val="230"/>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Contributions in aid of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real estate investments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to retire utility plant, net of salvage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nonutility properties and Texas Water Alliance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Payments for business acquisitions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(182,899)</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67,099</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(120,120)</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(52,700)</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66,775</w:t>
            </w:r>
          </w:p>
        </w:tc>
      </w:tr>
      <w:tr>
        <w:trPr>
          <w:trHeight w:val="229"/>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Receipts of advances and contributions in aid of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Refunds of advances for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30"/>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89,596</w:t>
            </w: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r>
      <w:tr>
        <w:trPr>
          <w:trHeight w:val="22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w:t>
            </w: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CASH, END OF PERIOD</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48"/>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39,533</w:t>
            </w: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payables for additions to utility plant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26,628</w:t>
            </w:r>
          </w:p>
        </w:tc>
      </w:t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Utility property installed by developers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r>
    </w:tbl>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180"/>
          </w:cols>
          <w:pgMar w:left="360" w:top="931" w:right="359" w:bottom="1118" w:gutter="0" w:footer="0" w:header="0"/>
        </w:sect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1" w:right="359" w:bottom="1118"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2021 Annual Report on Form 10-K should be read with the accompanying unaudited condensed consolidated financial statements.</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SJW Group is a holding company with five wholly-owned subsidiaries: San Jose Water Company (“SJWC”), SJWNE LLC, SJWTX, Inc., SJW Land Company, and SJWTX Holdings, Inc. SJWNE LLC is the holding company for Connecticut Water Service, Inc. (“CTWS”) whose wholly-subsidiaries are The Connecticut Water Company (“Connecticut Water”), The Maine Water Company (“Maine Water”), New England Water Utility Services, Inc. (“NEWUS”), and Chester Realty, Inc. SJWC, Connecticut Water, SJWTX, Inc. doing business as Canyon Lake Water Service Company (“CLWSC”), Maine Water and NEWUS are referred to as “Water Utility Services.” SJW Land Company and Chester Realty, Inc. are collectively referred to as “Real Estate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streams of revenue for SJW Group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422,545</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balancing and memorandum accounts,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regulatory mechanisms,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175,981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449,324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433,949</w:t>
            </w:r>
          </w:p>
        </w:tc>
      </w:tr>
      <w:tr>
        <w:trPr>
          <w:trHeight w:val="21"/>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Investments and Nonutility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real estate investments and nonutility properties as of September 30, 2022, and December 31, 2021,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45,017</w:t>
            </w:r>
          </w:p>
        </w:tc>
      </w:tr>
      <w:tr>
        <w:trPr>
          <w:trHeight w:val="22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57,632</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48"/>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29, 2021, SJWC sold two nonutility properties located in San Jose, California for $13,150. SJW Group recognized a pre-tax gain on the sale of nonutility properties of $7,230, after selling expenses of $277 for one of the properties sold, and a gain of $5,442, after selling expenses of $178, was deferred on the other nonutility property pending California Public Utilities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Commission (“CPUC”) review for the year ended December 31, 2021. On February 15, 2022, the CPUC review was completed and $5,442 was recognized as gain on sale of the second nonutility property.</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former wholly owned subsidiary of SJW Group, Texas Water Alliance Limited,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SJW Group’s condensed consolidated balance sheets as of September 30, 2022, but require disclosure of their fair values: cash and cash equivalents, accounts receivable and accounts payable. The estimated fair value of such instruments as of September 30, 2022, approximates their carrying value as reported on the condensed consolidated balance sheets. The estimated fair value of such financial instruments were determined using the income approach based on the present value of estimated future cash flows. There have been no changes in valuation techniques during the three and nine months ended September 30, 2022. The fair value of these instruments would be categorized as Level 2 in the fair value hierarchy, with the exception of cash and cash equivalents, which would be categorized as Level 1.</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SJW Group’s long-term debt was approximately $1,247,530 and $1,651,825 as of September 30, 2022, and December 31, 2021, respectively, and was determined using a discounted cash flow analysis, based on the current rates for similar financial instruments of the same duration and creditworthiness of the company. The book value of long-term debt was $1,458,088 and $1,532,041 as of September 30, 2022, and December 31, 2021, respectively. The fair value of long-term debt would be categorized as Level 2 in the fair value hierarchy.</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$2,790 and $3,797 as of September 30, 2022, and December 31, 2021, respectively, and are categorized as Level 1 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 (as amended, the “Incentive Plan”), shares potentially issuable under the performance stock plans assumed through the business combination with CTWS, and shares potentially issuable under the Employee Stock Purchase Plan (“ESPP”). For the three months ended September 30, 2022 and 2021, 2,416 and 1,558 anti-dilutive restricted common stock units were excluded from the dilutive earnings per share calculation, respectively. For the nine months ended September 30, 2022 and 2021, 18,240 and 14,441 anti-dilutive restricted common stock units were excluded from the dilutive earnings per share calculation,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44"/>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Regulatory assets, net are comprised of the following as of September 30, 2022, and December 31, 2021: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20" w:type="dxa"/>
            <w:vAlign w:val="bottom"/>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5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tax temporary differences,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w:t>
            </w:r>
          </w:p>
        </w:tc>
      </w:tr>
      <w:tr>
        <w:trPr>
          <w:trHeight w:val="230"/>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Postretirement pensions and other postretirement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62,197</w:t>
            </w:r>
          </w:p>
        </w:tc>
      </w:tr>
      <w:tr>
        <w:trPr>
          <w:trHeight w:val="229"/>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Business combinations debt premium, net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Balancing and memorandum accounts, net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38,334</w:t>
            </w:r>
          </w:p>
        </w:tc>
      </w:tr>
      <w:tr>
        <w:trPr>
          <w:trHeight w:val="230"/>
        </w:trPr>
        <w:tc>
          <w:tcPr>
            <w:tcW w:w="20" w:type="dxa"/>
            <w:vAlign w:val="bottom"/>
          </w:tcPr>
          <w:p>
            <w:pPr>
              <w:spacing w:after="0"/>
              <w:rPr>
                <w:sz w:val="19"/>
                <w:szCs w:val="19"/>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Water Rate Adjustment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9"/>
        </w:trPr>
        <w:tc>
          <w:tcPr>
            <w:tcW w:w="20" w:type="dxa"/>
            <w:vAlign w:val="bottom"/>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5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regulatory assets, net in Condensed Consolidated Balance Sheets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154,621</w:t>
            </w:r>
          </w:p>
        </w:tc>
      </w:tr>
      <w:tr>
        <w:trPr>
          <w:trHeight w:val="229"/>
        </w:trPr>
        <w:tc>
          <w:tcPr>
            <w:tcW w:w="20" w:type="dxa"/>
            <w:vAlign w:val="bottom"/>
          </w:tcPr>
          <w:p>
            <w:pPr>
              <w:spacing w:after="0"/>
              <w:rPr>
                <w:sz w:val="19"/>
                <w:szCs w:val="19"/>
                <w:color w:val="auto"/>
              </w:rPr>
            </w:pPr>
          </w:p>
        </w:tc>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assets, net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23"/>
        </w:trPr>
        <w:tc>
          <w:tcPr>
            <w:tcW w:w="20" w:type="dxa"/>
            <w:vAlign w:val="bottom"/>
          </w:tcPr>
          <w:p>
            <w:pPr>
              <w:spacing w:after="0"/>
              <w:rPr>
                <w:sz w:val="19"/>
                <w:szCs w:val="19"/>
                <w:color w:val="auto"/>
              </w:rPr>
            </w:pPr>
          </w:p>
        </w:tc>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regulatory assets, net, less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145,945</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151,992</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SJW Group’s regulatory assets, net, not earning a return primarily included postretirement pensions and the unfunded amount of other medical benefits, and business combination debt premiums, net. The total amount of regulatory assets, net not earning a return at September 30, 2022, and December 31, 2021, either by interest on the regulatory asset/liability or as a component of rate base at the allowed rate of return was $86,113 and $84,887,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Balancing and Memorandum Accounts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(“MWRAM”) tracks the difference between the revenue received for actual metered sales through the tiered volumetric rate and the revenue that would have been received with the same actual metered sales if a uniform rate would have been in effect. The Water Conservation Memorandum Account (“WCMA”) allows SJWC to track lost revenue, net of related water costs, associated with reduced sales due to water conservation and associated calls for water use reductions. SJWC records the lost revenue captured in the WCMA balancing accounts. Drought surcharges collected are used to offset the revenue losses tracked in the WCMA. On October 11, 2022, the CPUC issued General Rate Case Decision No. 22-10-005, which approved a recovery of $18,174 in balancing and memorandum accounts from customers.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Balancing and memorandum accounts recorded to regulatory assets, net for the three and nine months ended September 30, 2022, and 2021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60" w:type="dxa"/>
            <w:vAlign w:val="bottom"/>
          </w:tcPr>
          <w:p>
            <w:pPr>
              <w:spacing w:after="0"/>
              <w:rPr>
                <w:sz w:val="16"/>
                <w:szCs w:val="16"/>
                <w:color w:val="auto"/>
              </w:rPr>
            </w:pPr>
          </w:p>
        </w:tc>
        <w:tc>
          <w:tcPr>
            <w:tcW w:w="41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Beginning</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11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Increase</w:t>
            </w:r>
          </w:p>
        </w:tc>
        <w:tc>
          <w:tcPr>
            <w:tcW w:w="10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6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21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MWRAM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WCMA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capital memorandum</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 accounts</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Cost-recovery accounts: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Hydro Generation Research,</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Development and Demonstration</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Memorandum Account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(“PRVMA”)</w:t>
            </w: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COVID-19 Catastrophic Event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Memorandum Account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(“CEMA”)</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cost-recovery accounts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60" w:type="dxa"/>
            <w:vAlign w:val="bottom"/>
          </w:tcPr>
          <w:p>
            <w:pPr>
              <w:spacing w:after="0"/>
              <w:rPr>
                <w:sz w:val="24"/>
                <w:szCs w:val="24"/>
                <w:color w:val="auto"/>
              </w:rPr>
            </w:pPr>
          </w:p>
        </w:tc>
        <w:tc>
          <w:tcPr>
            <w:tcW w:w="41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Beginning</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Regulatory Asset</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Refunds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11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3"/>
              </w:rPr>
              <w:t>Increase</w:t>
            </w:r>
          </w:p>
        </w:tc>
        <w:tc>
          <w:tcPr>
            <w:tcW w:w="10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(Collections)</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MWRAM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WCMA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Cost of capital memorandum</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 accounts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Cost-recovery accounts: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PRVMA</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CEMA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cost-recovery accounts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32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u w:val="single" w:color="auto"/>
          <w:color w:val="auto"/>
        </w:rPr>
        <w:t>Capitalization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17, 2021, SJW Group entered into an equity distribution agreement (the “Equity Distribution Agreement”) with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$100,000. For the three and nine months ended September 30, 2022, SJW Group issued and sold a total of 47,608 shares of common stock with a weighted average price of $66.26 per share and received approximately $3,107 in net proceeds under the Equity Distribution Agreement. Since the inception of the Equity Distribution Agreement, SJW Group has issued and sold 402,723 shares of common stock with a weighted average price of $69.91 for a total net proceeds of $27,360 and has a remaining $71,845 under the Equity Distribution Agreement to issue into shares.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our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 SJW Group received net proceeds of approximately $66,775 from the Offering and the sale of option shares, after deducting the underwriting discounts and commissions and offering expenses.</w:t>
      </w:r>
    </w:p>
    <w:p>
      <w:pPr>
        <w:spacing w:after="0" w:line="21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u w:val="single" w:color="auto"/>
          <w:color w:val="auto"/>
        </w:rPr>
        <w:t>Bank Borrowings and Long-Term Liabilities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SJW Group’s contractual obligations and commitments include senior notes, bank term loans, revenue bonds, state revolving fund loans and other obligations. Water Utility Services has received advance deposit payments from its customers on certain construction projects. The refunds of the advance deposit payments constitute an obligation of the respective entities.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Financing Agreements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2, 2022, SJW Group, SJWC, SJWTX, Inc., and CTWS entered into a $300,000 syndicated line of credit agreement (the “Credit Agreement”) with JPMorgan Chase Bank, N.A., as Administrative Agent (“JP Morgan”), Wells Fargo Bank, National Association, as Documentation Agent, and a syndicate of banks. Proceeds of borrowings under the Credit Agreement will be used for refinancing existing debt, working capital, and general corporate purposes. The Credit Agreement has a maturity date of August 2, 2027.</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each of SJW Group, SJWC, SJWTX, Inc., and CTWS is a borrower with several and not joint liability. Each borrower has an initial borrowing entitlement, or sublimit, which can be periodically adjusted from time to time as set forth in the Credit Agreement. The initial sublimit of each borrower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Initial Sublimit</w:t>
            </w:r>
          </w:p>
        </w:tc>
      </w:tr>
      <w:tr>
        <w:trPr>
          <w:trHeight w:val="23"/>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SJWTX, Inc.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9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equal to SOFR plus the applicable rate. The applicable rate and pricing is variable depending on the credit ratings of the borrower.</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representations, warranties and events of default, as well as certain restrictive covenants customary for facilities of this type, including restrictions on indebtedness, liens, asset sales, and fundamental changes. The Credit Agreement also includes a financial covenant that requires each of the borrowers to maintain its funded debt to capitalization ratio at or below 70%.</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Credit Agreement replaces the existing $140,000 credit agreement, dated April 23, 2021, between SJWC and JP Morgan and the existing $5,000 credit agreement, dated April 23, 2021, between SJWTX and JP Morgan, with SJW Group as guarantor, both of which were terminated upon entering into the Credit Agreement and were set to mature on December 31, 2023. In addition, on August 2, 2022, CTWS and Citizens Bank, National Association, entered into a fourth modification to the amended and restated revolving credit facility, dated December 18, 2019, as amended, pursuant to which the credit commitment was reduced from $75,000 to $10,000.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Financing Agreements</w:t>
      </w:r>
    </w:p>
    <w:p>
      <w:pPr>
        <w:spacing w:after="0" w:line="108"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On April 6, 2022, Maine Water entered into a credit agreement with a commercial bank, pursuant to an existing master loan agreement under which the commercial bank issued Maine Water a promissory note on the same date with an aggregate principal amount of $15,000 at a fixed interest rate of 4.54%, due May 31, 2042.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May 13, 2022.</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28, 2022, Connecticut Water entered into a note purchase agreement with certain affiliates of New York Life Insurance Company, pursuant to which Connecticut Water sold an aggregate principal amount of $25,000 of its 4.71% Senior Notes, Series 2022, due 2052. The closing of the note purchase agreement is expected to occur on December 15, 2022, and is subject to customary closing conditions. The Series 2022 Notes are unsecured obligations of Connecticut Water. Interest is payable semi-annually in arrears on June 15th and December 15th of each year. The note purchase agreement contains customary representations and warranties. Connecticut Water has agreed to customary affirmative and negative covenants for as long as the Series 2022 Notes are outstanding. The Series 2022 Notes are also subject to customary events of default, the occurrence of which may result in all of the Series 2022 Notes then outstanding becoming immediately due and payable.</w:t>
      </w:r>
    </w:p>
    <w:p>
      <w:pPr>
        <w:spacing w:after="0" w:line="8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is expected to occur in January 2023 upon satisfaction of customary closing conditions.</w:t>
      </w:r>
    </w:p>
    <w:p>
      <w:pPr>
        <w:spacing w:after="0" w:line="31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u w:val="single" w:color="auto"/>
          <w:color w:val="auto"/>
        </w:rPr>
        <w:t>Income Taxes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income tax expense was $223 and $3,658, respectively. Income tax expense for the three and nine months ended September 30, 2021, was $2,749 and $5,159, respectively. The effective consolidated income tax rates were 1% and 13% for the three months ended September 30, 2022 and 2021, respectively, and 8% and 11% for the nine months ended September 30, 2022, and 2021, respectively. The lower effective tax rate for the three and nine months ended September 30, 2022, was primarily due to a tax accounting method change at CTWS regarding the non-network asset repairs deduction.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SJW Group unrecognized tax benefits, before the impact of deductions of state taxes, excluding interest and penalties, of approximately $8,937 and $7,961 as of September 30, 2022, and December 31, 2021, respectively. SJW Group does not expect its unrecognized tax benefits to change significantly within the next 12 months.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signed into law. SJW Group has considered the income tax implications of the IRA in its estimated tax provision and does not believe it will materially impact the company’s year-end tax rate.</w:t>
      </w:r>
    </w:p>
    <w:p>
      <w:pPr>
        <w:spacing w:after="0" w:line="29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u w:val="single" w:color="auto"/>
          <w:color w:val="auto"/>
        </w:rPr>
        <w:t>Commitments and Contingencies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0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u w:val="single" w:color="auto"/>
          <w:color w:val="auto"/>
        </w:rPr>
        <w:t>Benefit Plans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defined benefit plans and other postretirement benefits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50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SJW Group expects to make required and discretionary cash contributions of up to $7,842 to the pension plans and other postretirement benefits.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2022, SJW Group has made $2,577 and $4,538, respectively, contributions to such plans.</w:t>
      </w:r>
    </w:p>
    <w:p>
      <w:pPr>
        <w:spacing w:after="0" w:line="338"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u w:val="single" w:color="auto"/>
          <w:color w:val="auto"/>
        </w:rPr>
        <w:t>Equity Plans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Incentive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 SJW Group also maintains stock plans in connection with its acquisition of CTWS which are no longer granting new stock awards. As of September 30, 2022, 179,848 shares are issuable upon the vesting of outstanding restricted stock units and deferred restricted stock units and an additional 612,738 shares are available for award issuances under the Incentive Plan.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and proceeds from the exercise of restricted stock and similar instruments that are recorded to additional paid-in capital and common stock, by award type, are presented below for the three and nine months ended September 30,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ESPP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23"/>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and 2021, SJW Group granted under the Incentive Plan 1,723 and 1,134, respectively, one year and three year service-based restricted stock awards with a weighted-average grant date fair value of $62.56 and $69.20, respectively, per unit. For the nine months ended September 30, 2022, and 2021, SJW Group granted under the Incentive Plan 45,726 and 46,567, respectively, one year and three year service-based restricted stock awards with a weighted-average grant date fair value of $65.31 and $64.65, respectively, per unit.</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2022, and 2021, SJW Group granted under the Incentive Plan 2,193 and 0 target units, respectively, performance-based and market-based restricted stock awards with a weighted-average grant date fair value of $69.70 and $0.00, respectively, per unit. For the nine months ended September 30, 2022, and 2021, SJW Group granted under the Incentive Plan 35,846 and 30,641 target units, respectively, performance-based and market-based restricted stock awards granted with a weighted-average grant date fair value of $70.31 and $66.33, respectively, per unit.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costs related to restricted and deferred restricted stock plans amounted to $5,660. This cost is expected to be recognized over a weighted-average period of 1.78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SJW Group’s recorded expenses for its ESPP were $94 and $276 for the three and nine months ended September 30, 2022, respectively, and $91 and $265 for the three and nine months ended September 30, 2021, respectively. The total unrecognized compensation costs related to the semi-annual offering period that ends January 31, 2023, for the ESPP is approximately $131. This cost is expected to be recognized during the fourth quarter of 2022 and first quarter of 2023.</w:t>
      </w:r>
    </w:p>
    <w:p>
      <w:pPr>
        <w:spacing w:after="0" w:line="31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u w:val="single" w:color="auto"/>
          <w:color w:val="auto"/>
        </w:rPr>
        <w:t>Segment and Non-Tariffed Business Reporting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 Group is a holding company with five subsidiaries: (i) SJWC, a water utility operation with both regulated and non-tariffed businesses, (ii) CLWSC, a regulated water utility located in Canyon Lake, Texas, and its consolidated non-tariffed variable interest entity, Acequia Water Supply Corporation,</w:t>
      </w:r>
    </w:p>
    <w:p>
      <w:pPr>
        <w:ind w:firstLine="8"/>
        <w:spacing w:after="0" w:line="251"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 Land Company and its consolidated variable interest entity, 444 West Santa Clara Street, L.P., which operated commercial building rentals, (iv) SJWNE LLC a holding company for CTWS and its subsidiaries, The Connecticut Water Company, The Maine Water Company, New England Water Utility Services, Inc. and Chester Realty, Inc., and (v) SJWTX Holdings, Inc. which was formed for the purpose of effecting a corporate reorganization of the water utility operations in Texas. In accordance with FASB ASC Topic 280 - “Segment Reporting,” SJW Group’s reportable segments have been determined based on information used by the chief operating decision maker. SJW Group’s chief operating decision maker includes the Chairman, President and Chief Executive Officer, and his executive staff. The first segment is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8"/>
          <w:szCs w:val="18"/>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Three Months Ended September 30, 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3,498,396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3,498,396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3,604,704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Three Months Ended September 30, 2021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4"/>
            <w:vMerge w:val="continue"/>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7"/>
                <w:szCs w:val="17"/>
                <w:color w:val="auto"/>
              </w:rPr>
            </w:pPr>
          </w:p>
        </w:tc>
        <w:tc>
          <w:tcPr>
            <w:tcW w:w="12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3,352,976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3,352,976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116,765</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Nine Months Ended September 30, 2022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1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435,823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435,823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355,620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3,498,396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3,498,396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3,604,704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Nine Months Ended September 30, 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SJW Group</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Non-tariffed</w:t>
            </w:r>
          </w:p>
        </w:tc>
        <w:tc>
          <w:tcPr>
            <w:tcW w:w="11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433,949</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70,787</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on long-term debt and other</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40,655</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3,352,976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3,352,976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3,469,741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 Other” category for the nine months ended September 30, 2022, includes the accounts of SJW Group, SJWNE LLC, CTWS and SJWTX Holdings, Inc. on a stand-alone basis.</w:t>
      </w:r>
    </w:p>
    <w:p>
      <w:pPr>
        <w:spacing w:after="0" w:line="11" w:lineRule="exact"/>
        <w:rPr>
          <w:rFonts w:ascii="Times New Roman" w:cs="Times New Roman" w:eastAsia="Times New Roman" w:hAnsi="Times New Roman"/>
          <w:sz w:val="14"/>
          <w:szCs w:val="14"/>
          <w:color w:val="auto"/>
        </w:rPr>
      </w:pPr>
    </w:p>
    <w:p>
      <w:pPr>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SJWTX Holdings, Inc. had no activity for the nine months ended September 30, 2022 . For the nine months ended September 30, 2021, “All Other” category includes the accounts of SJW Group, SJWNE LLC and CTWS on a stand-alone basis.</w:t>
      </w:r>
    </w:p>
    <w:p>
      <w:pPr>
        <w:ind w:right="120" w:firstLine="8"/>
        <w:spacing w:after="0" w:line="283" w:lineRule="auto"/>
        <w:tabs>
          <w:tab w:leader="none" w:pos="3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and December 31, 2021, the Company has performed an allocation of goodwill associated with the acquisition of CTWS to two reporting units, Connecticut and Maine, which are both aggregated within the Regulated Water Utility Services reportable segment.</w:t>
      </w:r>
    </w:p>
    <w:p>
      <w:pPr>
        <w:spacing w:after="0" w:line="297"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u w:val="single" w:color="auto"/>
          <w:color w:val="auto"/>
        </w:rPr>
        <w:t>Subsequent Event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CPUC approved the settlement of SJWC’s General Rate Case Application No. 21-01-003 (“2022 GRC”) on October 6, 2022 and issued Decision No. 22-10-005 (“2022 GRC Decision”) on October 11, 2022. SJWC received authority for an increase of $25,074 or 6.03% in 2022, $12,955 or 2.94% in 2023, and $16,102 or 3.56% in 2024. The application included requests to recover $18,174 from balancing and memorandum accounts and authorization for a $350,000 capital budget. Additionally, it further aligns authorized and actual consumption, particularly for business customers, addresses the water supply mix variability, and provides greater revenue recovery in the fixed charge. The 2022 approved revenue increase is effective retrospectively to January 1, 2022. SJWC will be filing advice letters to implement new rates and to recover interim revenue and balancing and memorandum accounts in accordance with the 2022 GRC Decision.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 w:name="page19"/>
    <w:bookmarkEnd w:id="18"/>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 amounts in thousands, except per share amounts and otherwise noted)</w:t>
      </w:r>
    </w:p>
    <w:p>
      <w:pPr>
        <w:spacing w:after="0" w:line="8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2021.</w:t>
      </w:r>
    </w:p>
    <w:p>
      <w:pPr>
        <w:spacing w:after="0" w:line="9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SJW Group is a holding company with five wholly-owned subsidiaries: San Jose Water Company (“SJWC”), SJWNE LLC, SJWTX, Inc., SJW Land Company, and SJWTX Holdings, Inc.</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SJWC is a public utility in the business of providing water service to approximately 232,000 connections that serve a population of approximately one million people in an area comprising approximately 139 square miles in the metropolitan San Jose, California area. 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SJWNE LLC is the holding company for Connecticut Water Service, Inc. (“CTWS”). CTWS, headquartered in Connecticut, serves as a holding company for water utility companies providing water service to approximately 141,000 connections that serve a population of approximately 460,000 people in 81 municipalities throughout Connecticut and Maine and more than 3,000 wastewater connections in Southbury, Connecticut. The subsidiaries held by CTWS that provide utility water services are The Connecticut Water Company (“Connecticut Water”) and The Maine Water Company (“Maine Water”). The remaining two CTWS subsidiaries are Chester Realty, Inc., a real estate company in Connecticut, and New England Water Utility Services, Inc. (“NEWUS”), which provides contract water and sewer operations and other water related services.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SJWTX, Inc., doing business as Canyon Lake Water Service Company (“CLWSC”), is a public utility in the business of providing water service to approximately 25,000 connections that serve approximately 76,000 people and approximately 900 wastewater connections. CLWSC’s service area comprises more than 267 square miles in Bandera, Blanco, Comal, Hays, Kendall, Medina and Travis County in the growing region between San Antonio and Austin, Texas. SJWTX, Inc. holds a 25% equity interest in Acequia Water Supply Corporation. Acequia has been determined to be a variable interest entity within the scope of ASC Topic 810 with SJWTX, Inc. as the primary beneficiary. As a result, Acequia has been consolidated with SJWTX, Inc. SJWTX, Inc is undergoing a corporate reorganization to separate regulated operations from non-tariffed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9" w:name="page20"/>
    <w:bookmarkEnd w:id="19"/>
    <w:p>
      <w:pPr>
        <w:ind w:right="200"/>
        <w:spacing w:after="0" w:line="261" w:lineRule="auto"/>
        <w:rPr>
          <w:sz w:val="20"/>
          <w:szCs w:val="20"/>
          <w:color w:val="auto"/>
        </w:rPr>
      </w:pPr>
      <w:r>
        <w:rPr>
          <w:rFonts w:ascii="Times New Roman" w:cs="Times New Roman" w:eastAsia="Times New Roman" w:hAnsi="Times New Roman"/>
          <w:sz w:val="18"/>
          <w:szCs w:val="18"/>
          <w:color w:val="auto"/>
        </w:rPr>
        <w:t>activities. In November 2021, SJWTX Holdings, 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Inc. and TWOS. In addition, SJWTX Holdings intends to create a new subsidiary to hold future wholesale water supply assets prior to the end of 2022.</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SJW Land Company and Chester Realty, Inc. own undeveloped land and operate commercial buildings in Tennessee, California and Connecticut. SJW Land Company and Chester Realty, Inc. owned the following real properties during the nine months ended September 30, 2022:</w:t>
      </w:r>
    </w:p>
    <w:p>
      <w:pPr>
        <w:spacing w:after="0" w:line="17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 for Nine months ended September 30, 2022</w:t>
      </w:r>
    </w:p>
    <w:p>
      <w:pPr>
        <w:jc w:val="center"/>
        <w:ind w:left="8300"/>
        <w:spacing w:after="0" w:line="221" w:lineRule="auto"/>
        <w:rPr>
          <w:sz w:val="20"/>
          <w:szCs w:val="20"/>
          <w:color w:val="auto"/>
        </w:rPr>
      </w:pPr>
      <w:r>
        <w:rPr>
          <w:rFonts w:ascii="Times New Roman" w:cs="Times New Roman" w:eastAsia="Times New Roman" w:hAnsi="Times New Roman"/>
          <w:sz w:val="14"/>
          <w:szCs w:val="14"/>
          <w:b w:val="1"/>
          <w:bCs w:val="1"/>
          <w:color w:val="auto"/>
        </w:rPr>
        <w:t>of</w:t>
      </w:r>
    </w:p>
    <w:p>
      <w:pPr>
        <w:ind w:left="9160"/>
        <w:spacing w:after="0"/>
        <w:rPr>
          <w:sz w:val="20"/>
          <w:szCs w:val="20"/>
          <w:color w:val="auto"/>
        </w:rPr>
      </w:pPr>
      <w:r>
        <w:rPr>
          <w:rFonts w:ascii="Times New Roman" w:cs="Times New Roman" w:eastAsia="Times New Roman" w:hAnsi="Times New Roman"/>
          <w:sz w:val="14"/>
          <w:szCs w:val="14"/>
          <w:b w:val="1"/>
          <w:bCs w:val="1"/>
          <w:color w:val="auto"/>
        </w:rPr>
        <w:t>Real Estate Services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8"/>
                <w:szCs w:val="18"/>
                <w:color w:val="auto"/>
              </w:rPr>
            </w:pPr>
          </w:p>
        </w:tc>
        <w:tc>
          <w:tcPr>
            <w:tcW w:w="19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20" w:type="dxa"/>
            <w:vAlign w:val="bottom"/>
          </w:tcPr>
          <w:p>
            <w:pPr>
              <w:spacing w:after="0"/>
              <w:rPr>
                <w:sz w:val="18"/>
                <w:szCs w:val="18"/>
                <w:color w:val="auto"/>
              </w:rPr>
            </w:pPr>
          </w:p>
        </w:tc>
        <w:tc>
          <w:tcPr>
            <w:tcW w:w="150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building</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Undeveloped land and parking lot</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Undeveloped land</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California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N/A</w:t>
            </w:r>
          </w:p>
        </w:tc>
        <w:tc>
          <w:tcPr>
            <w:tcW w:w="15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Clinton, CT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building</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Guilford, CT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regulated water utility operations;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Real Estate Services: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Connecticut. SJW Land Company and Chester Realty, Inc. manage income producing and other properties until such time a determination is made to reinvest proceeds from the sale of such properties.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the accounting policies used and disclosed in our 2021 consolidated financial statements and accompanying notes that were prepared in accordance with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ind w:right="580"/>
        <w:spacing w:after="0" w:line="282"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and included as part of our annual report on Form 10-K for the year ended December 31, 2021, that was filed with the Securities and Exchange Commission on February 28, 2022.</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in Management’s Discussion and Analysis of Financial Condition and Results of Operations included in our annual report on Form 10-K for the year ended December 31, 2021. Our significant accounting policies are described in our notes to the 2021 Consolidated Financial Statements included in our annual report on Form 10-K for the year ended December 31, 2021. There have been no changes to our critical or significant accounting policies during the three months ended September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SJW Group’s consolidated net income for the three months ended September 30, 2022, was $25,034, an increase of $5,966, or approximately 31%, from $19,068 for the same period in 2021. Consolidated net income for the three months ended September 30, 2022 includes a one-time impact of $355 related to SJWC’s Order Instituting Investigation settlement expenses. SJW Group’s consolidated net income for the nine months ended September 30, 2022, was $40,329, a decrease of $2,130, or approximately 5%, from $42,459 for the same period in 2021. Consolidated net income in 2022 includes a gain on the sale of nonutility property of $5,072, offset by the one-time impacts of $2,200 related to depreciation on certain Cupertino concession assets and $1,196 related to SJWC’s Order Instituting Investigation settlement expenses and certain true-ups of deferred taxes and acquisition related tax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Revenue by Segment</w:t>
            </w:r>
          </w:p>
        </w:tc>
        <w:tc>
          <w:tcPr>
            <w:tcW w:w="13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5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429,882</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r>
      <w:tr>
        <w:trPr>
          <w:trHeight w:val="248"/>
        </w:trPr>
        <w:tc>
          <w:tcPr>
            <w:tcW w:w="5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433,949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revenues was due to the following factors: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center"/>
              <w:ind w:left="55"/>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3"/>
          </w:tcPr>
          <w:p>
            <w:pPr>
              <w:jc w:val="center"/>
              <w:ind w:left="95"/>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 (including unbilled utility revenue)</w:t>
            </w: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 winter storm customer credits</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Monterey Water Revenue Adjustment Mechanism (“MWRAM”)</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Water Conservation Memorandum Account (“WCMA”)</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regulatory mechanisms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53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3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Expense by Segment</w:t>
            </w:r>
          </w:p>
        </w:tc>
        <w:tc>
          <w:tcPr>
            <w:tcW w:w="132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5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363,488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349,432</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3"/>
        </w:trPr>
        <w:tc>
          <w:tcPr>
            <w:tcW w:w="55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368,731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354,457</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expense was due to the following factors: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3"/>
                <w:szCs w:val="13"/>
                <w:color w:val="auto"/>
              </w:rPr>
            </w:pPr>
          </w:p>
        </w:tc>
      </w:tr>
      <w:tr>
        <w:trPr>
          <w:trHeight w:val="146"/>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gridSpan w:val="3"/>
          </w:tcPr>
          <w:p>
            <w:pPr>
              <w:jc w:val="center"/>
              <w:ind w:left="95"/>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3"/>
          </w:tcPr>
          <w:p>
            <w:pPr>
              <w:jc w:val="center"/>
              <w:ind w:left="195"/>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2"/>
                <w:szCs w:val="12"/>
                <w:color w:val="auto"/>
              </w:rPr>
            </w:pPr>
          </w:p>
        </w:tc>
      </w:tr>
      <w:tr>
        <w:trPr>
          <w:trHeight w:val="196"/>
        </w:trPr>
        <w:tc>
          <w:tcPr>
            <w:tcW w:w="54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20" w:type="dxa"/>
            <w:vAlign w:val="bottom"/>
            <w:tcBorders>
              <w:bottom w:val="single" w:sz="8" w:color="auto"/>
            </w:tcBorders>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620" w:type="dxa"/>
            <w:vAlign w:val="bottom"/>
          </w:tcPr>
          <w:p>
            <w:pPr>
              <w:spacing w:after="0"/>
              <w:rPr>
                <w:sz w:val="17"/>
                <w:szCs w:val="17"/>
                <w:color w:val="auto"/>
              </w:rPr>
            </w:pPr>
          </w:p>
        </w:tc>
      </w:tr>
      <w:tr>
        <w:trPr>
          <w:trHeight w:val="23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usage and new customers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6"/>
        </w:trPr>
        <w:tc>
          <w:tcPr>
            <w:tcW w:w="54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Purchased water and groundwater extraction charge, energy price</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and other production expenses, net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accounts cost recovery</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and memorandum account cost recovery</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54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Sources of Water Supply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SJWC’s water supply consists of imported water purchased from the Santa Clara Valley Water District (“Valley Water”) under the terms of a master contract with Valley Water expiring in 2051, groundwater from wells, surface water from watershed run-off and diversion, and reclaimed water. Surface water is the least expensive source of water. Changes and variations in quantities from each of these sources affect the overall mix of the water supply, thereby affecting water supply cost. In addition, the water rate for purchased water and the groundwater extraction charge may be increased by Valley Water at any time. If an increase occurs, then SJWC would file an advice letter with the CPUC seeking authorization to increase customer rates to offset the cost increase. Such water supply cost and rate changes are expected to be mitigated in the future as a result of the water cost balancing account adopted in SJWC’s general rate case decision on October 6, 2022.</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currently experiencing a severe drought in California that is expected to have a significant impact on the sources of our water supply. On October 1, 2022, Valley Water’s 10 reservoirs were at approximately 17% of total capacity with 9,277 million gallons of water in storage, which is 40% of the twenty-year average for this date. Valley Water’s largest reservoir, Anderson, remains drained for a dam seismic retrofit project. As reported by Valley Water, there was 0.51 inches of rainfall in San Jose during the current annual rainfall season that commenced on July 1, 2022. Rainfall at SJWC’s Lake Elsman was measured at 1.68 inches during the current rainfall season compared to the five-year average of 0.04 inches. Under normal hydrologic conditions, state and federal water allocations represent approximately 40% of the Valley Water’s total annual water supply. As of October 1, 2022, Valley Water reported that allocations from the State Water Project was 5% or 1,629 million gallons and an additional allocation of human health and safety water has been secured. The U.S. Bureau of Reclamation allocation remains at public health and safety water only. Valley Water reported that its Semitropic groundwater bank reserves are at 80% of capacity or 90,747 million gallons, which can be used to perform water transfers with other state water contractors. Valley Water also reported that the managed groundwater recharge from January to September in the Santa Clara Plain was 112% of the five-year average. The groundwater level in the Santa Clara Plain is approximately 21 feet higher than September 2021. According to Valley Water, the projected total groundwater storage at the end of 2022 is expected to fall within the Normal Stage of Valley Water’s Water Shortage Contingency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2" w:name="page23"/>
    <w:bookmarkEnd w:id="22"/>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1, 2022, SJWC’s Lake Elsman contained 679 million gallons of water, of which approximately 529 million gallons can be released for treatment in water production and to maintain downstream bypass flow regulatory requirements. This Lake Elsman volume represents 82% of the five-year average. Local surface water is a less costly source of water than groundwater or purchased water and its availability significantly impacts SJWC’s results of operations. Typically, SJWC will utilize surface water and additional water from its portfolio of groundwater supplies to supplement imported water from Valley Water. Production from the Montevina Surface Water Treatment Plant through the third quarter was 1,340 million gallons, which is 88% of the five-year average. Through the third quarter of 2022, there was 43 million gallons of water production at SJWC’s smaller Saratoga Water Treatment Plant. The Saratoga Water Treatment Plant was taken out of service due to lack of run-off from Saratoga Creek and remains offline. Nonetheless, SJWC believes that its various other water supply sources will be sufficient to meet customer demand through the remainder of 2022.</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Like the most recent drought,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w:t>
      </w:r>
    </w:p>
    <w:p>
      <w:pPr>
        <w:spacing w:after="0" w:line="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Connecticut Water’s water sources vary among the individual systems, but overall approximately 80% of the total dependable yield comes from surface water supplies and 20% from wells. In addition, Connecticut Water has water supply agreements to supplement its water supply with the South Central Connecticut Regional Water Authority and The Metropolitan District that expire 2058 and 2053, respectively.</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CLWSC’s water supply consists of groundwater from wells and purchased treated and untreated raw water from local water agencies. CLWSC has long-term agreements with the GBRA, which expire in 2037, 2040, 2044 and 2050. The agreements, which are take-or-pay contracts, provide CLWSC with an aggregate of 7,650 acre-feet of water per year from Canyon Lake at prices that may be adjusted periodically by GBRA. CLWSC also has raw water supply agreements with the Lower Colorado River Authority (“LCRA”) and West Travis Public Utility Agency (“WTPUA”) expiring in 2059 and 2046, respectively, to provide for 350 acre-feet of water per year from Lake Austin and the Colorado River, respectively, at prices that may be adjusted periodically by the agencies. Production wells located in a Comal Trinity Groundwater Conservation District, a regulated portion of the Trinity aquifer, are charged a groundwater pump tax based upon usage.</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Water sources at Maine Water vary among the individual systems, but overall approximately 90% of the total dependable yield comes from surface water supplies and 10% from wells. Maine Water has a water supply agreement with the Kennebec Water District expiring in 2040.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sources of water supply, in million gallons, for Water Utility Services: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400" w:type="dxa"/>
            <w:vAlign w:val="bottom"/>
            <w:gridSpan w:val="4"/>
            <w:vMerge w:val="continue"/>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940" w:type="dxa"/>
            <w:vAlign w:val="bottom"/>
          </w:tcPr>
          <w:p>
            <w:pPr>
              <w:spacing w:after="0"/>
              <w:rPr>
                <w:sz w:val="17"/>
                <w:szCs w:val="17"/>
                <w:color w:val="auto"/>
              </w:rPr>
            </w:pPr>
          </w:p>
        </w:tc>
        <w:tc>
          <w:tcPr>
            <w:tcW w:w="1160" w:type="dxa"/>
            <w:vAlign w:val="bottom"/>
            <w:gridSpan w:val="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0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21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SJWC’s unaccounted-for water on a 12-month-to-date basis for September 30, 2022, and 2021 approximated 8.6% and 6.9%,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CTWS’s unaccounted-for water on a 12-month-to-date basis for September 30, 2022, and 2021 was approximately 14.2% and 14.6%, respectively,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Water Production Expenses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change in water production expenses for the three and nine months ended September 30, 2022, compared to the same period in 2021, was primarily attributable to increases in average per unit costs for purchased water, groundwater extraction,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ind w:right="160"/>
        <w:spacing w:after="0" w:line="312" w:lineRule="auto"/>
        <w:rPr>
          <w:sz w:val="20"/>
          <w:szCs w:val="20"/>
          <w:color w:val="auto"/>
        </w:rPr>
      </w:pPr>
      <w:r>
        <w:rPr>
          <w:rFonts w:ascii="Times New Roman" w:cs="Times New Roman" w:eastAsia="Times New Roman" w:hAnsi="Times New Roman"/>
          <w:sz w:val="17"/>
          <w:szCs w:val="17"/>
          <w:color w:val="auto"/>
        </w:rPr>
        <w:t>energy charges and other production expenses, offset by a decrease in customer usage and an increase in available surface water for SJWC. Effective July 1, 2022, Valley Water increased the unit price of purchased water by approximately 14% and the groundwater extraction charge by approximately 15%.</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Expenses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$3,731 for the three months ended September 30, 2022, compared to the same period in 2021. The increase was primarily attributable to increases of $1,692 in depreciation and amortization due to increases in utility plant, $1,196 in administrative and general expenses primarily due to increases in labor, and an increase of $696 in maintenance expenses.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$11,348 for the nine months ended September 30, 2022, compared to the same period in 2021. The increase was primarily attributable to increases of $7,555 in depreciation and amortization due to increases in utility plant and a true up related to Cupertino assets to adjust the useful lives over the concession term, an increase of $6,442 in administrative and general expenses primarily due to increases in labor and changes in cost recovery balancing and memorandum accounts, an increase of $1,453 in taxes other than income due to utility plant increases and an increase of $1,430 in maintenance expenses, partially offset by the gain on sale of vacant land located in California and nonutility property in Texas.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 compared to the same period in 2021, the change in other (expense) income was primarily due to an increase in interest on the line of credit resulting from an increase in borrowings and higher short term borrowing rates, partially offset by a reduction in pension non-service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 compared to the same period in 2021, the change in other (expense) income was primarily due to the</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$3,000 pre-tax gain on sale from the release of a holdback amount by GBRA for the sale of TWA in prior year and a decrease in the return from retirement plan assets, partially offset by a reduction in pension non-service cost.</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compared to the same period in 2021, income tax expense decreased $2,526 and $1,501, respectively. The decrease in income tax expense for the three and nine months ended September 30, 2022 was primarily due to discrete tax items and, for the nine months ended September 30, 2022, lower income.</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effective consolidated income tax rates were 1% and 13% for the three months ended September 30, 2022, and 2021, respectively, and 8% and 11% for the nine months ended September 30, 2022, and 2021, respectively. The lower effective rate for the three and nine months ended September 30, 2022, was primarily due to a tax accounting method change at CTWS related to the non-network assets repairs deduction.</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signed into law. SJW Group has considered the income tax implications of the IRA in its estimated tax provision and does not believe it will materially impact the company’s year-end tax rate.</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and Rates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Condensed Consolidated Financial Statements.”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California Regulatory Affairs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SJWC filed General Rate Case Application No. 21-01-003 (“2022 GRC”) on January 4, 2021, requesting authority for an increase of revenue of $51,585 or 13.35% in 2022, $16,932 or 3.88% in 2023, and $19,195 or 4.24% in 2024. The application included requests to recover $18,499 from balancing and memorandum accounts, authorization for a $435,000 capital budget, further alignment between actual and authorized usage, and a shift to greater revenue collection in the service charge. Due to the delayed CPUC decision, SJWC was approved for interim rates effective January 1, 2022 via Advice Letter No. 573 on December 30, 2021. The authorization of interim rates allows SJWC to retroactively apply the final decision to January 1, 2022. The interim rates approved were set to equal the present rates in effect to avoid customer confusion and short-term bill changes. SJWC and the Public Advocates Office filed an amended settlement agreement resolving all issues in the proceeding on February 4, 2022, for the CPUC’s consideration and adoption. The settlement provides a revenue increase of $54,131 over the three-year period with an increase of $25,074 in 2022 and a recovery of $18,174 from balancing and memorandum accounts. The settlement recognizes the need for continued investments in the water system to deliver safe and reliable water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ind w:right="120"/>
        <w:spacing w:after="0" w:line="261" w:lineRule="auto"/>
        <w:rPr>
          <w:sz w:val="20"/>
          <w:szCs w:val="20"/>
          <w:color w:val="auto"/>
        </w:rPr>
      </w:pPr>
      <w:r>
        <w:rPr>
          <w:rFonts w:ascii="Times New Roman" w:cs="Times New Roman" w:eastAsia="Times New Roman" w:hAnsi="Times New Roman"/>
          <w:sz w:val="18"/>
          <w:szCs w:val="18"/>
          <w:color w:val="auto"/>
        </w:rPr>
        <w:t>service, providing authorization of a three-year $350,000 capital budget. Additionally, it further aligns authorized and actual consumption, particularly for business customers, addresses the water supply mix variability, and provides greater revenue recovery in the fixed charge. The CPUC approved the settlement on October 6, 2022 and issued Decision No. 22-10-005 (“2022 GRC Decision”) on October 11, 2022. SJWC will be filing advice letters to implement new rates and to recover interim revenue and balancing and memorandum accounts in accordance with the 2022 GRC Decision.</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an increase from the current rate of 7.64%, a decrease in the average cost of debt rate from 6.20% to 5.48%, and a return of equity of 10.30%, an increase from the current rate of 8.90%. In addition, the request seeks to adjust SJWC’s currently authorized capital structure of approximately 47% debt and 53% equity to approximately 45% debt and 55% equity. If approved, new rates are expected to be effective in the fourth quarter of 2022.</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December 6, 2019, SJWC filed Application No. 19-12-002 to deploy Advanced Metering Infrastructure (“AMI”) throughout its service area. On August 5, 2021, an all-party settlement agreement was submitted to the CPUC for adoption that would authorize the deployment of AMI outside of the capital budget requested in the 2022 GRC. A final decision approving the settlement agreement was issued on June 10, 2022.</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SJWC filed Advice Letter No. 577 on May 24, 2022 to increase revenue requirement by $24,331 or 5.9% to offset the increases to purchased potable water charges, the groundwater extraction fee, and purchased recycled water charges from its water wholesalers effective July 1, 2022. Advice Letter No. 577 was approved on June 30, 2022.</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October 12, 2022, SJWC filed Advice Letter No. 581 to recover $18,174 in balancing and memorandum accounts in accordance to the 2022 GRC Decision. This filing is pending before the CPUC.</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12, 2022, SJWC filed Advice Letter No. 582 to refund $19,921 accumulated in its WCMA and its Water Conservation Expense Memorandum Account (“WCEMA”) through August 31, 2022. This refund amount will offset the $18,174 requested in Advice Letter No. 581 resulting in a net refund to customers of $1,747. Netting the two balances against each other allows for immediate recovery of the balancing and memorandum accounts and results in less confusion on customer bills. The approvals of both Advice Letter No. 581 and 582 are conditioned on this approach and are pending before the CPUC.</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13, 2022, SJWC filed Advice Letter No. 583 to increase revenue requirement by $25,074 or 6% and implement new water rates in accordance with the 2022 GRC Decision. This filing is anticipated to become effective November 1, 2022, pending the CPUC’s approval.</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Connecticut Regulatory Affairs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26, 2021, Connecticut Water filed for a Water Infrastructure Conservation Adjustment (“WICA”) increase of approximately $21,746 in completed projects. Many of the projects were those that were not considered by PURA in the rate case because of the deadline in the proceeding for pro forma capital additions. On December 22, 2021, PURA approved a WICA surcharge of 2.44% to be added to bills of all Connecticut Water customers, including those of the former The Avon Water Company and The Heritage Village Water Company, effective January 1, 2022 which is expected to generate approximately $2,581 in additional revenue. On February 14, 2022 Connecticut Water filed its 2021 WICA reconciliation with PURA. The reconciliation, approved by PURA on March 16, 2022 and effective for 12 months beginning April 1, 2022, replaced the expiring 2020 reconciliation surcharge of 0.07% with a credit of 0.02%. As a result, the net WICA surcharge, effective April 1, 2022 was 2.35%.</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28, 2022 Connecticut Water filed its 2021 Water Rate Adjustment mechanism (“WRA”). The mechanism reconciles 2021 revenues as authorized in the Company’s most recent rate cases. The 2021 WRA, as approved by PURA on March 30, 2022 and effective for 12 months beginning on April 1, 2022 imposed a 2.85% surcharge on customer bills to collect the 2021 revenue shortfall.</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April 26, 2022, Connecticut Water filed for a WICA increase of $9,779 in completed projects. PURA approved the Company’s application on June 22, 2022. The cumulative WICA charge as of July 1, 2022 is 3.26%, collecting $3,448 on an annual basis.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17, 2022, Connecticut Water submitted an application to PURA for the approval to issue unsecured notes in the amount of $25,000. The notes carry an interest rate of 4.71% and the closing is expected to occur on December 15, 2022. A decision from PURA approving the application was received on August 10,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Texas Regulatory Affairs</w:t>
      </w:r>
    </w:p>
    <w:p>
      <w:pPr>
        <w:spacing w:after="0" w:line="1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CLWSC filed its 2022 Water Pass Through Charge (“WPC”) true-up report for its Canyon Lake water system on January 31, 2022 with the PUCT under Docket No. 53173. The PUCT modified the WPC formula which resulted in a new usage rate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5" w:name="page26"/>
    <w:bookmarkEnd w:id="25"/>
    <w:p>
      <w:pPr>
        <w:ind w:right="420"/>
        <w:spacing w:after="0" w:line="282" w:lineRule="auto"/>
        <w:rPr>
          <w:sz w:val="20"/>
          <w:szCs w:val="20"/>
          <w:color w:val="auto"/>
        </w:rPr>
      </w:pPr>
      <w:r>
        <w:rPr>
          <w:rFonts w:ascii="Times New Roman" w:cs="Times New Roman" w:eastAsia="Times New Roman" w:hAnsi="Times New Roman"/>
          <w:sz w:val="18"/>
          <w:szCs w:val="18"/>
          <w:color w:val="auto"/>
        </w:rPr>
        <w:t>increasing from $0.70 to $0.90 dollars per thousand gallons. The new usage rate was effective March 1, 2022. The true-up report was approved by the PUCT on May 10, 2022 and CLWSC received approval of the new tariff on May 24, 2022.</w:t>
      </w:r>
    </w:p>
    <w:p>
      <w:pPr>
        <w:spacing w:after="0" w:line="5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CLWSC filed its 2022 WPC true-up report for its Kendall West system on June 29, 2022 with the PUCT under Docket No. 53751. CLWSC requested an increase from $2.39 to $3.69 per thousand gallons for the WPC. The WPC increased the rate from $2.39 to $2.56 per thousand gallons on October 1, 2022.</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Maine Regulatory Affairs</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February 28, 2022, Maine Water filed requests for general rate increases in the Camden-Rockland, Freeport, Millinocket and Oakland Divisions. The four filings collectively request $532 in new revenue and seek to reset the WISC in all four divisions. The four cases, while docketed separately, are proceeding through the adjudication process together. Decisions by the Commission in these filings are expected in the fourth quarter of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Operating Activities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2022, SJW Group generated cash flows from operations of approximately $129,300, compared to $100,300 for the same period in 2021.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$29,000. This increase was the result of a combination of the following factors: (1) an increase of $34,200 in regulatory assets primarily due to the recognition of balancing and memorandum accounts, and (2) general working capital and net income, adjusted for non-cash items, increased by $5,200, offset by (3) payments of amounts previously invoiced and accrued including accrued production costs, decreased by $4,500, (4) increase of payments for postretirement benefits of $3,000, and (5) a decrease of $2,900 from higher accounts receivable balances.</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30, 2022, Water Utility Services’ write-offs for uncollectible accounts represented less than 1% of its total revenue, unchanged from September 30, 2021. As of February 1, 2022, the remaining state executive order suspending water service disconnections due to non-payment by customers expired in California. There is no guarantee that the respective state regulators will not reinstate such orders. Management believes that the collection rate for its accounts receivables will gradually return to pre-pandemic levels now that service disconnections are allowable once again to mitigate payment delinquencies. On February 3, 2022, SJWC received $9,757 through the State of California Water and Wastewater Arrearages Payment Program to relieve outstanding payment delinquencies for customers accounts greater that 60-days past due as of June 30, 2021. Bill credits were applied to customer accounts that remained outstanding and the excess of $3,272 was returned to the State of California. The financial impact of certain remaining past due accounts are being recorded for future recovery through the rate-making process. There is no guarantee that such recovery will be approved by the respective state regulatory utility commissions.</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SJW Group used cash flows from investing activities of approximately $181,500, compared to</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$182,900 for the same period in 2021. SJW Group used approximately: (1) $160,500 of cash for company-funded capital expenditures, (2) $17,800 for developer-funded capital expenditures, and (3) $2,400 for utility plant retirements.</w:t>
      </w:r>
    </w:p>
    <w:p>
      <w:pPr>
        <w:spacing w:after="0" w:line="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Water Utility Services’ budgeted capital expenditures for 2022, exclusive of capital expenditures financed by customer contributions and advances, are anticipated to be approximately $223,000. As of September 30, 2022, approximately $160,500 or 72% of the $223,000 has been invested.</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Water Utility Services’ capital expenditures are incurred in connection with normal upgrading and expansion of existing facilities and to comply with environmental regulations. Over the next five years, Water Utility Services expects to incur approximately $1,300,000 in capital expenditures, which includes replacement of pipes and mains, and maintaining water systems.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ind w:right="920"/>
        <w:spacing w:after="0" w:line="282" w:lineRule="auto"/>
        <w:rPr>
          <w:sz w:val="20"/>
          <w:szCs w:val="20"/>
          <w:color w:val="auto"/>
        </w:rPr>
      </w:pPr>
      <w:r>
        <w:rPr>
          <w:rFonts w:ascii="Times New Roman" w:cs="Times New Roman" w:eastAsia="Times New Roman" w:hAnsi="Times New Roman"/>
          <w:sz w:val="18"/>
          <w:szCs w:val="18"/>
          <w:color w:val="auto"/>
        </w:rPr>
        <w:t>exceed Company-financed additions as a result of new facilities construction funded with advances from developers and contributions in aid of construction.</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decreased by approximately $36,400 from the same period in the prior year, primarily as a result of (1) a decrease in net proceeds of $157,100 from lower borrowings on long-term debt and increase of payments to long-term debt, (2) a decrease in net proceeds from our common stock equity offering in prior year of $63,700, (3) an increase of dividends paid to stockholders of $2,700, offset by (4) an increase in net borrowings and repayments on our lines of credit of $189,200.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Sources of Capital:</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Financing Agreements</w:t>
      </w:r>
    </w:p>
    <w:p>
      <w:pPr>
        <w:spacing w:after="0" w:line="1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for long-term capital expenditure financing, working capital, and general corporate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line of credit agreements as of September 30, 2022,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Unused Portion</w:t>
            </w:r>
          </w:p>
        </w:tc>
      </w:tr>
      <w:tr>
        <w:trPr>
          <w:trHeight w:val="23"/>
        </w:trPr>
        <w:tc>
          <w:tcPr>
            <w:tcW w:w="44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254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2027</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SJW Group</w:t>
            </w:r>
          </w:p>
        </w:tc>
        <w:tc>
          <w:tcPr>
            <w:tcW w:w="25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SJWC</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CTWS</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SJWTX, Inc.</w:t>
            </w:r>
          </w:p>
        </w:tc>
        <w:tc>
          <w:tcPr>
            <w:tcW w:w="2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w:t>
            </w:r>
          </w:p>
        </w:tc>
      </w:tr>
      <w:tr>
        <w:trPr>
          <w:trHeight w:val="223"/>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147,500</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rPr>
              <w:t>December 14,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199,170</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150,830</w:t>
            </w:r>
          </w:p>
        </w:tc>
      </w:tr>
      <w:tr>
        <w:trPr>
          <w:trHeight w:val="21"/>
        </w:trPr>
        <w:tc>
          <w:tcPr>
            <w:tcW w:w="4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2, 2022, SJW Group, SJWC, SJWTX, Inc., and CTWS entered into a $300,000 credit agreement (the “Credit Agreement”) with JPMorgan Chase Bank, N.A., as Administrative Agent (“JP Morgan”), Wells Fargo Bank, National Association, as Documentation Agent, and a syndicate of banks. Proceeds of borrowings under the Credit Agreement will be used for refinancing existing debt, working capital, and general corporate purposes. The Credit Agreement has a maturity date of August 2, 2027.</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each of SJW Group, SJWC, SJWTX, Inc., and CTWS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ind w:right="8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representations, warranties and events of default, as well as certain restrictive covenants customary for facilities of this type, including restrictions on indebtedness, liens, asset sales, and fundamental changes. The Credit Agreement also includes a financial covenant that requires each of the borrowers to maintain its funded debt to capitalization ratio at or below 70%.</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Credit Agreement replaces the existing $140,000 credit agreement, dated April 23, 2021, between SJWC and JP Morgan and the existing $5,000 credit agreement, dated April 23, 2021, between SJWTX and JP Morgan, with SJW Group as guarantor, both of which were terminated upon entering into the Credit Agreement and were set to mature on December 31, 2023. In addition, on August 2, 2022, CTWS and Citizens Bank, National Association, entered into a fourth modification to the amended and restated revolving credit facility, dated December 18, 2019, as amended, pursuant to which the credit commitment was reduced from $75,000 to $10,000.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cost of borrowing on the lines of credit averaged 2.79% compared to 1.34% in the same period in 2021.</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September 30, 2022, SJW Group and its subsidiaries were in compliance with all covenants on their lines of credit.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Financing Agreements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SJW Group and its subsidiaries long-term debt activities are for purposes of refinancing short-term borrowings, long-term capital expenditure financing and working capital, and refinancing of maturing long-term debt.</w:t>
      </w:r>
    </w:p>
    <w:p>
      <w:pPr>
        <w:spacing w:after="0" w:line="40"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On April 6, 2022, Maine Water entered into a credit agreement with a commercial bank, pursuant to an existing master loan agreement under which the commercial bank issued Maine Water a promissory note on the same date with an aggregate principal amount of $15,000 at a fixed interest rate of 4.54%, due May 31, 2042. The notes are unsecured obligations of Maine Water. Interest is payable quarterly in arrears on the 20th day of January, April, July and October of each year. The promissory note contains customary representations and warranties. Under the promissory note, Maine Water is required to comply with certain customary affirmative and negative covenants for as long as the notes are outstanding. The notes are also subject to customary events of default, the occurrence of which may result in all of the notes then outstanding becoming immediately due and payable. Proceeds from the borrowing were received on May 13, 2022.</w:t>
      </w:r>
    </w:p>
    <w:p>
      <w:pPr>
        <w:spacing w:after="0" w:line="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28, 2022, Connecticut Water entered into a note purchase agreement with certain affiliates of New York Life Insurance Company, pursuant to which Connecticut Water sold an aggregate principal amount of $25,000 of its 4.71% Senior Notes, Series 2022, due 2052. The closing of the note purchase agreement is expected to occur on December 15, 2022, and is subject to customary closing conditions. The Series 2022 Notes are unsecured obligations of Connecticut Water. Interest is payable semi-annually in arrears on June 15th and December 15th of each year. The note purchase agreement contains customary representations and warranties. Connecticut Water has agreed to customary affirmative and negative covenants for as long as the Series 2022 Notes are outstanding. The Series 2022 Notes are also subject to customary events of default, the occurrence of which may result in all of the Series 2022 Notes then outstanding becoming immediately due and payable.</w:t>
      </w:r>
    </w:p>
    <w:p>
      <w:pPr>
        <w:spacing w:after="0" w:line="8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is expected to occur in January 2023 upon satisfaction of customary closing conditions.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September 30, 2022, SJW Group and its subsidiaries were in compliance with all covenants related to its long-term debt agreements.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Equity Financing Arrangements</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November 17, 2021, SJW Group entered into an equity distribution agreement (the “Equity Distribution Agreement”) with J.P. Morgan Securities LLC, Janney Montgomery Scott LLC, RBC Capital Markets, LLC and Wells Fargo Securities, LLC (each a “Sales Agent” and, collectively, the “Sales Agents”), pursuant to which the company may offer and sell shares of its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common stock, $0.001 par value per share (the “Shares”), from time to time in “at-the-market” offerings, having an aggregate gross sales price of up to $100,000. Pursuant to the Equity Distribution Agreement, the Shares may be offered and sold through the Sales Agents in transactions that are deemed to be “at-the-market” offerings as defined in Rule 415 under the Securities Act of 1933, as amended, including sales by means of ordinary brokers’ transactions on the New York Stock Exchange or otherwise at market prices prevailing at the time of sale, at prices related to the prevailing market prices or at negotiated prices, in block transactions, or as otherwise agreed upon by the company and the Sales Agents. Proceeds from the sale of the shares under the Equity Distribution Agreement can be used in the financing of acquisitions, infrastructure improvements and other capital expenditures, repayment of debt or other corporate obligations, and working capital over the term of the Equity Distribution Agreement as such needs arise. For the three and nine months ended September 30, 2022, SJW Group issued and sold a total of 47,608 shares of common stock with a weighted average price of $66.26 per share and received approximately $3,107 in net proceeds under the Equity Distribution Agreement. Since the inception of the Equity Distribution Agreement, SJW Group has issued and sold 402,723 shares of common stock with a weighted average price of $69.91 for a total net proceeds of $27,360 and has a remaining $71,845 under the Equity Distribution Agreement to issue into shares.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Credit Rating</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2022 and 2021 activities, we will have access to the external funding sources necessary to implement our on-going capital investment programs in the future. The current Standard &amp; Poor’s Rating Service assigned company rating for SJW Group is an A-, with a stable outlook, for SJWC is an A, with a stable outlook, CTWS is an A- with a stable outlook, and Connecticut Water is an A- with a stable outlook.</w:t>
      </w:r>
    </w:p>
    <w:p>
      <w:pPr>
        <w:spacing w:after="0" w:line="3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4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SJW Group has no derivative financial instruments, financial instruments with significant off-balance sheet risks, or financial instruments with concentrations of credit risk.</w:t>
      </w:r>
    </w:p>
    <w:p>
      <w:pPr>
        <w:spacing w:after="0" w:line="29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third fiscal quarter of 2022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the “Risk Factors” in SJW Group’s Form 10-K for the year ended December 31, 2021 and our other public filings, which could materially affect our business, financial condition or future results. There has been no material changes from risk factors previously disclosed in “Risk Factors” in SJW Group’s Form 10-K for the year ended December 31, 2021 and any Form 10-Q filed after Form 10-K for the quarterly periods in 2022.</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Quarterly Dividend</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26, 2022, the Board of Directors of SJW Group declared the regular quarterly dividend of $0.36 per share of common stock. The dividend will be paid on December 1, 2022, to stockholders of record as of the close of business on November 7, 2022.</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Web Sites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SJW Group posts information about the operating and financial performance of SJW Group and its subsidiaries on its web sites at www.sjwgroup.com, www.sjwater.com, www.ctwater.com, www.sjwtx.com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2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80" w:type="dxa"/>
            <w:vAlign w:val="bottom"/>
            <w:gridSpan w:val="11"/>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Credit Agreement, dated August 2, 2022, by and among the Company, San Jose Water Company, SJWTX, Inc., Connecticut Water</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Service Inc., JPMorgan Chase Bank, N.A., and Wells Fargo Bank, National Association. Incorporated by reference to Exhibit 10.1</w:t>
              </w:r>
            </w:hyperlink>
          </w:p>
        </w:tc>
        <w:tc>
          <w:tcPr>
            <w:tcW w:w="340" w:type="dxa"/>
            <w:vAlign w:val="bottom"/>
            <w:gridSpan w:val="4"/>
          </w:tcPr>
          <w:p>
            <w:pPr>
              <w:ind w:left="20"/>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Form 8-K filed on August 5, 2022.</w:t>
              </w:r>
            </w:hyperlink>
          </w:p>
        </w:tc>
        <w:tc>
          <w:tcPr>
            <w:tcW w:w="70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Amendment Letter, effective October 6, 2022, to the Amended and Restated Employment Agreement of Maureen Westbrook.</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 xml:space="preserve">Incorporated by reference to Exhibit 10.1 to Form 8-K filed on October 7, 2022. </w:t>
              </w:r>
              <w:r>
                <w:rPr>
                  <w:rFonts w:ascii="Times New Roman" w:cs="Times New Roman" w:eastAsia="Times New Roman" w:hAnsi="Times New Roman"/>
                  <w:sz w:val="18"/>
                  <w:szCs w:val="18"/>
                  <w:color w:val="000000"/>
                </w:rPr>
                <w:t>(2)</w:t>
              </w:r>
            </w:hyperlink>
          </w:p>
        </w:tc>
        <w:tc>
          <w:tcPr>
            <w:tcW w:w="2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SJW Group Amended and Restated Director Compensation and Expense Reimbursement Policies effective as of January 1, 2023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0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90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 xml:space="preserve">Amended and Restated Formulaic Equity Award Program for Non-Employee Board Members effective as of January 1, 2023 </w:t>
            </w:r>
            <w:r>
              <w:rPr>
                <w:rFonts w:ascii="Times New Roman" w:cs="Times New Roman" w:eastAsia="Times New Roman" w:hAnsi="Times New Roman"/>
                <w:sz w:val="18"/>
                <w:szCs w:val="18"/>
                <w:color w:val="000000"/>
              </w:rPr>
              <w:t>(1)(2)</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Chairman, President and Chief Executive Officer. </w:t>
            </w:r>
            <w:r>
              <w:rPr>
                <w:rFonts w:ascii="Times New Roman" w:cs="Times New Roman" w:eastAsia="Times New Roman" w:hAnsi="Times New Roman"/>
                <w:sz w:val="18"/>
                <w:szCs w:val="18"/>
                <w:color w:val="000000"/>
              </w:rPr>
              <w:t>(1)</w:t>
            </w:r>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Financial Officer and Treasurer. </w:t>
            </w:r>
            <w:r>
              <w:rPr>
                <w:rFonts w:ascii="Times New Roman" w:cs="Times New Roman" w:eastAsia="Times New Roman" w:hAnsi="Times New Roman"/>
                <w:sz w:val="18"/>
                <w:szCs w:val="18"/>
                <w:color w:val="000000"/>
              </w:rPr>
              <w:t>(1)</w:t>
            </w:r>
          </w:p>
        </w:tc>
        <w:tc>
          <w:tcPr>
            <w:tcW w:w="2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Chairman, President and Chief Executive Officer, as adopted pursuant to Section</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906 of the Sarbanes-Oxley Act of 2002. </w:t>
            </w:r>
            <w:r>
              <w:rPr>
                <w:rFonts w:ascii="Times New Roman" w:cs="Times New Roman" w:eastAsia="Times New Roman" w:hAnsi="Times New Roman"/>
                <w:sz w:val="18"/>
                <w:szCs w:val="18"/>
                <w:color w:val="000000"/>
              </w:rPr>
              <w:t>(1)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Sarbanes-Oxley Act of 2002. </w:t>
            </w:r>
            <w:r>
              <w:rPr>
                <w:rFonts w:ascii="Times New Roman" w:cs="Times New Roman" w:eastAsia="Times New Roman" w:hAnsi="Times New Roman"/>
                <w:sz w:val="18"/>
                <w:szCs w:val="18"/>
                <w:color w:val="000000"/>
              </w:rPr>
              <w:t>(1)</w:t>
            </w: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80" w:hanging="1454"/>
        <w:spacing w:after="0"/>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Times New Roman" w:cs="Times New Roman" w:eastAsia="Times New Roman" w:hAnsi="Times New Roman"/>
          <w:sz w:val="18"/>
          <w:szCs w:val="18"/>
          <w:b w:val="1"/>
          <w:bCs w:val="1"/>
          <w:color w:val="auto"/>
        </w:rPr>
        <w:t>DATE: October 28, 2022</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19685</wp:posOffset>
            </wp:positionV>
            <wp:extent cx="3077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Andrew F. Walters</w:t>
      </w:r>
    </w:p>
    <w:p>
      <w:pPr>
        <w:spacing w:after="0" w:line="1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ind w:left="63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887" w:right="379" w:bottom="1440" w:gutter="0" w:footer="0" w:header="0"/>
        </w:sectPr>
      </w:pPr>
    </w:p>
    <w:bookmarkStart w:id="32" w:name="page33"/>
    <w:bookmarkEnd w:id="32"/>
    <w:p>
      <w:pPr>
        <w:ind w:left="9760"/>
        <w:spacing w:after="0"/>
        <w:rPr>
          <w:sz w:val="20"/>
          <w:szCs w:val="20"/>
          <w:color w:val="auto"/>
        </w:rPr>
      </w:pPr>
      <w:r>
        <w:rPr>
          <w:rFonts w:ascii="Times New Roman" w:cs="Times New Roman" w:eastAsia="Times New Roman" w:hAnsi="Times New Roman"/>
          <w:sz w:val="25"/>
          <w:szCs w:val="25"/>
          <w:b w:val="1"/>
          <w:bCs w:val="1"/>
          <w:u w:val="single" w:color="auto"/>
          <w:color w:val="auto"/>
        </w:rPr>
        <w:t>SJW GROUP</w:t>
      </w:r>
    </w:p>
    <w:p>
      <w:pPr>
        <w:spacing w:after="0" w:line="223" w:lineRule="exact"/>
        <w:rPr>
          <w:sz w:val="20"/>
          <w:szCs w:val="20"/>
          <w:color w:val="auto"/>
        </w:rPr>
      </w:pPr>
    </w:p>
    <w:p>
      <w:pPr>
        <w:jc w:val="right"/>
        <w:ind w:left="4860"/>
        <w:spacing w:after="0" w:line="238" w:lineRule="auto"/>
        <w:rPr>
          <w:sz w:val="20"/>
          <w:szCs w:val="20"/>
          <w:color w:val="auto"/>
        </w:rPr>
      </w:pPr>
      <w:r>
        <w:rPr>
          <w:rFonts w:ascii="Times New Roman" w:cs="Times New Roman" w:eastAsia="Times New Roman" w:hAnsi="Times New Roman"/>
          <w:sz w:val="22"/>
          <w:szCs w:val="22"/>
          <w:b w:val="1"/>
          <w:bCs w:val="1"/>
          <w:color w:val="auto"/>
        </w:rPr>
        <w:t>AMENDED AND RESTATED DIRECTOR COMPENSATION AND EXPENSE REIMBURSEMENT POLICIES</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Effective as of January 1, 2023</w:t>
      </w:r>
    </w:p>
    <w:p>
      <w:pPr>
        <w:spacing w:after="0" w:line="206"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DIRECTOR COMPENSATION.</w:t>
      </w:r>
    </w:p>
    <w:p>
      <w:pPr>
        <w:spacing w:after="0" w:line="206"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ROLE OF THE EXECUTIVE COMPENSATION COMMITTEE.</w:t>
      </w:r>
    </w:p>
    <w:p>
      <w:pPr>
        <w:spacing w:after="0" w:line="210" w:lineRule="exact"/>
        <w:rPr>
          <w:sz w:val="20"/>
          <w:szCs w:val="20"/>
          <w:color w:val="auto"/>
        </w:rPr>
      </w:pPr>
    </w:p>
    <w:p>
      <w:pPr>
        <w:ind w:right="240" w:firstLine="212"/>
        <w:spacing w:after="0" w:line="220" w:lineRule="auto"/>
        <w:rPr>
          <w:sz w:val="20"/>
          <w:szCs w:val="20"/>
          <w:color w:val="auto"/>
        </w:rPr>
      </w:pPr>
      <w:r>
        <w:rPr>
          <w:rFonts w:ascii="Times New Roman" w:cs="Times New Roman" w:eastAsia="Times New Roman" w:hAnsi="Times New Roman"/>
          <w:sz w:val="22"/>
          <w:szCs w:val="22"/>
          <w:color w:val="auto"/>
        </w:rPr>
        <w:t>The SJW Group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w:t>
      </w:r>
    </w:p>
    <w:p>
      <w:pPr>
        <w:spacing w:after="0" w:line="175"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POLICIES.</w:t>
      </w:r>
    </w:p>
    <w:p>
      <w:pPr>
        <w:spacing w:after="0" w:line="183" w:lineRule="exact"/>
        <w:rPr>
          <w:rFonts w:ascii="Times New Roman" w:cs="Times New Roman" w:eastAsia="Times New Roman" w:hAnsi="Times New Roman"/>
          <w:sz w:val="22"/>
          <w:szCs w:val="22"/>
          <w:color w:val="auto"/>
        </w:rPr>
      </w:pPr>
    </w:p>
    <w:p>
      <w:pPr>
        <w:ind w:left="600" w:hanging="376"/>
        <w:spacing w:after="0"/>
        <w:tabs>
          <w:tab w:leader="none" w:pos="6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SJW Group (“SJW”) shall pay the Chairman of its Board who is not employed by SJW or any of its subsidiaries (a “Non-Employee Director”) an annual retainer of $100,000.</w:t>
      </w:r>
    </w:p>
    <w:p>
      <w:pPr>
        <w:spacing w:after="0" w:line="150" w:lineRule="exact"/>
        <w:rPr>
          <w:sz w:val="20"/>
          <w:szCs w:val="20"/>
          <w:color w:val="auto"/>
        </w:rPr>
      </w:pPr>
    </w:p>
    <w:p>
      <w:pPr>
        <w:jc w:val="both"/>
        <w:ind w:right="460" w:firstLine="648"/>
        <w:spacing w:after="0" w:line="225" w:lineRule="auto"/>
        <w:rPr>
          <w:sz w:val="20"/>
          <w:szCs w:val="20"/>
          <w:color w:val="auto"/>
        </w:rPr>
      </w:pPr>
      <w:r>
        <w:rPr>
          <w:rFonts w:ascii="Times New Roman" w:cs="Times New Roman" w:eastAsia="Times New Roman" w:hAnsi="Times New Roman"/>
          <w:sz w:val="22"/>
          <w:szCs w:val="22"/>
          <w:color w:val="auto"/>
        </w:rPr>
        <w:t>SJW shall pay each of its other Non-Employee Directors an annual retainer of $75,000. SJW shall also pay an annual retainer of $15,000 to the SJW Audit Committee Chair, $12,500 to the SJW Executive Compensation Committee Chair and $10,000 to each of the other SJW Board Committee Chairs who are each Non-Employee Directors.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SJW shall pay its Lead Independent Director an additional annual retainer of $25,000.</w:t>
      </w:r>
    </w:p>
    <w:p>
      <w:pPr>
        <w:spacing w:after="0" w:line="179"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No additional retainer shall be paid to a Non-Employee Director for serving on a subsidiary board, except that the special independent director who will serve on the board of SJWNE LLC (and will not be serving on the SJW Board) will receive an aggregate annual retainer of $50,000 for serving on such board and any other subsidiary boards.</w:t>
      </w:r>
    </w:p>
    <w:p>
      <w:pPr>
        <w:spacing w:after="0" w:line="153" w:lineRule="exact"/>
        <w:rPr>
          <w:sz w:val="20"/>
          <w:szCs w:val="20"/>
          <w:color w:val="auto"/>
        </w:rPr>
      </w:pPr>
    </w:p>
    <w:p>
      <w:pPr>
        <w:ind w:left="600" w:hanging="376"/>
        <w:spacing w:after="0"/>
        <w:tabs>
          <w:tab w:leader="none" w:pos="6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and Committee Meetings Held In Person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The meeting fees set forth in this section shall be paid to the Non-Employee Directors in connection with SJW Board and SJW Committee meetings held in person.</w:t>
      </w:r>
    </w:p>
    <w:p>
      <w:pPr>
        <w:spacing w:after="0" w:line="150"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22"/>
          <w:szCs w:val="22"/>
          <w:color w:val="auto"/>
        </w:rPr>
        <w:t>All Non-Employee Directors of SJW shall be paid $1,500 for each SJW Board or SJW Committee meeting attended in person, including the SJW strategic planning meeting.</w:t>
      </w:r>
    </w:p>
    <w:p>
      <w:pPr>
        <w:spacing w:after="0" w:line="150"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2"/>
          <w:szCs w:val="22"/>
          <w:color w:val="auto"/>
        </w:rPr>
        <w:t>In the event a Non-Employee Director attends an in-person SJW Board or SJW Committee meeting by telephone, he or she shall be entitled to receive the meeting fees set forth above in this section for the first meeting attended by telephone in a calendar year and half of such meeting fees for subsequent meetings attended by telephone in the same calendar year.</w:t>
      </w:r>
    </w:p>
    <w:p>
      <w:pPr>
        <w:spacing w:after="0" w:line="153" w:lineRule="exact"/>
        <w:rPr>
          <w:sz w:val="20"/>
          <w:szCs w:val="20"/>
          <w:color w:val="auto"/>
        </w:rPr>
      </w:pPr>
    </w:p>
    <w:p>
      <w:pPr>
        <w:ind w:left="600" w:hanging="376"/>
        <w:spacing w:after="0"/>
        <w:tabs>
          <w:tab w:leader="none" w:pos="6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and Committee Meetings Held Telephonically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400" w:firstLine="648"/>
        <w:spacing w:after="0" w:line="236" w:lineRule="auto"/>
        <w:rPr>
          <w:sz w:val="20"/>
          <w:szCs w:val="20"/>
          <w:color w:val="auto"/>
        </w:rPr>
      </w:pPr>
      <w:r>
        <w:rPr>
          <w:rFonts w:ascii="Times New Roman" w:cs="Times New Roman" w:eastAsia="Times New Roman" w:hAnsi="Times New Roman"/>
          <w:sz w:val="22"/>
          <w:szCs w:val="22"/>
          <w:color w:val="auto"/>
        </w:rPr>
        <w:t>The meeting fees set forth in this section shall be paid to Non-Employee Directors in connection with SJW Board and SJW Committee meetings held telephonically.</w:t>
      </w:r>
    </w:p>
    <w:p>
      <w:pPr>
        <w:sectPr>
          <w:pgSz w:w="11900" w:h="16838" w:orient="portrait"/>
          <w:cols w:equalWidth="0" w:num="1">
            <w:col w:w="11240"/>
          </w:cols>
          <w:pgMar w:left="320" w:top="1380" w:right="339" w:bottom="1440" w:gutter="0" w:footer="0" w:header="0"/>
        </w:sectPr>
      </w:pPr>
    </w:p>
    <w:bookmarkStart w:id="33" w:name="page34"/>
    <w:bookmarkEnd w:id="33"/>
    <w:p>
      <w:pPr>
        <w:ind w:right="320" w:firstLine="648"/>
        <w:spacing w:after="0" w:line="236" w:lineRule="auto"/>
        <w:rPr>
          <w:sz w:val="20"/>
          <w:szCs w:val="20"/>
          <w:color w:val="auto"/>
        </w:rPr>
      </w:pPr>
      <w:r>
        <w:rPr>
          <w:rFonts w:ascii="Times New Roman" w:cs="Times New Roman" w:eastAsia="Times New Roman" w:hAnsi="Times New Roman"/>
          <w:sz w:val="22"/>
          <w:szCs w:val="22"/>
          <w:color w:val="auto"/>
        </w:rPr>
        <w:t>All Non-Employee Directors of SJW shall be paid $1,500 for each SJW Board or SJW Committee meeting attended, including the SJW strategic planning meeting.</w:t>
      </w:r>
    </w:p>
    <w:p>
      <w:pPr>
        <w:spacing w:after="0" w:line="150" w:lineRule="exact"/>
        <w:rPr>
          <w:sz w:val="20"/>
          <w:szCs w:val="20"/>
          <w:color w:val="auto"/>
        </w:rPr>
      </w:pPr>
    </w:p>
    <w:p>
      <w:pPr>
        <w:ind w:left="600" w:hanging="376"/>
        <w:spacing w:after="0"/>
        <w:tabs>
          <w:tab w:leader="none" w:pos="6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Plan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60" w:firstLine="216"/>
        <w:spacing w:after="0" w:line="225" w:lineRule="auto"/>
        <w:rPr>
          <w:sz w:val="20"/>
          <w:szCs w:val="20"/>
          <w:color w:val="auto"/>
        </w:rPr>
      </w:pPr>
      <w:r>
        <w:rPr>
          <w:rFonts w:ascii="Times New Roman" w:cs="Times New Roman" w:eastAsia="Times New Roman" w:hAnsi="Times New Roman"/>
          <w:sz w:val="22"/>
          <w:szCs w:val="22"/>
          <w:color w:val="auto"/>
        </w:rPr>
        <w:t>Non-Employee Directors may be eligible to participate in SJW’s Long-Term Incentive Plan, as amended (“LTIP”), and may also be eligible to participate in programs now or hereafter established thereunder, as more fully set forth in the LTIP and the programs established thereunder.</w:t>
      </w:r>
    </w:p>
    <w:p>
      <w:pPr>
        <w:spacing w:after="0" w:line="152" w:lineRule="exact"/>
        <w:rPr>
          <w:sz w:val="20"/>
          <w:szCs w:val="20"/>
          <w:color w:val="auto"/>
        </w:rPr>
      </w:pPr>
    </w:p>
    <w:p>
      <w:pPr>
        <w:ind w:left="600" w:hanging="376"/>
        <w:spacing w:after="0"/>
        <w:tabs>
          <w:tab w:leader="none" w:pos="6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Pension Plan.</w:t>
      </w:r>
    </w:p>
    <w:p>
      <w:pPr>
        <w:spacing w:after="0" w:line="17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As more fully set forth in a resolution adopted by SJW’s Board of Directors on October 25, 2007 which amends the September 22, 1999 resolution, when a director ceases to be a director of SJW, he or she shall receive a benefit equal to one half of the aggregate annual retainer for service on the Board of Directors of SJW and the Boards of Directors of San Jose Water Company and SJW Land Company as in effect at the time such director ceases to be a director (the “Director Pension Plan”). This benefit will be paid to the director, his beneficiary or his estate, for the number of years the director served on the SJW Board until December 31, 2007 up to a maximum of 10 years. These payments will be made with the same frequency as the ongoing Directors retainers. Only Non-Employee Directors who were on the SJW Board in 2003 and did not elect, in 2003, to have their existing Director Pension Plan benefits converted into deferred restricted stock pursuant to the Deferred Restricted Stock Program participate in the Director Pension Plan. All other Non-Employee Directors are not eligible to participate in the Director Pension Plan.</w:t>
      </w:r>
    </w:p>
    <w:p>
      <w:pPr>
        <w:spacing w:after="0" w:line="17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EXPENSE REIMBURSEMENT.</w:t>
      </w:r>
    </w:p>
    <w:p>
      <w:pPr>
        <w:spacing w:after="0" w:line="224"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22"/>
          <w:szCs w:val="22"/>
          <w:color w:val="auto"/>
        </w:rPr>
        <w:t>All reasonable expenses incurred by a Non-Employee Director in connection with his or her attendance at an SJW Board Meeting, a subsidiary board meeting, SJW Committee Meeting or other SJW meeting, which shall include the expense of traveling first class for any travel within the United States, shall be reimbursed.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Adopted by the Board and effective as of January 1, 2023</w:t>
            </w:r>
          </w:p>
        </w:tc>
        <w:tc>
          <w:tcPr>
            <w:tcW w:w="100" w:type="dxa"/>
            <w:vAlign w:val="bottom"/>
          </w:tcPr>
          <w:p>
            <w:pPr>
              <w:spacing w:after="0"/>
              <w:rPr>
                <w:sz w:val="21"/>
                <w:szCs w:val="21"/>
                <w:color w:val="auto"/>
              </w:rPr>
            </w:pPr>
          </w:p>
        </w:tc>
        <w:tc>
          <w:tcPr>
            <w:tcW w:w="2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/s/ Willie Brown</w:t>
            </w:r>
          </w:p>
        </w:tc>
        <w:tc>
          <w:tcPr>
            <w:tcW w:w="2820" w:type="dxa"/>
            <w:vAlign w:val="bottom"/>
          </w:tcPr>
          <w:p>
            <w:pPr>
              <w:spacing w:after="0"/>
              <w:rPr>
                <w:sz w:val="21"/>
                <w:szCs w:val="21"/>
                <w:color w:val="auto"/>
              </w:rPr>
            </w:pPr>
          </w:p>
        </w:tc>
      </w:tr>
      <w:tr>
        <w:trPr>
          <w:trHeight w:val="276"/>
        </w:trPr>
        <w:tc>
          <w:tcPr>
            <w:tcW w:w="5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Willie Brown, VP, General Counsel, and Corp.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1395" w:right="499" w:bottom="1440" w:gutter="0" w:footer="0" w:header="0"/>
        </w:sectPr>
      </w:pPr>
    </w:p>
    <w:bookmarkStart w:id="34" w:name="page35"/>
    <w:bookmarkEnd w:id="34"/>
    <w:p>
      <w:pPr>
        <w:ind w:left="4980"/>
        <w:spacing w:after="0"/>
        <w:rPr>
          <w:sz w:val="20"/>
          <w:szCs w:val="20"/>
          <w:color w:val="auto"/>
        </w:rPr>
      </w:pPr>
      <w:r>
        <w:rPr>
          <w:rFonts w:ascii="Times New Roman" w:cs="Times New Roman" w:eastAsia="Times New Roman" w:hAnsi="Times New Roman"/>
          <w:sz w:val="22"/>
          <w:szCs w:val="22"/>
          <w:b w:val="1"/>
          <w:bCs w:val="1"/>
          <w:color w:val="auto"/>
        </w:rPr>
        <w:t>SJW GROUP</w:t>
      </w:r>
    </w:p>
    <w:p>
      <w:pPr>
        <w:spacing w:after="0" w:line="19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AMENDED AND RESTATED FORMULAIC EQUITY AWARD PROGRAM</w:t>
      </w: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BOARD MEMBERS</w:t>
      </w:r>
    </w:p>
    <w:p>
      <w:pPr>
        <w:spacing w:after="0" w:line="178"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IMPLEMENTATION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award program (the “Automatic Grant Program”) is implemented under the SJW Group Long-Term Incentive Plan, as amended and restated on July 29, 2015 and October 28, 2021 (the “Plan”) and shall become effective at the close of business on January 1, 2023, subject to ratification by the Board of Directors (the “Board”) of SJW Group (the “Corporation”).</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Unless indicated to the contrary, all capitalized terms in this Automatic Grant Program shall have the meanings assigned to them in the Appendix to the Plan.</w:t>
      </w:r>
    </w:p>
    <w:p>
      <w:pPr>
        <w:spacing w:after="0" w:line="146"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TERMS</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Automatic Grants</w:t>
      </w:r>
      <w:r>
        <w:rPr>
          <w:rFonts w:ascii="Times New Roman" w:cs="Times New Roman" w:eastAsia="Times New Roman" w:hAnsi="Times New Roman"/>
          <w:sz w:val="21"/>
          <w:szCs w:val="21"/>
          <w:color w:val="auto"/>
        </w:rPr>
        <w:t>. The Awards to be made pursuant to the Automatic Grant Program shall be as follows: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4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close of business on the date of each annual meeting of the Corporation’s shareholders, beginning with the 2022 Annual Meeting, each individual who is elected or re-elected to serve as a non-employee Board member shall automatically be granted an Award in the form of restricted stock units covering that number of shares of Common Stock (rounded up to the next whole share) determined by dividing the Applicable Annual Amount (as defined below) by the Fair Market Value per share on such date.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individual who commences service as a non-employee Board member following the date of an annual meeting of the Corporation’s shareholders, but before the date that is two months prior to the next annual meeting of the Corporation’s shareholders (the “New Non-Employee Director”), shall automatically be granted an Award (the “New Non-Employee Director Award”) on the date of commencement of such service in the form of restricted stock units covering that number of shares of Common Stock (rounded up to the next whole share) determined by (i) dividing the Applicable Annual Amount by the Fair Market Value per share on the date of grant of the New Non-Employee Director Award, and (ii) multiplying the number obtained from clause (i) by a fraction, with the numerator being the number of months (with each partial month rounded up to a whole number) elapsed from the date the New Non-Employee Director commenced service to the estimated date of the next annual meeting of the Corporation’s shareholders, and the denominator being twelve (12). Each New Non-Employee Director shall be eligible for an Award pursuant to the terms of paragraph A.1 of this Section as of the next annual meeting following the date the New Non-Employee Director commences service as a non-employee Board member.</w:t>
      </w:r>
    </w:p>
    <w:p>
      <w:pPr>
        <w:spacing w:after="0" w:line="157"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Annual Amount shall be Ninety-Five Thousand Dollars ($95,000.00) per non-employee Board member for the Awards to be made at each annual meeting of the Corporation’s shareholders, commencing with the 2023 Annual Meeting.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unit awarded under the Automatic Grant Program shall entitle the non-employee Board member to one share of Common Stock on the applicable vesting date of that unit.</w:t>
      </w:r>
    </w:p>
    <w:p>
      <w:pPr>
        <w:sectPr>
          <w:pgSz w:w="11900" w:h="16838" w:orient="portrait"/>
          <w:cols w:equalWidth="0" w:num="1">
            <w:col w:w="11240"/>
          </w:cols>
          <w:pgMar w:left="320" w:top="1391" w:right="339" w:bottom="1440" w:gutter="0" w:footer="0" w:header="0"/>
        </w:sectPr>
      </w:pPr>
    </w:p>
    <w:bookmarkStart w:id="35" w:name="page36"/>
    <w:bookmarkEnd w:id="35"/>
    <w:p>
      <w:pPr>
        <w:ind w:left="1300" w:hanging="644"/>
        <w:spacing w:after="0"/>
        <w:tabs>
          <w:tab w:leader="none" w:pos="13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and Issuance of Shares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stock unit award granted under paragraph A.1. of this Section shall vest in full upon the non-employee Board member’s continuation in Board service through the date of the first annual shareholders meeting following the annual shareholders meeting at which that restricted stock unit award was made.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stock unit award granted under paragraph A.2. of this Section shall vest on the one-year anniversary of the date such award was granted, subject to the non-employee Board member’s continuation in Board service through such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non-employee Board member (including any New Non-Employee Director) ceases Board service by reason of death or Permanent Disability prior to the vesting date set forth herein, then his or her restricted stock unit award outstanding under the Automatic Grant Program at the time of such cessation of Board service shall immediately vest in full at that time.</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44"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Common Stock underlying each restricted stock unit award which vests in accordance with the foregoing vesting provisions shall be issued as soon as administratively practicable following the vesting date, but in no event more than fifteen (15) business days after such vesting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None of the restricted stock unit awards granted under the Automatic Grant Program shall include any dividend equivalent rights, and the holder of each restricted stock unit award under the Automatic Grant Program shall not have any shareholder rights with respect to the shares of Common Stock subject to that award until the award vests and the shares of Common Stock are issued to such holder.</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of Issued Shares</w:t>
      </w:r>
      <w:r>
        <w:rPr>
          <w:rFonts w:ascii="Times New Roman" w:cs="Times New Roman" w:eastAsia="Times New Roman" w:hAnsi="Times New Roman"/>
          <w:sz w:val="22"/>
          <w:szCs w:val="22"/>
          <w:color w:val="auto"/>
        </w:rPr>
        <w:t>. Each non-employee Board member who participates in the Automatic Grant Program shall, with respect to each restricted stock unit award he or she receives under such program, retain beneficial ownership of at least fifty percent (50%) of the shares of Common Stock issued in connection with the vesting of that award until such time as such individual is in compliance with the equity ownership guidelines that the Corporation from time to time establishes for its non-employee Board members. In no event may the non-employee Board member sell or otherwise transfer beneficial ownership of more than fifty percent (50%) of the shares issued to him or her under the Automatic Grant Program unless he or she is at the time of such sale or transfer in full compliance with the equity ownership guidelines in effect at that time for the non-employee Board members.</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1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Should the non-employee Board member continue in Board service until the effective date of an actual Change in Control transaction, then the shares of Common Stock subject to any outstanding restricted stock unit award made to such Board member under the Automatic Grant Program shall, immediately prior to the effective date of that Change in Control transaction, vest in full and shall be issued to him or her as soon as administratively practicable thereafter, but in no event more than fifteen (15) business days after such effective date, or shall otherwise be converted into the right to receive the same consideration per share of Common Stock payable to the other stockholders in the Change in Control and distributed at the same time as such stockholder payments, but in no event later than the later of (i) the close of the calendar year in which such Change in Control is effected or (ii) the fifteenth (15th) day of the third (3rd) calendar month following the effective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W. THORNBURG</w:t>
            </w:r>
          </w:p>
        </w:tc>
      </w:tr>
      <w:tr>
        <w:trPr>
          <w:trHeight w:val="218"/>
        </w:trPr>
        <w:tc>
          <w:tcPr>
            <w:tcW w:w="57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Thornburg</w:t>
            </w:r>
          </w:p>
        </w:tc>
      </w:tr>
      <w:tr>
        <w:trPr>
          <w:trHeight w:val="229"/>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SJW Group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ANDREWS F. WALTERS</w:t>
            </w:r>
          </w:p>
        </w:tc>
      </w:tr>
      <w:tr>
        <w:trPr>
          <w:trHeight w:val="218"/>
        </w:trPr>
        <w:tc>
          <w:tcPr>
            <w:tcW w:w="58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September 30, 2022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Eric W. Thornburg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2022</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SJW Group (the “Company”) on Form 10-Q for the quarter ended September 30, 2022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126"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lvl w:ilvl="1">
      <w:lvlJc w:val="left"/>
      <w:lvlText w:val="%2"/>
      <w:numFmt w:val="decimal"/>
      <w:start w:val="104"/>
    </w:lvl>
  </w:abstractNum>
  <w:abstractNum w:abstractNumId="7">
    <w:nsid w:val="6B68079A"/>
    <w:multiLevelType w:val="hybridMultilevel"/>
    <w:lvl w:ilvl="0">
      <w:lvlJc w:val="left"/>
      <w:lvlText w:val="(%1)"/>
      <w:numFmt w:val="decimal"/>
      <w:start w:val="1"/>
    </w:lvl>
    <w:lvl w:ilvl="1">
      <w:lvlJc w:val="left"/>
      <w:lvlText w:val="%2"/>
      <w:numFmt w:val="decimal"/>
      <w:start w:val="1"/>
    </w:lvl>
  </w:abstractNum>
  <w:abstractNum w:abstractNumId="8">
    <w:nsid w:val="4E6AFB66"/>
    <w:multiLevelType w:val="hybridMultilevel"/>
    <w:lvl w:ilvl="0">
      <w:lvlJc w:val="left"/>
      <w:lvlText w:val="%1."/>
      <w:numFmt w:val="upperLetter"/>
      <w:start w:val="9"/>
    </w:lvl>
  </w:abstractNum>
  <w:abstractNum w:abstractNumId="9">
    <w:nsid w:val="25E45D32"/>
    <w:multiLevelType w:val="hybridMultilevel"/>
    <w:lvl w:ilvl="0">
      <w:lvlJc w:val="left"/>
      <w:lvlText w:val="%1."/>
      <w:numFmt w:val="upperLetter"/>
      <w:start w:val="1"/>
    </w:lvl>
  </w:abstractNum>
  <w:abstractNum w:abstractNumId="10">
    <w:nsid w:val="519B500D"/>
    <w:multiLevelType w:val="hybridMultilevel"/>
    <w:lvl w:ilvl="0">
      <w:lvlJc w:val="left"/>
      <w:lvlText w:val="%1."/>
      <w:numFmt w:val="upperLetter"/>
      <w:start w:val="2"/>
    </w:lvl>
    <w:lvl w:ilvl="1">
      <w:lvlJc w:val="left"/>
      <w:lvlText w:val="%2."/>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upperLetter"/>
      <w:start w:val="35"/>
    </w:lvl>
  </w:abstractNum>
  <w:abstractNum w:abstractNumId="16">
    <w:nsid w:val="436C6125"/>
    <w:multiLevelType w:val="hybridMultilevel"/>
    <w:lvl w:ilvl="0">
      <w:lvlJc w:val="left"/>
      <w:lvlText w:val="%1."/>
      <w:numFmt w:val="upperLetter"/>
      <w:start w:val="9"/>
    </w:lvl>
  </w:abstractNum>
  <w:abstractNum w:abstractNumId="17">
    <w:nsid w:val="628C895D"/>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8">
    <w:nsid w:val="333AB105"/>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5"/>
    </w:lvl>
  </w:abstractNum>
  <w:abstractNum w:abstractNumId="19">
    <w:nsid w:val="721DA317"/>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7" Type="http://schemas.openxmlformats.org/officeDocument/2006/relationships/hyperlink" Target="http://www.sec.gov/Archives/edgar/data/766829/000119312522213665/d261758dex101.htm" TargetMode="External"/><Relationship Id="rId58" Type="http://schemas.openxmlformats.org/officeDocument/2006/relationships/hyperlink" Target="http://www.sec.gov/Archives/edgar/data/766829/000119312522259647/d3976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2022-10-28T14:56:30Z</dcterms:created>
  <dcterms:modified xsi:type="dcterms:W3CDTF">2022-10-28T14:56:30Z</dcterms:modified>
</cp:coreProperties>
</file>