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5228.xml.htm"/>
      <w:bookmarkStart w:id="1" w:name="kswkform4_17833652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Kelly Ann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 TAYLOR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H2O AMERICA</w:t>
              </w:r>
            </w:hyperlink>
            <w:r>
              <w:rPr/>
              <w:t xml:space="preserve"> [ </w:t>
            </w:r>
            <w:r>
              <w:rPr>
                <w:rFonts w:ascii="Times;serif" w:hAnsi="Times;serif"/>
                <w:color w:val="0000FF"/>
                <w:sz w:val="24"/>
                <w:shd w:fill="FFFFFF" w:val="clear"/>
              </w:rPr>
              <w:t>HTO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60.74</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9,976</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88 shares of the issuer's common stock (Common Stock) withheld in satisfaction of applicable withholding taxes upon the vesting of certain shares of Common Stock that became issuable on July 1, 2026 pursuant to the terms of the Restricted Stock Unit Issuance Agreement between the reporting person and the issuer dated July 1, 2025. The shares underlying such restricted stock units (RSUs) were previously reported as Table I securities at the time the RSUs were granted. Accordingly, the issuance of such shares is not a reportable transaction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2,176 shares of Common Stock and 7,800 shares of the Common Stock underlying RSUs which will vest and become issuable in accordance with their terms.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Willie Brown, Attorney-in-Fact for Ann P. Kelly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307" TargetMode="External"/><Relationship Id="rId5" Type="http://schemas.openxmlformats.org/officeDocument/2006/relationships/hyperlink" Target="http://www.sec.gov/cgi-bin/browse-edgar?action=getcompany&amp;CIK=0000766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3664</Characters>
  <CharactersWithSpaces>4289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