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8"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116" w:right="339" w:bottom="1440" w:gutter="0" w:footer="0" w:header="0"/>
        </w:sectPr>
      </w:pPr>
    </w:p>
    <w:p>
      <w:pPr>
        <w:spacing w:after="0" w:line="13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transition period from</w:t>
      </w:r>
    </w:p>
    <w:p>
      <w:pPr>
        <w:spacing w:after="0" w:line="23"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Commission file number: 001-8966</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38" w:lineRule="exact"/>
        <w:rPr>
          <w:sz w:val="24"/>
          <w:szCs w:val="24"/>
          <w:color w:val="auto"/>
        </w:rPr>
      </w:pPr>
    </w:p>
    <w:p>
      <w:pPr>
        <w:sectPr>
          <w:pgSz w:w="11900" w:h="16838" w:orient="portrait"/>
          <w:cols w:equalWidth="0" w:num="2">
            <w:col w:w="6840" w:space="40"/>
            <w:col w:w="4360"/>
          </w:cols>
          <w:pgMar w:left="320" w:top="1116" w:right="339" w:bottom="1440" w:gutter="0" w:footer="0" w:header="0"/>
          <w:type w:val="continuous"/>
        </w:sectPr>
      </w:pPr>
    </w:p>
    <w:p>
      <w:pPr>
        <w:jc w:val="center"/>
        <w:ind w:right="-19"/>
        <w:spacing w:after="0"/>
        <w:rPr>
          <w:sz w:val="20"/>
          <w:szCs w:val="20"/>
          <w:color w:val="auto"/>
        </w:rPr>
      </w:pPr>
      <w:r>
        <w:rPr>
          <w:rFonts w:ascii="Arial" w:cs="Arial" w:eastAsia="Arial" w:hAnsi="Arial"/>
          <w:sz w:val="36"/>
          <w:szCs w:val="36"/>
          <w:b w:val="1"/>
          <w:bCs w:val="1"/>
          <w:color w:val="auto"/>
        </w:rPr>
        <w:t>SJW GROUP</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1116" w:right="339" w:bottom="1440" w:gutter="0" w:footer="0" w:header="0"/>
          <w:type w:val="continuous"/>
        </w:sectPr>
      </w:pPr>
    </w:p>
    <w:p>
      <w:pPr>
        <w:spacing w:after="0" w:line="132" w:lineRule="exact"/>
        <w:rPr>
          <w:sz w:val="24"/>
          <w:szCs w:val="24"/>
          <w:color w:val="auto"/>
        </w:rPr>
      </w:pPr>
    </w:p>
    <w:p>
      <w:pPr>
        <w:ind w:left="27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77-0066628</w:t>
      </w:r>
    </w:p>
    <w:p>
      <w:pPr>
        <w:spacing w:after="0" w:line="73" w:lineRule="exact"/>
        <w:rPr>
          <w:sz w:val="24"/>
          <w:szCs w:val="24"/>
          <w:color w:val="auto"/>
        </w:rPr>
      </w:pPr>
    </w:p>
    <w:p>
      <w:pPr>
        <w:sectPr>
          <w:pgSz w:w="11900" w:h="16838" w:orient="portrait"/>
          <w:cols w:equalWidth="0" w:num="2">
            <w:col w:w="6980" w:space="720"/>
            <w:col w:w="3540"/>
          </w:cols>
          <w:pgMar w:left="320" w:top="1116" w:right="339" w:bottom="1440" w:gutter="0" w:footer="0" w:header="0"/>
          <w:type w:val="continuous"/>
        </w:sectPr>
      </w:pPr>
    </w:p>
    <w:p>
      <w:pPr>
        <w:ind w:left="12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3"/>
          <w:szCs w:val="13"/>
          <w:b w:val="1"/>
          <w:bCs w:val="1"/>
          <w:color w:val="auto"/>
        </w:rPr>
        <w:t>(I.R.S. Employer Identification No.)</w:t>
      </w:r>
    </w:p>
    <w:p>
      <w:pPr>
        <w:spacing w:after="0" w:line="143" w:lineRule="exact"/>
        <w:rPr>
          <w:sz w:val="24"/>
          <w:szCs w:val="24"/>
          <w:color w:val="auto"/>
        </w:rPr>
      </w:pPr>
    </w:p>
    <w:p>
      <w:pPr>
        <w:sectPr>
          <w:pgSz w:w="11900" w:h="16838" w:orient="portrait"/>
          <w:cols w:equalWidth="0" w:num="2">
            <w:col w:w="6260" w:space="720"/>
            <w:col w:w="4260"/>
          </w:cols>
          <w:pgMar w:left="320" w:top="1116" w:right="339" w:bottom="1440" w:gutter="0" w:footer="0" w:header="0"/>
          <w:type w:val="continuous"/>
        </w:sectPr>
      </w:pPr>
    </w:p>
    <w:p>
      <w:pPr>
        <w:ind w:left="1580"/>
        <w:spacing w:after="0"/>
        <w:tabs>
          <w:tab w:leader="none" w:pos="3420" w:val="left"/>
        </w:tabs>
        <w:rPr>
          <w:sz w:val="20"/>
          <w:szCs w:val="20"/>
          <w:color w:val="auto"/>
        </w:rPr>
      </w:pPr>
      <w:r>
        <w:rPr>
          <w:rFonts w:ascii="Arial" w:cs="Arial" w:eastAsia="Arial" w:hAnsi="Arial"/>
          <w:sz w:val="16"/>
          <w:szCs w:val="16"/>
          <w:b w:val="1"/>
          <w:bCs w:val="1"/>
          <w:color w:val="auto"/>
        </w:rPr>
        <w:t>110 West Taylor Street,</w:t>
      </w:r>
      <w:r>
        <w:rPr>
          <w:sz w:val="20"/>
          <w:szCs w:val="20"/>
          <w:color w:val="auto"/>
        </w:rPr>
        <w:tab/>
      </w:r>
      <w:r>
        <w:rPr>
          <w:rFonts w:ascii="Arial" w:cs="Arial" w:eastAsia="Arial" w:hAnsi="Arial"/>
          <w:sz w:val="13"/>
          <w:szCs w:val="13"/>
          <w:b w:val="1"/>
          <w:bCs w:val="1"/>
          <w:color w:val="auto"/>
        </w:rPr>
        <w:t>San Jose,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95110</w:t>
      </w:r>
    </w:p>
    <w:p>
      <w:pPr>
        <w:spacing w:after="0" w:line="48" w:lineRule="exact"/>
        <w:rPr>
          <w:sz w:val="24"/>
          <w:szCs w:val="24"/>
          <w:color w:val="auto"/>
        </w:rPr>
      </w:pPr>
    </w:p>
    <w:p>
      <w:pPr>
        <w:sectPr>
          <w:pgSz w:w="11900" w:h="16838" w:orient="portrait"/>
          <w:cols w:equalWidth="0" w:num="3">
            <w:col w:w="4080" w:space="260"/>
            <w:col w:w="2820" w:space="720"/>
            <w:col w:w="3360"/>
          </w:cols>
          <w:pgMar w:left="320" w:top="1116" w:right="339" w:bottom="1440" w:gutter="0" w:footer="0" w:header="0"/>
          <w:type w:val="continuous"/>
        </w:sectPr>
      </w:pPr>
    </w:p>
    <w:p>
      <w:pPr>
        <w:ind w:left="18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3" w:lineRule="exact"/>
        <w:rPr>
          <w:sz w:val="24"/>
          <w:szCs w:val="24"/>
          <w:color w:val="auto"/>
        </w:rPr>
      </w:pPr>
    </w:p>
    <w:p>
      <w:pPr>
        <w:sectPr>
          <w:pgSz w:w="11900" w:h="16838" w:orient="portrait"/>
          <w:cols w:equalWidth="0" w:num="2">
            <w:col w:w="7040" w:space="720"/>
            <w:col w:w="3480"/>
          </w:cols>
          <w:pgMar w:left="320" w:top="1116"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(408) 279-7800</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06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88"/>
              </w:rPr>
              <w:t>Title of each class</w:t>
            </w:r>
          </w:p>
        </w:tc>
        <w:tc>
          <w:tcPr>
            <w:tcW w:w="4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4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1380" w:type="dxa"/>
            <w:vAlign w:val="bottom"/>
          </w:tcPr>
          <w:p>
            <w:pPr>
              <w:spacing w:after="0"/>
              <w:rPr>
                <w:sz w:val="17"/>
                <w:szCs w:val="17"/>
                <w:color w:val="auto"/>
              </w:rPr>
            </w:pPr>
          </w:p>
        </w:tc>
        <w:tc>
          <w:tcPr>
            <w:tcW w:w="266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8"/>
              </w:rPr>
              <w:t>SJW</w:t>
            </w:r>
          </w:p>
        </w:tc>
        <w:tc>
          <w:tcPr>
            <w:tcW w:w="340" w:type="dxa"/>
            <w:vAlign w:val="bottom"/>
          </w:tcPr>
          <w:p>
            <w:pPr>
              <w:spacing w:after="0"/>
              <w:rPr>
                <w:sz w:val="17"/>
                <w:szCs w:val="17"/>
                <w:color w:val="auto"/>
              </w:rPr>
            </w:pPr>
          </w:p>
        </w:tc>
        <w:tc>
          <w:tcPr>
            <w:tcW w:w="268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4"/>
              </w:rPr>
              <w:t>New York Stock Exchange LLC</w:t>
            </w:r>
          </w:p>
        </w:tc>
        <w:tc>
          <w:tcPr>
            <w:tcW w:w="0" w:type="dxa"/>
            <w:vAlign w:val="bottom"/>
          </w:tcPr>
          <w:p>
            <w:pPr>
              <w:spacing w:after="0"/>
              <w:rPr>
                <w:sz w:val="1"/>
                <w:szCs w:val="1"/>
                <w:color w:val="auto"/>
              </w:rPr>
            </w:pPr>
          </w:p>
        </w:tc>
      </w:tr>
      <w:tr>
        <w:trPr>
          <w:trHeight w:val="330"/>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8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60" w:type="dxa"/>
            <w:vAlign w:val="bottom"/>
            <w:gridSpan w:val="2"/>
          </w:tcPr>
          <w:p>
            <w:pPr>
              <w:jc w:val="center"/>
              <w:ind w:right="1260"/>
              <w:spacing w:after="0"/>
              <w:rPr>
                <w:sz w:val="20"/>
                <w:szCs w:val="20"/>
                <w:color w:val="auto"/>
              </w:rPr>
            </w:pPr>
            <w:r>
              <w:rPr>
                <w:rFonts w:ascii="Arial" w:cs="Arial" w:eastAsia="Arial" w:hAnsi="Arial"/>
                <w:sz w:val="16"/>
                <w:szCs w:val="16"/>
                <w:b w:val="1"/>
                <w:bCs w:val="1"/>
                <w:color w:val="auto"/>
                <w:w w:val="89"/>
              </w:rPr>
              <w:t>None</w:t>
            </w:r>
          </w:p>
        </w:tc>
        <w:tc>
          <w:tcPr>
            <w:tcW w:w="340" w:type="dxa"/>
            <w:vAlign w:val="bottom"/>
          </w:tcPr>
          <w:p>
            <w:pPr>
              <w:spacing w:after="0"/>
              <w:rPr>
                <w:sz w:val="19"/>
                <w:szCs w:val="19"/>
                <w:color w:val="auto"/>
              </w:rPr>
            </w:pPr>
          </w:p>
        </w:tc>
        <w:tc>
          <w:tcPr>
            <w:tcW w:w="36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32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highlight w:val="black"/>
              </w:rPr>
              <w:t>☐</w:t>
            </w:r>
          </w:p>
        </w:tc>
        <w:tc>
          <w:tcPr>
            <w:tcW w:w="0" w:type="dxa"/>
            <w:vAlign w:val="bottom"/>
          </w:tcPr>
          <w:p>
            <w:pPr>
              <w:spacing w:after="0"/>
              <w:rPr>
                <w:sz w:val="1"/>
                <w:szCs w:val="1"/>
                <w:color w:val="auto"/>
              </w:rPr>
            </w:pPr>
          </w:p>
        </w:tc>
      </w:tr>
      <w:tr>
        <w:trPr>
          <w:trHeight w:val="209"/>
        </w:trPr>
        <w:tc>
          <w:tcPr>
            <w:tcW w:w="7920" w:type="dxa"/>
            <w:vAlign w:val="bottom"/>
            <w:gridSpan w:val="7"/>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 Yes</w:t>
            </w:r>
          </w:p>
        </w:tc>
        <w:tc>
          <w:tcPr>
            <w:tcW w:w="360" w:type="dxa"/>
            <w:vAlign w:val="bottom"/>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8280" w:type="dxa"/>
            <w:vAlign w:val="bottom"/>
            <w:gridSpan w:val="8"/>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highlight w:val="black"/>
                <w:w w:val="92"/>
              </w:rPr>
              <w:t>☐</w:t>
            </w:r>
          </w:p>
        </w:tc>
        <w:tc>
          <w:tcPr>
            <w:tcW w:w="232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32" w:lineRule="exact"/>
        <w:rPr>
          <w:sz w:val="24"/>
          <w:szCs w:val="24"/>
          <w:color w:val="auto"/>
        </w:rPr>
      </w:pPr>
    </w:p>
    <w:p>
      <w:pPr>
        <w:ind w:right="400"/>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p>
    <w:p>
      <w:pPr>
        <w:spacing w:after="0" w:line="6" w:lineRule="exact"/>
        <w:rPr>
          <w:sz w:val="24"/>
          <w:szCs w:val="24"/>
          <w:color w:val="auto"/>
        </w:rPr>
      </w:pPr>
    </w:p>
    <w:p>
      <w:pPr>
        <w:ind w:right="80"/>
        <w:spacing w:after="0" w:line="29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highlight w:val="black"/>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highlight w:val="black"/>
        </w:rPr>
        <w:t>☐</w:t>
      </w:r>
    </w:p>
    <w:p>
      <w:pPr>
        <w:spacing w:after="0" w:line="64" w:lineRule="exact"/>
        <w:rPr>
          <w:sz w:val="24"/>
          <w:szCs w:val="24"/>
          <w:color w:val="auto"/>
        </w:rPr>
      </w:pPr>
    </w:p>
    <w:p>
      <w:pPr>
        <w:ind w:right="580"/>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 w:lineRule="exact"/>
        <w:rPr>
          <w:sz w:val="24"/>
          <w:szCs w:val="24"/>
          <w:color w:val="auto"/>
        </w:rPr>
      </w:pPr>
    </w:p>
    <w:p>
      <w:pPr>
        <w:ind w:right="160"/>
        <w:spacing w:after="0" w:line="20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8" w:lineRule="exact"/>
        <w:rPr>
          <w:sz w:val="24"/>
          <w:szCs w:val="24"/>
          <w:color w:val="auto"/>
        </w:rPr>
      </w:pPr>
    </w:p>
    <w:p>
      <w:pPr>
        <w:ind w:right="340"/>
        <w:spacing w:after="0" w:line="272" w:lineRule="auto"/>
        <w:rPr>
          <w:sz w:val="20"/>
          <w:szCs w:val="20"/>
          <w:color w:val="auto"/>
        </w:rPr>
      </w:pPr>
      <w:r>
        <w:rPr>
          <w:rFonts w:ascii="Arial" w:cs="Arial" w:eastAsia="Arial" w:hAnsi="Arial"/>
          <w:sz w:val="16"/>
          <w:szCs w:val="16"/>
          <w:color w:val="auto"/>
        </w:rPr>
        <w:t>As of June 30, 2021, the aggregate market value of the registrant’s common stock held by non-affiliates of the registrant was approximately $1,737 million based on the closing sale price as reported on the New York Stock Exchange.</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17, 2022, 30,228,919 shares of the registrant’s common stock, par value, $0.001 per share, were outstanding.</w:t>
      </w:r>
    </w:p>
    <w:p>
      <w:pPr>
        <w:spacing w:after="0" w:line="2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160"/>
        <w:spacing w:after="0" w:line="257" w:lineRule="auto"/>
        <w:rPr>
          <w:sz w:val="20"/>
          <w:szCs w:val="20"/>
          <w:color w:val="auto"/>
        </w:rPr>
      </w:pPr>
      <w:r>
        <w:rPr>
          <w:rFonts w:ascii="Arial" w:cs="Arial" w:eastAsia="Arial" w:hAnsi="Arial"/>
          <w:sz w:val="16"/>
          <w:szCs w:val="16"/>
          <w:color w:val="auto"/>
        </w:rPr>
        <w:t>Portions of the registrant’s Proxy Statement relating to the registrant’s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8"/>
          </w:tcPr>
          <w:p>
            <w:pPr>
              <w:jc w:val="center"/>
              <w:ind w:right="340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6"/>
          </w:tcPr>
          <w:p>
            <w:pPr>
              <w:ind w:left="300"/>
              <w:spacing w:after="0"/>
              <w:rPr>
                <w:sz w:val="20"/>
                <w:szCs w:val="20"/>
                <w:color w:val="auto"/>
              </w:rPr>
            </w:pPr>
            <w:r>
              <w:rPr>
                <w:rFonts w:ascii="Arial" w:cs="Arial" w:eastAsia="Arial" w:hAnsi="Arial"/>
                <w:sz w:val="14"/>
                <w:szCs w:val="14"/>
                <w:b w:val="1"/>
                <w:bCs w:val="1"/>
                <w:color w:val="auto"/>
              </w:rPr>
              <w:t>Page</w:t>
            </w: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20" w:type="dxa"/>
            <w:vAlign w:val="bottom"/>
            <w:gridSpan w:val="7"/>
          </w:tcPr>
          <w:p>
            <w:pPr>
              <w:jc w:val="center"/>
              <w:ind w:right="4200"/>
              <w:spacing w:after="0"/>
              <w:rPr>
                <w:sz w:val="20"/>
                <w:szCs w:val="20"/>
                <w:color w:val="auto"/>
              </w:rPr>
            </w:pPr>
            <w:r>
              <w:rPr>
                <w:rFonts w:ascii="Arial" w:cs="Arial" w:eastAsia="Arial" w:hAnsi="Arial"/>
                <w:sz w:val="18"/>
                <w:szCs w:val="18"/>
                <w:b w:val="1"/>
                <w:bCs w:val="1"/>
                <w:color w:val="auto"/>
                <w:w w:val="98"/>
              </w:rPr>
              <w:t>PART I</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280" w:type="dxa"/>
            <w:vAlign w:val="bottom"/>
            <w:gridSpan w:val="6"/>
          </w:tcPr>
          <w:p>
            <w:pPr>
              <w:spacing w:after="0"/>
              <w:rPr>
                <w:rFonts w:ascii="Arial" w:cs="Arial" w:eastAsia="Arial" w:hAnsi="Arial"/>
                <w:sz w:val="18"/>
                <w:szCs w:val="18"/>
                <w:b w:val="1"/>
                <w:bCs w:val="1"/>
                <w:color w:val="0000FF"/>
                <w:w w:val="90"/>
              </w:rPr>
            </w:pPr>
            <w:hyperlink w:anchor="page3">
              <w:r>
                <w:rPr>
                  <w:rFonts w:ascii="Arial" w:cs="Arial" w:eastAsia="Arial" w:hAnsi="Arial"/>
                  <w:sz w:val="18"/>
                  <w:szCs w:val="18"/>
                  <w:b w:val="1"/>
                  <w:bCs w:val="1"/>
                  <w:color w:val="0000FF"/>
                  <w:w w:val="90"/>
                </w:rPr>
                <w:t>Forward-Looking Statements</w:t>
              </w:r>
            </w:hyperlink>
          </w:p>
        </w:tc>
        <w:tc>
          <w:tcPr>
            <w:tcW w:w="8020" w:type="dxa"/>
            <w:vAlign w:val="bottom"/>
            <w:gridSpan w:val="15"/>
          </w:tcPr>
          <w:p>
            <w:pPr>
              <w:spacing w:after="0"/>
              <w:rPr>
                <w:sz w:val="21"/>
                <w:szCs w:val="21"/>
                <w:color w:val="auto"/>
              </w:rPr>
            </w:pPr>
          </w:p>
        </w:tc>
        <w:tc>
          <w:tcPr>
            <w:tcW w:w="880" w:type="dxa"/>
            <w:vAlign w:val="bottom"/>
            <w:gridSpan w:val="5"/>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Pr>
          <w:p>
            <w:pPr>
              <w:spacing w:after="0"/>
              <w:rPr>
                <w:rFonts w:ascii="Arial" w:cs="Arial" w:eastAsia="Arial" w:hAnsi="Arial"/>
                <w:sz w:val="18"/>
                <w:szCs w:val="18"/>
                <w:color w:val="0000FF"/>
                <w:w w:val="82"/>
              </w:rPr>
            </w:pPr>
            <w:hyperlink w:anchor="page3">
              <w:r>
                <w:rPr>
                  <w:rFonts w:ascii="Arial" w:cs="Arial" w:eastAsia="Arial" w:hAnsi="Arial"/>
                  <w:sz w:val="18"/>
                  <w:szCs w:val="18"/>
                  <w:color w:val="0000FF"/>
                  <w:w w:val="82"/>
                </w:rPr>
                <w:t>Business</w:t>
              </w:r>
            </w:hyperlink>
          </w:p>
        </w:tc>
        <w:tc>
          <w:tcPr>
            <w:tcW w:w="660" w:type="dxa"/>
            <w:vAlign w:val="bottom"/>
            <w:gridSpan w:val="3"/>
          </w:tcPr>
          <w:p>
            <w:pPr>
              <w:spacing w:after="0"/>
              <w:rPr>
                <w:sz w:val="18"/>
                <w:szCs w:val="18"/>
                <w:color w:val="auto"/>
              </w:rPr>
            </w:pPr>
          </w:p>
        </w:tc>
        <w:tc>
          <w:tcPr>
            <w:tcW w:w="8020" w:type="dxa"/>
            <w:vAlign w:val="bottom"/>
            <w:gridSpan w:val="15"/>
          </w:tcPr>
          <w:p>
            <w:pPr>
              <w:spacing w:after="0"/>
              <w:rPr>
                <w:sz w:val="18"/>
                <w:szCs w:val="18"/>
                <w:color w:val="auto"/>
              </w:rPr>
            </w:pPr>
          </w:p>
        </w:tc>
        <w:tc>
          <w:tcPr>
            <w:tcW w:w="880" w:type="dxa"/>
            <w:vAlign w:val="bottom"/>
            <w:gridSpan w:val="5"/>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Risk Factors</w:t>
              </w:r>
            </w:hyperlink>
          </w:p>
        </w:tc>
        <w:tc>
          <w:tcPr>
            <w:tcW w:w="880" w:type="dxa"/>
            <w:vAlign w:val="bottom"/>
            <w:gridSpan w:val="5"/>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300" w:type="dxa"/>
            <w:vAlign w:val="bottom"/>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Unresolved Staff Comments</w:t>
              </w:r>
            </w:hyperlink>
          </w:p>
        </w:tc>
        <w:tc>
          <w:tcPr>
            <w:tcW w:w="880" w:type="dxa"/>
            <w:vAlign w:val="bottom"/>
            <w:gridSpan w:val="5"/>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2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Properties</w:t>
              </w:r>
            </w:hyperlink>
          </w:p>
        </w:tc>
        <w:tc>
          <w:tcPr>
            <w:tcW w:w="7280" w:type="dxa"/>
            <w:vAlign w:val="bottom"/>
            <w:gridSpan w:val="11"/>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00" w:type="dxa"/>
            <w:vAlign w:val="bottom"/>
            <w:gridSpan w:val="5"/>
          </w:tcPr>
          <w:p>
            <w:pPr>
              <w:spacing w:after="0"/>
              <w:rPr>
                <w:rFonts w:ascii="Arial" w:cs="Arial" w:eastAsia="Arial" w:hAnsi="Arial"/>
                <w:sz w:val="18"/>
                <w:szCs w:val="18"/>
                <w:color w:val="0000FF"/>
                <w:w w:val="84"/>
              </w:rPr>
            </w:pPr>
            <w:hyperlink w:anchor="page30">
              <w:r>
                <w:rPr>
                  <w:rFonts w:ascii="Arial" w:cs="Arial" w:eastAsia="Arial" w:hAnsi="Arial"/>
                  <w:sz w:val="18"/>
                  <w:szCs w:val="18"/>
                  <w:color w:val="0000FF"/>
                  <w:w w:val="84"/>
                </w:rPr>
                <w:t>Legal Proceedings</w:t>
              </w:r>
            </w:hyperlink>
          </w:p>
        </w:tc>
        <w:tc>
          <w:tcPr>
            <w:tcW w:w="8000" w:type="dxa"/>
            <w:vAlign w:val="bottom"/>
            <w:gridSpan w:val="14"/>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Mine Safety Disclosures</w:t>
              </w:r>
            </w:hyperlink>
          </w:p>
        </w:tc>
        <w:tc>
          <w:tcPr>
            <w:tcW w:w="880" w:type="dxa"/>
            <w:vAlign w:val="bottom"/>
            <w:gridSpan w:val="5"/>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40" w:type="dxa"/>
            <w:vAlign w:val="bottom"/>
          </w:tcPr>
          <w:p>
            <w:pPr>
              <w:spacing w:after="0"/>
              <w:rPr>
                <w:sz w:val="18"/>
                <w:szCs w:val="18"/>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Arial" w:cs="Arial" w:eastAsia="Arial" w:hAnsi="Arial"/>
                <w:sz w:val="18"/>
                <w:szCs w:val="18"/>
                <w:b w:val="1"/>
                <w:bCs w:val="1"/>
                <w:color w:val="auto"/>
                <w:w w:val="99"/>
              </w:rPr>
              <w:t>PART 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60" w:type="dxa"/>
            <w:vAlign w:val="bottom"/>
            <w:gridSpan w:val="18"/>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Market for Registrant’s Common Equity, Related Stockholder Matters and Issuer Purchases of Equity Securities</w:t>
              </w:r>
            </w:hyperlink>
          </w:p>
        </w:tc>
        <w:tc>
          <w:tcPr>
            <w:tcW w:w="124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[Reserved]</w:t>
              </w:r>
            </w:hyperlink>
          </w:p>
        </w:tc>
        <w:tc>
          <w:tcPr>
            <w:tcW w:w="12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6"/>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Management’s Discussion and Analysis of Financial Condition and Results of Operations</w:t>
              </w:r>
            </w:hyperlink>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32</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40" w:type="dxa"/>
            <w:vAlign w:val="bottom"/>
            <w:gridSpan w:val="13"/>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Quantitative and Qualitative Disclosures About Market Risk</w:t>
              </w:r>
            </w:hyperlink>
          </w:p>
        </w:tc>
        <w:tc>
          <w:tcPr>
            <w:tcW w:w="2100" w:type="dxa"/>
            <w:vAlign w:val="bottom"/>
            <w:gridSpan w:val="3"/>
          </w:tcPr>
          <w:p>
            <w:pPr>
              <w:spacing w:after="0"/>
              <w:rPr>
                <w:sz w:val="18"/>
                <w:szCs w:val="18"/>
                <w:color w:val="auto"/>
              </w:rPr>
            </w:pPr>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40" w:type="dxa"/>
            <w:vAlign w:val="bottom"/>
            <w:gridSpan w:val="1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Financial Statements and Supplementary Data</w:t>
              </w:r>
            </w:hyperlink>
          </w:p>
        </w:tc>
        <w:tc>
          <w:tcPr>
            <w:tcW w:w="4960" w:type="dxa"/>
            <w:vAlign w:val="bottom"/>
            <w:gridSpan w:val="6"/>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40" w:type="dxa"/>
            <w:vAlign w:val="bottom"/>
            <w:gridSpan w:val="16"/>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Changes in and Disagreements with Accountants on Accounting and Financial Disclosure</w:t>
              </w:r>
            </w:hyperlink>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89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440" w:type="dxa"/>
            <w:vAlign w:val="bottom"/>
            <w:gridSpan w:val="16"/>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Controls and Procedures</w:t>
              </w:r>
            </w:hyperlink>
          </w:p>
        </w:tc>
        <w:tc>
          <w:tcPr>
            <w:tcW w:w="286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89">
              <w:r>
                <w:rPr>
                  <w:rFonts w:ascii="Arial" w:cs="Arial" w:eastAsia="Arial" w:hAnsi="Arial"/>
                  <w:sz w:val="18"/>
                  <w:szCs w:val="18"/>
                  <w:color w:val="0000FF"/>
                  <w:w w:val="79"/>
                </w:rPr>
                <w:t>89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300" w:type="dxa"/>
            <w:vAlign w:val="bottom"/>
            <w:gridSpan w:val="5"/>
          </w:tcPr>
          <w:p>
            <w:pP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Other Information</w:t>
              </w:r>
            </w:hyperlink>
          </w:p>
        </w:tc>
        <w:tc>
          <w:tcPr>
            <w:tcW w:w="440" w:type="dxa"/>
            <w:vAlign w:val="bottom"/>
          </w:tcPr>
          <w:p>
            <w:pPr>
              <w:spacing w:after="0"/>
              <w:rPr>
                <w:sz w:val="18"/>
                <w:szCs w:val="18"/>
                <w:color w:val="auto"/>
              </w:rPr>
            </w:pPr>
          </w:p>
        </w:tc>
        <w:tc>
          <w:tcPr>
            <w:tcW w:w="7560" w:type="dxa"/>
            <w:vAlign w:val="bottom"/>
            <w:gridSpan w:val="13"/>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9300" w:type="dxa"/>
            <w:vAlign w:val="bottom"/>
            <w:gridSpan w:val="19"/>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Disclosure Regarding Foreign Jurisdictions that Prevent Inspection</w:t>
              </w:r>
            </w:hyperlink>
          </w:p>
        </w:tc>
        <w:tc>
          <w:tcPr>
            <w:tcW w:w="880" w:type="dxa"/>
            <w:vAlign w:val="bottom"/>
            <w:gridSpan w:val="5"/>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Arial" w:cs="Arial" w:eastAsia="Arial" w:hAnsi="Arial"/>
                <w:sz w:val="18"/>
                <w:szCs w:val="18"/>
                <w:b w:val="1"/>
                <w:bCs w:val="1"/>
                <w:color w:val="auto"/>
              </w:rPr>
              <w:t>PART III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80" w:type="dxa"/>
            <w:vAlign w:val="bottom"/>
            <w:gridSpan w:val="12"/>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Directors, Executive Officers and Corporate Governance</w:t>
              </w:r>
            </w:hyperlink>
          </w:p>
        </w:tc>
        <w:tc>
          <w:tcPr>
            <w:tcW w:w="522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90</w:t>
              </w:r>
            </w:hyperlink>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4080" w:type="dxa"/>
            <w:vAlign w:val="bottom"/>
            <w:gridSpan w:val="1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Executive Compensation</w:t>
              </w:r>
            </w:hyperlink>
          </w:p>
        </w:tc>
        <w:tc>
          <w:tcPr>
            <w:tcW w:w="5220" w:type="dxa"/>
            <w:vAlign w:val="bottom"/>
            <w:gridSpan w:val="7"/>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78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300" w:type="dxa"/>
            <w:vAlign w:val="bottom"/>
            <w:gridSpan w:val="19"/>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Security Ownership of Certain Beneficial Owners and Management and Related Stockholder Matters</w:t>
              </w:r>
            </w:hyperlink>
          </w:p>
        </w:tc>
        <w:tc>
          <w:tcPr>
            <w:tcW w:w="880" w:type="dxa"/>
            <w:vAlign w:val="bottom"/>
            <w:gridSpan w:val="5"/>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60" w:type="dxa"/>
            <w:vAlign w:val="bottom"/>
            <w:gridSpan w:val="17"/>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Certain Relationships and Related Transactions, and Director Independence</w:t>
              </w:r>
            </w:hyperlink>
          </w:p>
        </w:tc>
        <w:tc>
          <w:tcPr>
            <w:tcW w:w="204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91</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20" w:type="dxa"/>
            <w:vAlign w:val="bottom"/>
            <w:gridSpan w:val="15"/>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Principal Accountant Fees and Services</w:t>
              </w:r>
            </w:hyperlink>
          </w:p>
        </w:tc>
        <w:tc>
          <w:tcPr>
            <w:tcW w:w="3880" w:type="dxa"/>
            <w:vAlign w:val="bottom"/>
            <w:gridSpan w:val="4"/>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91</w:t>
              </w:r>
            </w:hyperlink>
          </w:p>
        </w:tc>
        <w:tc>
          <w:tcPr>
            <w:tcW w:w="40" w:type="dxa"/>
            <w:vAlign w:val="bottom"/>
          </w:tcPr>
          <w:p>
            <w:pPr>
              <w:spacing w:after="0"/>
              <w:rPr>
                <w:sz w:val="18"/>
                <w:szCs w:val="18"/>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Arial" w:cs="Arial" w:eastAsia="Arial" w:hAnsi="Arial"/>
                <w:sz w:val="18"/>
                <w:szCs w:val="18"/>
                <w:b w:val="1"/>
                <w:bCs w:val="1"/>
                <w:color w:val="auto"/>
              </w:rPr>
              <w:t>PART IV</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40" w:type="dxa"/>
            <w:vAlign w:val="bottom"/>
            <w:gridSpan w:val="10"/>
          </w:tcPr>
          <w:p>
            <w:pPr>
              <w:spacing w:after="0"/>
              <w:rPr>
                <w:rFonts w:ascii="Arial" w:cs="Arial" w:eastAsia="Arial" w:hAnsi="Arial"/>
                <w:sz w:val="18"/>
                <w:szCs w:val="18"/>
                <w:color w:val="0000FF"/>
                <w:w w:val="88"/>
              </w:rPr>
            </w:pPr>
            <w:hyperlink w:anchor="page92">
              <w:r>
                <w:rPr>
                  <w:rFonts w:ascii="Arial" w:cs="Arial" w:eastAsia="Arial" w:hAnsi="Arial"/>
                  <w:sz w:val="18"/>
                  <w:szCs w:val="18"/>
                  <w:color w:val="0000FF"/>
                  <w:w w:val="88"/>
                </w:rPr>
                <w:t>Exhibits and Financial Statement Schedules</w:t>
              </w:r>
            </w:hyperlink>
          </w:p>
        </w:tc>
        <w:tc>
          <w:tcPr>
            <w:tcW w:w="6160" w:type="dxa"/>
            <w:vAlign w:val="bottom"/>
            <w:gridSpan w:val="9"/>
          </w:tcPr>
          <w:p>
            <w:pPr>
              <w:spacing w:after="0"/>
              <w:rPr>
                <w:sz w:val="21"/>
                <w:szCs w:val="21"/>
                <w:color w:val="auto"/>
              </w:rPr>
            </w:pPr>
          </w:p>
        </w:tc>
        <w:tc>
          <w:tcPr>
            <w:tcW w:w="680" w:type="dxa"/>
            <w:vAlign w:val="bottom"/>
            <w:gridSpan w:val="2"/>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92</w:t>
              </w:r>
            </w:hyperlink>
          </w:p>
        </w:tc>
        <w:tc>
          <w:tcPr>
            <w:tcW w:w="4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rFonts w:ascii="Arial" w:cs="Arial" w:eastAsia="Arial" w:hAnsi="Arial"/>
                <w:sz w:val="18"/>
                <w:szCs w:val="18"/>
                <w:color w:val="0000FF"/>
                <w:w w:val="93"/>
              </w:rPr>
            </w:pPr>
            <w:hyperlink w:anchor="page92">
              <w:r>
                <w:rPr>
                  <w:rFonts w:ascii="Arial" w:cs="Arial" w:eastAsia="Arial" w:hAnsi="Arial"/>
                  <w:sz w:val="18"/>
                  <w:szCs w:val="18"/>
                  <w:color w:val="0000FF"/>
                  <w:w w:val="93"/>
                </w:rPr>
                <w:t>Exhibit Index</w:t>
              </w:r>
            </w:hyperlink>
          </w:p>
        </w:tc>
        <w:tc>
          <w:tcPr>
            <w:tcW w:w="9300" w:type="dxa"/>
            <w:vAlign w:val="bottom"/>
            <w:gridSpan w:val="19"/>
          </w:tcPr>
          <w:p>
            <w:pPr>
              <w:spacing w:after="0"/>
              <w:rPr>
                <w:sz w:val="18"/>
                <w:szCs w:val="18"/>
                <w:color w:val="auto"/>
              </w:rPr>
            </w:pPr>
          </w:p>
        </w:tc>
        <w:tc>
          <w:tcPr>
            <w:tcW w:w="680" w:type="dxa"/>
            <w:vAlign w:val="bottom"/>
            <w:gridSpan w:val="2"/>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93</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Signatures</w:t>
              </w:r>
            </w:hyperlink>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gridSpan w:val="5"/>
          </w:tcPr>
          <w:p>
            <w:pPr>
              <w:jc w:val="right"/>
              <w:ind w:right="20"/>
              <w:spacing w:after="0"/>
              <w:rPr>
                <w:rFonts w:ascii="Arial" w:cs="Arial" w:eastAsia="Arial" w:hAnsi="Arial"/>
                <w:sz w:val="18"/>
                <w:szCs w:val="18"/>
                <w:color w:val="0000FF"/>
              </w:rPr>
            </w:pPr>
            <w:hyperlink w:anchor="page99">
              <w:r>
                <w:rPr>
                  <w:rFonts w:ascii="Arial" w:cs="Arial" w:eastAsia="Arial" w:hAnsi="Arial"/>
                  <w:sz w:val="18"/>
                  <w:szCs w:val="18"/>
                  <w:color w:val="0000FF"/>
                </w:rPr>
                <w:t>100</w:t>
              </w:r>
            </w:hyperlink>
          </w:p>
        </w:tc>
        <w:tc>
          <w:tcPr>
            <w:tcW w:w="40" w:type="dxa"/>
            <w:vAlign w:val="bottom"/>
          </w:tcPr>
          <w:p>
            <w:pPr>
              <w:spacing w:after="0"/>
              <w:rPr>
                <w:sz w:val="18"/>
                <w:szCs w:val="18"/>
                <w:color w:val="auto"/>
              </w:rPr>
            </w:pPr>
          </w:p>
        </w:tc>
      </w:tr>
      <w:tr>
        <w:trPr>
          <w:trHeight w:val="135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including “believes”, “expects”, “estimates”, “anticipates”, “intends”, “seeks”, “approximately”, “plans”, “projects”, “may”, “should”, “will”, or the negative of those words or other comparable terminology. These forward-looking statements are only predictions and are subject to risks, uncertainties, and assumptions that are difficult to predict. Therefore, actual results may differ materially and adversely from those expressed in any forward-looking statements. Important factors that could cause or contribute to such differences include, but are not limited to, those discussed in this report under Item 1A, “Risk Factors,” and Item 7, “Management’s Discussion and Analysis of Financial Condition and Results of Operations,” and elsewhere, and in other reports and documents SJW Group files with the Securities and Exchange Commission (the “SEC”), specifically the most recent Form 10-Q and reports on Form 8-K filed with the SEC, each as it may be amended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56" w:lineRule="exact"/>
        <w:rPr>
          <w:sz w:val="20"/>
          <w:szCs w:val="20"/>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operation and financial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 including those affecting water supply and customer usage;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climate change and the effects thereof;</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contamination of our water supplies and damage or failure of our water equipment and infrastructure;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44"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epidemic or similar occurrences;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57" w:lineRule="exact"/>
        <w:rPr>
          <w:rFonts w:ascii="Arial" w:cs="Arial" w:eastAsia="Arial" w:hAnsi="Arial"/>
          <w:sz w:val="18"/>
          <w:szCs w:val="18"/>
          <w:color w:val="auto"/>
        </w:rPr>
      </w:pPr>
    </w:p>
    <w:p>
      <w:pPr>
        <w:jc w:val="both"/>
        <w:ind w:left="660" w:right="4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5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SJW Group undertakes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 Group was initially incorporated as SJW Corp. in the state of California on February 8, 1985. SJW Group is a holding company with four wholly-owned subsidiaries:</w:t>
      </w:r>
    </w:p>
    <w:p>
      <w:pPr>
        <w:spacing w:after="0" w:line="62" w:lineRule="exact"/>
        <w:rPr>
          <w:sz w:val="20"/>
          <w:szCs w:val="20"/>
          <w:color w:val="auto"/>
        </w:rPr>
      </w:pPr>
    </w:p>
    <w:p>
      <w:pPr>
        <w:ind w:left="1300" w:right="40" w:hanging="1049"/>
        <w:spacing w:after="0" w:line="25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 Jose Water Company (“SJWC”) with its headquarters located at 110 West Taylor Street in San Jose, California 95110, was originally incorporated under the laws of the State of California in 1866. As part of a reorganization on February 8, 1985, SJWC became a wholly owned subsidiary of SJW Group. SJWC is a public utility in the business of providing water service to approximately 231,000 connections that serve a population of approximately one million people in an area comprising approximately 139 square miles in the metropolitan San Jose, California area.</w:t>
      </w:r>
    </w:p>
    <w:p>
      <w:pPr>
        <w:spacing w:after="0" w:line="79" w:lineRule="exact"/>
        <w:rPr>
          <w:rFonts w:ascii="Arial" w:cs="Arial" w:eastAsia="Arial" w:hAnsi="Arial"/>
          <w:sz w:val="18"/>
          <w:szCs w:val="18"/>
          <w:color w:val="auto"/>
        </w:rPr>
      </w:pPr>
    </w:p>
    <w:p>
      <w:pPr>
        <w:ind w:left="1300" w:hanging="1049"/>
        <w:spacing w:after="0" w:line="288"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SJWNE LLC, a Delaware limited liability company, was formed in 2019, and is a wholly-owned subsidiary of SJW Group. SJWNE LLC is a special purpose entity established to hold SJW Group’s investment in Connecticut Water Service, Inc. Connecticut Water Service, Inc. with its headquarters located in Clinton, Connecticut was incorporated in 1974 in the State of Connecticut. As part of the merger transaction between SJW Group and Connecticut Water Service, Inc. on October 9, 2019, Connecticut Water Service, Inc. and its subsidiaries (“CTWS”) became a wholly-owned subsidiary of SJWNE LLC. Connecticut Water Service, Inc. is a holding company with four wholly-owned subsidiaries. The Connecticut Water Company (“Connecticut Water”) and The Maine Water Company (“Maine Water”) are public utilities in the business of providing water service to approximately 140,000 connections that serve a population of approximately 456,000 people in 81 municipalities throughout Connecticut and Maine and more than 3,000 wastewater connections in Southbury, Connecticut. The remaining two subsidiaries are Chester Realty, Inc., a real estate company in Connecticut, and New England Water Utility Services, Inc. (“NEWUS”), which provides contract water and sewer operations and other water related services.</w:t>
      </w:r>
    </w:p>
    <w:p>
      <w:pPr>
        <w:spacing w:after="0" w:line="60" w:lineRule="exact"/>
        <w:rPr>
          <w:rFonts w:ascii="Arial" w:cs="Arial" w:eastAsia="Arial" w:hAnsi="Arial"/>
          <w:sz w:val="16"/>
          <w:szCs w:val="16"/>
          <w:color w:val="auto"/>
        </w:rPr>
      </w:pPr>
    </w:p>
    <w:p>
      <w:pPr>
        <w:ind w:left="1300" w:hanging="1049"/>
        <w:spacing w:after="0" w:line="285" w:lineRule="auto"/>
        <w:tabs>
          <w:tab w:leader="none" w:pos="1295" w:val="left"/>
        </w:tabs>
        <w:numPr>
          <w:ilvl w:val="0"/>
          <w:numId w:val="4"/>
        </w:numPr>
        <w:rPr>
          <w:rFonts w:ascii="Arial" w:cs="Arial" w:eastAsia="Arial" w:hAnsi="Arial"/>
          <w:sz w:val="16"/>
          <w:szCs w:val="16"/>
          <w:color w:val="auto"/>
        </w:rPr>
      </w:pPr>
      <w:r>
        <w:rPr>
          <w:rFonts w:ascii="Arial" w:cs="Arial" w:eastAsia="Arial" w:hAnsi="Arial"/>
          <w:sz w:val="16"/>
          <w:szCs w:val="16"/>
          <w:color w:val="auto"/>
        </w:rPr>
        <w:t>SJWTX, Inc. was incorporated in the State of Texas in 2005. SJWTX, Inc. is doing business as Canyon Lake Water Service Company (“CLWSC”). CLWSC is a public utility in the business of providing water service to approximately 24,000 service connections that serve approximately 70,000 people. CLWSC’s service area comprises more than 266 square miles in the southern region of the Texas Hill Country in Bandera, Blanco, Comal, Hays, Kendall, Medina and Travis counties, the growing region between San Antonio and Austin, Texas. SJWTX, Inc. has a 25% interest in Acequia Water Supply Corporation (“Acequia”). Acequia has been determined to be a variable interest entity within the scope of Financial Accounting Standards Board (“FASB”) Accounting Standard Codification (“ASC”) Topic 810, “Consolidation” with SJWTX, Inc. as the primary beneficiary. As a result, Acequia has been consolidated with SJWTX, Inc. On December 17, 2021, CLWSC completed its acquisition of Kendall West Utility and Bandera East Utility, companies that provide water services, including wastewater and recycled water services in Kendall, Bandera and Medina counties which are located in south central Texas. Kendall West Utility and Bandera East Utility, together, added approximately 1,600 service connections that serve a population of approximately 5,000 people in a service area approximately 19 square miles to CLWSC’s operations. SJWTX, Inc is undergoing a corporate reorganization to separate regulated operations from non-tariffed activities. In November 2021, SJWTX Holdings, Inc. (“SJWTX Holdings”) and Texas Water Operation Services LLC (“TWOS”) were formed for the purpose of effecting a corporate reorganization of our water services organization in Texas. TWOS was created for non-tariffed operations and is wholly-owned by SJWTX Holdings. SJWTX Holdings is a wholly-owned subsidiary of SJW Group, incorporated to hold the investments in SJWTX, Inc. and TWOS. In addition, in 2022, SJWTX Holdings intends to create a new subsidiary to hold future wholesale water supply assets.</w:t>
      </w:r>
    </w:p>
    <w:p>
      <w:pPr>
        <w:spacing w:after="0" w:line="68" w:lineRule="exact"/>
        <w:rPr>
          <w:rFonts w:ascii="Arial" w:cs="Arial" w:eastAsia="Arial" w:hAnsi="Arial"/>
          <w:sz w:val="16"/>
          <w:szCs w:val="16"/>
          <w:color w:val="auto"/>
        </w:rPr>
      </w:pPr>
    </w:p>
    <w:p>
      <w:pPr>
        <w:ind w:left="1300" w:right="200" w:hanging="1049"/>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SJW Land Company was incorporated in 1985. SJW Land Company owns undeveloped land in California and Tennessee and operates commercial buildings in Tennessee.</w:t>
      </w:r>
    </w:p>
    <w:p>
      <w:pPr>
        <w:spacing w:after="0" w:line="62" w:lineRule="exact"/>
        <w:rPr>
          <w:sz w:val="20"/>
          <w:szCs w:val="20"/>
          <w:color w:val="auto"/>
        </w:rPr>
      </w:pPr>
    </w:p>
    <w:p>
      <w:pPr>
        <w:ind w:right="2740"/>
        <w:spacing w:after="0" w:line="446" w:lineRule="auto"/>
        <w:rPr>
          <w:sz w:val="20"/>
          <w:szCs w:val="20"/>
          <w:color w:val="auto"/>
        </w:rPr>
      </w:pPr>
      <w:r>
        <w:rPr>
          <w:rFonts w:ascii="Arial" w:cs="Arial" w:eastAsia="Arial" w:hAnsi="Arial"/>
          <w:sz w:val="16"/>
          <w:szCs w:val="16"/>
          <w:color w:val="auto"/>
        </w:rPr>
        <w:t>Together, SJWC, Connecticut Water, CLWSC, Maine Water and NEWUS, are referred to as “Water Utility Services.” SJW Land Company and and Chester Realty, Inc. are collectively referred to as “Real Estate Services.”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Regulation and Rates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Water Utility Services are subject to rate regulation based on cost recovery and meets the criteria of accounting guidance for rate-regulated operations, which considers the timing of the recognition of certain revenues and expenses. SJW Group’s consolidated financial statements reflect the effects of the rate-making process. The rate-making process is intended to provide revenues sufficient to recover normal operating expenses, provide funds for replacement of water infrastructure and produce a fair and reasonable return on stockholder common equity. SJW Group’s regulated operations financing activity is designed to</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ind w:right="540"/>
        <w:spacing w:after="0" w:line="277" w:lineRule="auto"/>
        <w:rPr>
          <w:sz w:val="20"/>
          <w:szCs w:val="20"/>
          <w:color w:val="auto"/>
        </w:rPr>
      </w:pPr>
      <w:r>
        <w:rPr>
          <w:rFonts w:ascii="Arial" w:cs="Arial" w:eastAsia="Arial" w:hAnsi="Arial"/>
          <w:sz w:val="18"/>
          <w:szCs w:val="18"/>
          <w:color w:val="auto"/>
        </w:rPr>
        <w:t>achieve capital structures consistent with regulatory guidelines in the locations where the companies operate. The following summarizes each state’s authorized rates and capital structure as of December 31,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California</w:t>
            </w: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auto"/>
              </w:rPr>
              <w:t>Connecticut</w:t>
            </w:r>
          </w:p>
        </w:tc>
        <w:tc>
          <w:tcPr>
            <w:tcW w:w="1560" w:type="dxa"/>
            <w:vAlign w:val="bottom"/>
            <w:gridSpan w:val="2"/>
          </w:tcPr>
          <w:p>
            <w:pPr>
              <w:ind w:left="460"/>
              <w:spacing w:after="0"/>
              <w:rPr>
                <w:sz w:val="20"/>
                <w:szCs w:val="20"/>
                <w:color w:val="auto"/>
              </w:rPr>
            </w:pPr>
            <w:r>
              <w:rPr>
                <w:rFonts w:ascii="Arial" w:cs="Arial" w:eastAsia="Arial" w:hAnsi="Arial"/>
                <w:sz w:val="14"/>
                <w:szCs w:val="14"/>
                <w:b w:val="1"/>
                <w:bCs w:val="1"/>
                <w:color w:val="auto"/>
              </w:rPr>
              <w:t>Texas (a)</w:t>
            </w:r>
          </w:p>
        </w:tc>
        <w:tc>
          <w:tcPr>
            <w:tcW w:w="1440" w:type="dxa"/>
            <w:vAlign w:val="bottom"/>
          </w:tcPr>
          <w:p>
            <w:pPr>
              <w:ind w:left="420"/>
              <w:spacing w:after="0"/>
              <w:rPr>
                <w:sz w:val="20"/>
                <w:szCs w:val="20"/>
                <w:color w:val="auto"/>
              </w:rPr>
            </w:pPr>
            <w:r>
              <w:rPr>
                <w:rFonts w:ascii="Arial" w:cs="Arial" w:eastAsia="Arial" w:hAnsi="Arial"/>
                <w:sz w:val="14"/>
                <w:szCs w:val="14"/>
                <w:b w:val="1"/>
                <w:bCs w:val="1"/>
                <w:color w:val="auto"/>
              </w:rPr>
              <w:t>Maine (a)</w:t>
            </w:r>
          </w:p>
        </w:tc>
      </w:tr>
      <w:tr>
        <w:trPr>
          <w:trHeight w:val="22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Authorized capital structure (debt/equity)</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47% / 53%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47% / 53%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 / 63%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54% / 46%</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Authorized return on equity</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8.90%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9.00%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10.88%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9.81%</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Authorized rate base (in millions)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$958.9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$63.3</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Estimated rate base at year-end (in millions)</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$1,023.1</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$613.6</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$95.1</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$87.6</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averages over water systems operating in the state.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 Regulatory Affairs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SJWC’s rates, service and other matters affecting its business are subject to regulation by the California Public Utilities Commission (“CPUC”).</w:t>
      </w:r>
    </w:p>
    <w:p>
      <w:pPr>
        <w:spacing w:after="0" w:line="12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Generally, there are three types of rate adjustments that affect SJWC’s revenue collection: general rate adjustments, cost of capital adjustments, and offset rate adjustments. General rate adjustments are authorized in general rate case decisions, which usually authorize an initial rate adjustment followed by two annual escalation adjustments. General rate applications are normally filed and processed during the last year covered by the most recent general rate case as required by the CPUC in order to avoid any gaps in regulatory decisions on general rate adjustments.</w:t>
      </w:r>
    </w:p>
    <w:p>
      <w:pPr>
        <w:spacing w:after="0" w:line="63"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Cost of capital adjustments are rate adjustments resulting from the CPUC’s usual tri-annual establishment of a reasonable rate of return for SJWC’s capital investments.</w:t>
      </w:r>
    </w:p>
    <w:p>
      <w:pPr>
        <w:spacing w:after="0" w:line="6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purpose of an offset rate adjustment is to compensate utilities for changes in specific pre-authorized offsettable capital investments or expenses, primarily for purchased water, groundwater extraction, purchased power and pensions. Pursuant to Section 792.5 of the California Public Utilities Code, a balancing account must be maintained for each expense item for which such revenue offsets have been authorized. Memorandum accounts track revenue impacts due to catastrophic events, certain unforeseen water quality expenses related to new federal and state water quality standards, energy efficiency, water conservation during periods of mandated water restrictions, water tariffs and other approved activities or as directed by the CPUC. The purpose of balancing and memorandum accounts is to track the under-collection or over-collection associated with such expense changes and activities for future recovery or refund considerations.</w:t>
      </w:r>
    </w:p>
    <w:p>
      <w:pPr>
        <w:spacing w:after="0" w:line="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March 17, 2020, the CPUC ordered its regulated water utilities to halt customer disconnection activities in connection with the COVID-19 pandemic. On April 2, 2020, California Governor Gavin Newsom issued Executive Order N-42-20 suspending customer disconnection activities until further notice. On April 16, 2020, the CPUC issued Resolution M-4842 directing utilities to implement emergency customer protections to assist customers such as waiving reconnection deposits, offering payment arrangements, and suspending disconnections for nonpayment. This resolution was effective for up to one year, or April 15, 2021, with the option to extend. On February 11, 2021, the CPUC approved Resolution M-4849 extending customer protections required in Resolution M-4842 through June 30, 2021. The resolution also requires water utilities to develop a transition plan regarding shutoffs and terminations with customers once the moratorium ends. On April 1, 2021, SJWC filed Advice Letter 560 which includes such plan and the filing was approved on June 16, 2021. On June 11, 2021, Governor Newsom issued Executive Order N-08-21 which initially ended the suspension on customer disconnection activities on September 30, 2021. On June 16, 2021, the CPUC directed its regulated water utilities to extend the suspension on customer disconnection activities through September 30, 2021, in response to the Governor’s order. On June 23, 2021, SJWC filed Advice Letter 565 to extend Resolution M-4849’s emergency customer protections through September 30, 2021. This advice letter was approved on July 1, 2021. On July 20, 2021, the CPUC directed its regulated water utilities to continue to suspend customer disconnection activities until the sooner of further notice and direction from the CPUC or until February 1, 2022. On September 23, 2021, Governor Newsom approved Senate Bill 155, which included a provision extending the water shutoff moratorium through December 31, 2021.</w:t>
      </w:r>
    </w:p>
    <w:p>
      <w:pPr>
        <w:spacing w:after="0" w:line="7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SJWC filed Advice Letter No. 556 on November 16, 2020, with the CPUC requesting authorization to increase its revenue requirement by $11.8 million or 3.04% in 2021 for the final escalation year authorized in our 2018 General Rate Case Decision No. 18-011-025 which established rates for 2019, 2020, and 2021. This advice letter was approved on December 17, 2020, and new rates became effective January 1, 2021.</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4, 2021, SJWC filed General Rate Case Application No. 21-01-003 requesting authority for an increase of revenue of $51.6 million or 13.35% in 2022, $16.9 million or 3.88% in 2023, and $19.2 million or 4.24% in 2024. The application also includes requests to recover $18.5 million from balancing and memorandum accounts, authorization for a $435.0 million capital budget, further alignment between actual and authorized usage, and a shift to greater revenue collection in the service charge.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t>The application will undergo a year-long review process and new rates, if approved, are expected to be effective by the second quarter of 2022. Due to the processing delay, SJWC filed Advice Letter No. 573 on December 30, 2021, to request interim rates effective January 1, 2022, which will allow SJWC to retroactively apply approved rates to January 1, 2022. Interim rates are proposed to be set equal to present rates in order to avoid customer confusion and short-term bill changes. This advice letter was approved with an effective date of January 1, 2022. SJWC and the Public Advocates Office filed a settlement agreement resolving all issues in the proceeding on January 13, 2022, which will be considered by the CPUC for adoption. The settlement recognizes the need for continued investments in the water system to deliver safe and reliable water service. Additionally, it further aligns authorized and actual consumption, particularly for business customers, addresses our water supply mix challenge, and provides greater revenue recovery in the fixed charge.</w:t>
      </w:r>
    </w:p>
    <w:p>
      <w:pPr>
        <w:spacing w:after="0" w:line="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May 3, 2021, SJWC filed Application No. 21-05-004 requesting authority to adjust its cost of capital for the period from January 1, 2022 through December 31, 2024. The request seeks a revenue increase of $6.4 million or 1.61% in 2022. The application also proposes a rate of return of 8.11%, an increase from the current rate of 7.64%, a decrease in the average cost of debt rate from 6.20% to 5.48%, and a return of equity of 10.30%, an increase from the current rate of 8.90%. In addition, the request seeks to adjust SJWC’s currently authorized capital structure of approximately 47% debt and 53% equity to approximately 45% debt and 55% equity. If approved, rates are expected to be effective in the third quarter of 2022.</w:t>
      </w:r>
    </w:p>
    <w:p>
      <w:pPr>
        <w:spacing w:after="0" w:line="68"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On May 27, 2021, SJWC filed Advice Letter No. 561/561A with the CPUC requesting authorization to increase revenue by $17.3 million or 4.34% to recover the increases to purchased potable water charges, the groundwater extraction fee, and purchased recycled water charges implemented by Santa Clara Valley Water District (“Valley Water”) and South Bay Water Recycling. This advice letter was approved with an effective date of July 1, 2021.</w:t>
      </w:r>
    </w:p>
    <w:p>
      <w:pPr>
        <w:spacing w:after="0" w:line="4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9, 2021, Valley Water declared a water shortage emergency and mandated its retailers to reduce consumption by 15% based on 2019’s volume. On June 18, 2021, SJWC filed Advice Letter No. 563 with the CPUC to activate Stage 3 of its Rule 14.1, Water Shortage Contingency Plan, in response to Valley Water’s declaration of drought emergency and call for 15% mandatory conservation. Advice Letter No. 564 was also filed on June 9, 2021, to establish a Water Conservation Memorandum Account to track the revenue impact of authorized versus actual water consumption and the incremental expenses required to implement our mandatory water conservation plan. Similar memorandum accounts were authorized during the previous drought. Advice Letters No. 564 and 563 were approved with the effective dates of July 20, 2021, and August 5, 2021, respectively.</w:t>
      </w:r>
    </w:p>
    <w:p>
      <w:pPr>
        <w:spacing w:after="0" w:line="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August 5, 2021, SJWC filed Advice Letter No. 567 with the CPUC requesting authorization to update its Drought Allocations and Drought Surcharges program contained within its Schedule 14.1. This filing updates the program developed during the drought of 2014-2017. Advice Letter No. 567 was approved with an effective date of September 6, 2021. This approval does not authorize program activation.</w:t>
      </w:r>
    </w:p>
    <w:p>
      <w:pPr>
        <w:spacing w:after="0" w:line="5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October 15, 2021, SJWC filed Advice Letter No. 569 with the CPUC requesting authorization to activate Schedule 14.1 effective November 15, 2021, as approved in Advice Letter No. 567. The drought surcharges collected will be used to offset the revenue losses tracked in the Water Conservation Memorandum Account authorized in Advice Letter No. 564. This advice letter was approved with an effective date of November 15,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Connecticut Regulatory Affairs</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Connecticut Water’s rates, service and other matters affecting its business are subject to regulation by The Public Utilities Regulatory Authority of Connecticut (“PURA”).</w:t>
      </w:r>
    </w:p>
    <w:p>
      <w:pPr>
        <w:spacing w:after="0" w:line="8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PURA allows the Connecticut regulated operations to add surcharges to customers’ bills in order to recover certain costs associated with approved eligible capital projects through the Water Infrastructure Conservation Adjustment (“WICA”) in between full rate cases, as well as approved surcharges for the Water Revenue Adjustment (“WRA”).</w:t>
      </w:r>
    </w:p>
    <w:p>
      <w:pPr>
        <w:spacing w:after="0" w:line="1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Connecticut Water mitigates the risk associated with changes in demand through a PURA approved WRA mechanism. The WRA is used to reconcile actual water demands with the demands projected in the most recent general rate case and allows companies to implement a surcharge or surcredit as necessary to recover the revenues approved in the general rate case. The WRA removes the financial disincentive for water utilities to develop and implement effective water conservation programs. The WRA allows water companies to defer on the balance sheet, as a regulatory asset or liability, for later collection from or crediting to customers the amount by which actual revenues deviate from the revenues allowed in the most recent general rate proceedings. Projects eligible for WICA surcharges include certain types of aging utility plant, primarily water mains, meters, and service lines. Additionally, certain energy conservation projects, improvements required to comply with streamflow regulations, and improvements to acquired systems are eligible for WICA surcharges.</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October 28, 2020, Connecticut Water filed a WICA application representing an additional 1.11% surcharge or approximately $1.0 million increase in revenues, for a cumulative WICA surcharge of 6.94% which became effective April 1, 2021. Additionally, on February 1, 2021, Connecticut Water and the Avon Water division separately filed their annual WICA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t>reconciliation which called for a 0.09% increase and 0.80% reduction of the WICA surcharge, respectively. On March 3, 2021, in separate decisions, PURA approved a net cumulative 7.03% WICA surcharge for Connecticut Water and a net cumulative 8.51% WICA surcharge for the Avon Water division, both of which became effective on customers’ bills on April 1, 2021. The WICA surcharge was reset to zero as part of the July 28, 2021 rate case decision, and remained zero until December 31, 2021.</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January 15, 2021, Connecticut Water filed an application with PURA to amend rates for its customers, including the divisions of Avon Water and Heritage Village Water. The filing requests an increase of $20.2 million in annual revenues that includes more than $265.5 million in completed infrastructure investments that are not currently in approved rates and surcharges. On July 28, 2021, Connecticut Water received the final decision approving an increase of $5.2 million in annual revenues, a return on equity of 9.0%, with new rates effective July 28, 2021. The final decision also approved a low-income rate, tiered block rate structure for residential water customers and the cost of debt and equity percentage as requested. The final decision did not include all of the requested pro forma plant in service due to the timing of its completion. However, no plant was disallowed. Connecticut Water will seek recovery for the projects in the future. The portion of plant which is eligible for recovery through WICA was included in the October 26, 2021 WICA filing discussed below or will be included in future WICA filings. In addition, the final decision reset WICA, which was approaching its statutory caps, to zero. On August 11, 2021, Connecticut Water filed a petition for reconsideration with PURA to consider matters specific to excess deferred income taxes contained in the July 28, 2021 decision. The proposed increased revenues associated with the petition is $2.2 million. On November 17, 2021, PURA issued a final decision approving $2.1 million of Connecticut Water’s request.</w:t>
      </w:r>
    </w:p>
    <w:p>
      <w:pPr>
        <w:spacing w:after="0" w:line="1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26, 2021, Connecticut Water filed for a WICA increase of approximately $21.7 million in completed projects. Many of the projects were those that were not considered by PURA in the rate case because of the deadline in the proceeding for pro forma capital additions. On December 22, 2021, PURA approved a WICA surcharge of 2.44% to be added to bills of all Connecticut Water customers, including those of the former The Avon Water Company and The Heritage Village Water Company, effective January 1, 2022 which is expected to generate approximately $2.6 million in additional revenue.</w:t>
      </w:r>
    </w:p>
    <w:p>
      <w:pPr>
        <w:spacing w:after="0" w:line="8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Long-term debt issuances for Connecticut Water require regulatory authorization which is typically obtained for a specified amount of debt to be issued during a specified period of time. On March 16, 2021, Connecticut Water filed for PURA approval for the issuance of up to $100.0 million of long-term borrowings in 2021. Connecticut Water received approval of the financings from PURA on June 9,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Texas Regulatory Affairs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CLWSC’s rates are subject to the economic regulation of the Public Utilities Commission of Texas (“PUCT”). The PUCT may authorize rate increases after the filing of an Application for a Rate/Tariff Change. Rate cases may be filed as they become necessary, provided there is no current rate case outstanding. Furthermore, rate cases may not be filed more frequently than once every 12 months.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29, 2021, CLWSC submitted its Water Pass-Through Charge (“WPC”) true-up report for the Canyon Lake area water systems’ 2020 purchased water costs. The WPC is the annual filing to update the monthly per thousand gallons charge for changes in purchased water costs since the last annual true-up report. The 2020 WPC true-up report resulted in a reduction of the WPC usage rate from $0.95 dollars to $0.70 dollars per thousand gallons which became effective on March 1, 2021. In August 2021, the Guadalupe-Blanco River Authority (“GBRA”) increased its debt service rate by 82% and announced a 15% increase in the Operations &amp; Maintenance rate and a 4% increase in the firm water rate effective September 1, 2021. CLWSC filed its annual WPC true-up report on January 31, 2022 under Docket No. 53173. The 2022 WPC usage rate will increase from $0.70 to $1.02 dollars per thousand gallons due to CLWSC under-collecting the actual cost of purchased water and GBRA increasing its rates. The new usage rate will be effective starting March 1, 2022.</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Deer Creek Ranch water system has a separate WPC. A WPC filing for Deer Creek Ranch is required only when there is a change in purchased water costs. CLWSC received notice of an increase of 4% for the Deer Creek purchased water cost from West Travis Public Utility Agency (“WTPUA”), effective in October 2021. SJWTX also received notice from the Lower Colorado River Authority (“LCRA”) of an increase of 7% per acre-foot for the firm water rate and the reservation rate. The WPC true-up report for this system was submitted on December 1, 2021, which will result in an increase in the usage charge from $1.84 to $1.87 dollars per thousand gallons, and an increase in the monthly base charge of $1.04 dollars per residential account effective January 1, 2022.</w:t>
      </w:r>
    </w:p>
    <w:p>
      <w:pPr>
        <w:spacing w:after="0" w:line="1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 disaster declaration was issued on February 12, 2021, by the PUCT because of severe winter weather. The PUCT issued orders under Docket No. 51812-6 which prohibited disconnections for non-payment, suspended the rules for late fees and interest, and allowed for estimated billing for the duration of the disaster declaration. On March 5, 2021, the PUCT reinstituted the utilities’ ability to resume charging late fees, and on June 15, 2021, removed the prohibition on disconnections for non-payment. The Texas Legislature passed Senate Bill No. 3 on August 6, 2021. Under this bill, utilities are obligated to report to the PUCT steps they are taking to mitigate the type of long-term power outages experienced during the February 2021 storm.</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7" w:name="page8"/>
    <w:bookmarkEnd w:id="7"/>
    <w:p>
      <w:pPr>
        <w:ind w:right="260"/>
        <w:spacing w:after="0" w:line="277" w:lineRule="auto"/>
        <w:rPr>
          <w:sz w:val="20"/>
          <w:szCs w:val="20"/>
          <w:color w:val="auto"/>
        </w:rPr>
      </w:pPr>
      <w:r>
        <w:rPr>
          <w:rFonts w:ascii="Arial" w:cs="Arial" w:eastAsia="Arial" w:hAnsi="Arial"/>
          <w:sz w:val="18"/>
          <w:szCs w:val="18"/>
          <w:color w:val="auto"/>
        </w:rPr>
        <w:t>CLWSC filed its emergency preparedness plans under Docket No. 52299 on November 1, 2021. CLWSC expects to incur capital expenditures related to meeting these new requirements, largely for procurement of backup generators.</w:t>
      </w:r>
    </w:p>
    <w:p>
      <w:pPr>
        <w:spacing w:after="0" w:line="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28, 2021, CLWSC announced that it reached an agreement to acquire the Kendall West and Bandera East utilities in Bandera, Kendall, and Medina counties in Texas and that change in ownership applications had been filed with the PUCT under Docket No. 52281. The PUCT approved the acquisition on December 10, 2021 and the transaction closed on December 17, 2021. The acquisition increased CLWSC’s customers served by 1,600 service connections. Rates will remain the same for those customers of the acquired Certificate of Convenience and Necessity.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Maine Regulatory Affairs</w:t>
      </w:r>
    </w:p>
    <w:p>
      <w:pPr>
        <w:spacing w:after="0" w:line="15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Maine Water’s rates, service and other matters affecting its business are subject to regulation by the Maine Public Utilities Commission (“MPUC”). MPUC approves rates on a division-by-division basis in Maine and allows Maine Water to add surcharges to customers’ bills in order to recover certain costs associated with capital projects through the Water Infrastructure Surcharge (“WISC”) in between general rate cases. Projects eligible for WISC surcharges include all infrastructure replacement or repair projects, excluding meters, that are necessary for the transmission, distribution or treatment of water.</w:t>
      </w:r>
    </w:p>
    <w:p>
      <w:pPr>
        <w:spacing w:after="0" w:line="9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MPUC is authorized to allow a WRA mechanism to regulated water utilities. Maine’s rate-adjustment mechanism could provide revenue stabilization in divisions with declining water consumption and Maine Water expects to request usage of this mechanism in future rate filings when consumption trends support its use.</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June 17, 2020, the MPUC approved a general rate increase for Skowhegan Division customers allowing $0.2 million in additional revenue. Per the MPUC decision, the increase was implemented in two steps: an initial 9.80% rate increase effective June 15, 2020, and a 3.51% rate increase effective July 1, 2021. The combined rate increase is 13.31%.</w:t>
      </w:r>
    </w:p>
    <w:p>
      <w:pPr>
        <w:spacing w:after="0" w:line="116"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On March 10, 2021, Maine Water filed a general rate increase application for the Biddeford Saco Division seeking approximately $6.7 million, or 77.5%, in additional revenue. The application proposed a three step, multi-year rate plan designed to ease the transition to higher water bills over the period from July 2021 to July 2023. The primary driver for the increase in rates is the support for a new drinking water treatment facility on the Saco River, a $60.0 million project to replace the existing facility that is expected to be in service in the second quarter of 2022. On June 23, 2021, the MPUC approved the first step in the plan by adopting the proposed rate smoothing mechanism and implementing a temporary 22.65% surcharge on all customer bills. The surcharge will be in effect for one year. On September 8, 2021, Maine Water filed a supplemental application to update its request to increase base rates, initiating the second step in the rate plan. The supplemental application updates the March application and seeks $6.9 million, or 80.1% in additional revenue and provides a bill credit funded by the year one surcharge to offset a portion of the increase. The bill credit will be in effect for one year. A decision on the requested revenue increase is expected in the second quarter of 2022, corresponding with the completion of the new water treatment facility.</w:t>
      </w:r>
    </w:p>
    <w:p>
      <w:pPr>
        <w:spacing w:after="0" w:line="104" w:lineRule="exact"/>
        <w:rPr>
          <w:sz w:val="20"/>
          <w:szCs w:val="20"/>
          <w:color w:val="auto"/>
        </w:rPr>
      </w:pPr>
    </w:p>
    <w:p>
      <w:pPr>
        <w:jc w:val="both"/>
        <w:ind w:right="540"/>
        <w:spacing w:after="0" w:line="235" w:lineRule="auto"/>
        <w:rPr>
          <w:sz w:val="20"/>
          <w:szCs w:val="20"/>
          <w:color w:val="auto"/>
        </w:rPr>
      </w:pPr>
      <w:r>
        <w:rPr>
          <w:rFonts w:ascii="Arial" w:cs="Arial" w:eastAsia="Arial" w:hAnsi="Arial"/>
          <w:sz w:val="18"/>
          <w:szCs w:val="18"/>
          <w:color w:val="auto"/>
        </w:rPr>
        <w:t>On October 28, 2021, Maine Water filed a WISC application with the MPUC for the Skowhegan division requesting an increase of 3%, representing approximately $0.1 million in additional revenues. The WISC application was approved on December 27, 2021, and the surcharge became effective January 1, 2022.</w:t>
      </w:r>
    </w:p>
    <w:p>
      <w:pPr>
        <w:spacing w:after="0" w:line="94" w:lineRule="exact"/>
        <w:rPr>
          <w:sz w:val="20"/>
          <w:szCs w:val="20"/>
          <w:color w:val="auto"/>
        </w:rPr>
      </w:pPr>
    </w:p>
    <w:p>
      <w:pPr>
        <w:ind w:right="4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Please also see </w:t>
      </w:r>
      <w:hyperlink w:anchor="page16">
        <w:r>
          <w:rPr>
            <w:rFonts w:ascii="Arial" w:cs="Arial" w:eastAsia="Arial" w:hAnsi="Arial"/>
            <w:sz w:val="18"/>
            <w:szCs w:val="18"/>
            <w:u w:val="single" w:color="auto"/>
            <w:color w:val="0000FF"/>
          </w:rPr>
          <w:t>Item 1A</w:t>
        </w:r>
      </w:hyperlink>
      <w:r>
        <w:rPr>
          <w:rFonts w:ascii="Arial" w:cs="Arial" w:eastAsia="Arial" w:hAnsi="Arial"/>
          <w:sz w:val="18"/>
          <w:szCs w:val="18"/>
          <w:color w:val="auto"/>
        </w:rPr>
        <w:t xml:space="preserve">, “Risk Factors,” </w:t>
      </w:r>
      <w:hyperlink w:anchor="page31">
        <w:r>
          <w:rPr>
            <w:rFonts w:ascii="Arial" w:cs="Arial" w:eastAsia="Arial" w:hAnsi="Arial"/>
            <w:sz w:val="18"/>
            <w:szCs w:val="18"/>
            <w:u w:val="single" w:color="auto"/>
            <w:color w:val="0000FF"/>
          </w:rPr>
          <w:t>Item 7</w:t>
        </w:r>
      </w:hyperlink>
      <w:r>
        <w:rPr>
          <w:rFonts w:ascii="Arial" w:cs="Arial" w:eastAsia="Arial" w:hAnsi="Arial"/>
          <w:sz w:val="18"/>
          <w:szCs w:val="18"/>
          <w:color w:val="auto"/>
        </w:rPr>
        <w:t xml:space="preserve">, “Management’s Discussion and Analysis of Financial Condition and Results of Operations,” and </w:t>
      </w:r>
      <w:hyperlink w:anchor="page64">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Consolidated Financial Statements.”</w:t>
      </w:r>
    </w:p>
    <w:p>
      <w:pPr>
        <w:spacing w:after="0" w:line="112" w:lineRule="exact"/>
        <w:rPr>
          <w:rFonts w:ascii="Arial" w:cs="Arial" w:eastAsia="Arial" w:hAnsi="Arial"/>
          <w:sz w:val="18"/>
          <w:szCs w:val="18"/>
          <w:color w:val="auto"/>
        </w:rPr>
      </w:pPr>
    </w:p>
    <w:p>
      <w:pPr>
        <w:ind w:left="580"/>
        <w:spacing w:after="0"/>
        <w:rPr>
          <w:sz w:val="20"/>
          <w:szCs w:val="20"/>
          <w:color w:val="auto"/>
        </w:rPr>
      </w:pPr>
      <w:r>
        <w:rPr>
          <w:rFonts w:ascii="Arial" w:cs="Arial" w:eastAsia="Arial" w:hAnsi="Arial"/>
          <w:sz w:val="18"/>
          <w:szCs w:val="18"/>
          <w:b w:val="1"/>
          <w:bCs w:val="1"/>
          <w:color w:val="auto"/>
        </w:rPr>
        <w:t>Description of Business</w:t>
      </w:r>
    </w:p>
    <w:p>
      <w:pPr>
        <w:spacing w:after="0" w:line="63" w:lineRule="exact"/>
        <w:rPr>
          <w:rFonts w:ascii="Arial" w:cs="Arial" w:eastAsia="Arial" w:hAnsi="Arial"/>
          <w:sz w:val="18"/>
          <w:szCs w:val="18"/>
          <w:color w:val="auto"/>
        </w:rPr>
      </w:pPr>
    </w:p>
    <w:p>
      <w:pPr>
        <w:ind w:left="580"/>
        <w:spacing w:after="0"/>
        <w:rPr>
          <w:sz w:val="20"/>
          <w:szCs w:val="20"/>
          <w:color w:val="auto"/>
        </w:rPr>
      </w:pPr>
      <w:r>
        <w:rPr>
          <w:rFonts w:ascii="Arial" w:cs="Arial" w:eastAsia="Arial" w:hAnsi="Arial"/>
          <w:sz w:val="18"/>
          <w:szCs w:val="18"/>
          <w:b w:val="1"/>
          <w:bCs w:val="1"/>
          <w:color w:val="auto"/>
        </w:rPr>
        <w:t>General</w:t>
      </w:r>
    </w:p>
    <w:p>
      <w:pPr>
        <w:spacing w:after="0" w:line="162" w:lineRule="exact"/>
        <w:rPr>
          <w:rFonts w:ascii="Arial" w:cs="Arial" w:eastAsia="Arial" w:hAnsi="Arial"/>
          <w:sz w:val="18"/>
          <w:szCs w:val="18"/>
          <w:color w:val="auto"/>
        </w:rPr>
      </w:pPr>
    </w:p>
    <w:p>
      <w:pPr>
        <w:ind w:right="100"/>
        <w:spacing w:after="0" w:line="270" w:lineRule="auto"/>
        <w:rPr>
          <w:sz w:val="20"/>
          <w:szCs w:val="20"/>
          <w:color w:val="auto"/>
        </w:rPr>
      </w:pPr>
      <w:r>
        <w:rPr>
          <w:rFonts w:ascii="Arial" w:cs="Arial" w:eastAsia="Arial" w:hAnsi="Arial"/>
          <w:sz w:val="17"/>
          <w:szCs w:val="17"/>
          <w:color w:val="auto"/>
        </w:rPr>
        <w:t>The principal business of Water Utility Services consists of the production, purchase, storage, purification, distribution, wholesale and retail sale of water and wastewater services. SJWC provides water services to approximately 231,000 connections that serve approximately one million people residing in portions of the cities of San Jose and Cupertino and in the cities of Campbell, Monte Sereno, Saratoga and in the Town of Los Gatos, and adjacent unincorporated territories, all in the County of Santa Clara in the State of California. The CTWS companies provide water service to approximately 140,000 service connections that serve a population of approximately 456,000 people in 81 municipalities with a service area of approximately 269 square miles throughout Connecticut and Maine and 3,000 wastewater connections in Southbury, Connecticut. CLWSC provides water service to approximately 24,000 service connections that serve approximately 70,000 people in a service area comprising more than 266 square miles in the region between San Antonio and Austin, Texas. Together, the Water Utility Services distribute water to customers in their respective service areas in accordance with accepted water utility methods.</w:t>
      </w:r>
    </w:p>
    <w:p>
      <w:pPr>
        <w:spacing w:after="0" w:line="100" w:lineRule="exact"/>
        <w:rPr>
          <w:rFonts w:ascii="Arial" w:cs="Arial" w:eastAsia="Arial" w:hAnsi="Arial"/>
          <w:sz w:val="18"/>
          <w:szCs w:val="18"/>
          <w:color w:val="auto"/>
        </w:rPr>
      </w:pPr>
    </w:p>
    <w:p>
      <w:pPr>
        <w:ind w:right="240"/>
        <w:spacing w:after="0" w:line="263" w:lineRule="auto"/>
        <w:rPr>
          <w:sz w:val="20"/>
          <w:szCs w:val="20"/>
          <w:color w:val="auto"/>
        </w:rPr>
      </w:pPr>
      <w:r>
        <w:rPr>
          <w:rFonts w:ascii="Arial" w:cs="Arial" w:eastAsia="Arial" w:hAnsi="Arial"/>
          <w:sz w:val="18"/>
          <w:szCs w:val="18"/>
          <w:color w:val="auto"/>
        </w:rPr>
        <w:t>SJWC, Connecticut Water and Maine Water provide non-tariffed services under agreements with municipalities and other utilities. These non-tariffed services include water system operations, maintenance agreements and antenna site leases. In addition, in October 1997, SJWC commenced operation of the City of Cupertino municipal water system under a 25-year lease</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 w:name="page9"/>
    <w:bookmarkEnd w:id="8"/>
    <w:p>
      <w:pPr>
        <w:ind w:right="60"/>
        <w:spacing w:after="0" w:line="269" w:lineRule="auto"/>
        <w:rPr>
          <w:sz w:val="20"/>
          <w:szCs w:val="20"/>
          <w:color w:val="auto"/>
        </w:rPr>
      </w:pPr>
      <w:r>
        <w:rPr>
          <w:rFonts w:ascii="Arial" w:cs="Arial" w:eastAsia="Arial" w:hAnsi="Arial"/>
          <w:sz w:val="17"/>
          <w:szCs w:val="17"/>
          <w:color w:val="auto"/>
        </w:rPr>
        <w:t>which is due to expire in September of 2022 and was amended on January 8, 2020. The system is adjacent to the SJWC service area and has approximately 4,600 service connections. Under the terms of the lease, SJWC paid an upfront $6.8 million concession fee to the City of Cupertino that is being amortized over the contract term. SJWC assumed responsibility for all maintenance and operating costs of the system, while receiving all payments for water service. Under the terms of the amended lease agreement in 2020, SJWC agreed to make an additional up-front payment of $5 million that could be used to invest in capital improvements in Cupertino’s water system prior to the expiration of the lease. Any unspent funds at lease termination remain the property Cupertino. On November 2, 2021, the City of Cupertino approved another amendment to the current lease agreement executed on January 8, 2020. This second amendment provides the City of Cupertino options to extend the lease agreement by periods of six months, two years, or three years with modifications of additional capital improvement funds of $0.4 million, $1.6 million and $2.5 million, respectively, depending on the lease extension period option. These options are intended to provide the City of Cupertino more time, if needed, to complete its RFP process for a new lease term and conduct analyses of other alternatives for the operation of the water system.</w:t>
      </w:r>
    </w:p>
    <w:p>
      <w:pPr>
        <w:spacing w:after="0" w:line="10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CTWS provides contracted services to water utilities, as well as offers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protection plans for public drinking water customers in the States of Connecticut and Maine.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plans cover a limited amount of the cost of repairs to water and wastewater service lines and in-home plumbing. Services provided are dependent on the selected plan.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SJW Land Company owns undeveloped real estate property in California and Tennessee, as well as commercial and warehouse properties in Tennessee.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Chester Realty, Inc. owns commercial properties and parcels of land in Connecticut.</w:t>
      </w:r>
    </w:p>
    <w:p>
      <w:pPr>
        <w:spacing w:after="0" w:line="103"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Among other things, operating results from the water business fluctuate according to the demand for water, which is often influenced by seasonal conditions, such as impact of drought, summer temperatures or the amount and timing of precipitation in Water Utility Services’ service areas. Revenue, production expenses and income are affected by changes in water sales and the availability of surface water supply. Overhead costs, such as payroll and benefits, depreciation, interest on long-term debt, and property taxes, remain fairly constant despite variations in the amount of water sold. As a result, earnings are highest in the higher demand, warm summer months and lowest in the lower demand, cool winter months.</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Water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 Water Supply</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water from surface run-off and diversion and the corresponding increase in purchased and pumped water increases production expenses substantially.</w:t>
      </w:r>
    </w:p>
    <w:p>
      <w:pPr>
        <w:spacing w:after="0" w:line="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pumps and motors at SJWC’s groundwater production facilities are propelled by electric power. SJWC has installed standby power generators at 38 of its strategic water production sites and manages a fleet of 21 portable generators deployed throughout the distribution system for power outages at remaining pumping facilities. In addition, the commercial office and operations control centers are outfitted with standby power equipment that allow critical distribution and customer service operations to continue during a power outage. Valley Water has informed SJWC that its filter plants, which deliver purchased water to SJWC, are also equipped with standby generators. In the event of a power outage, SJWC believes it will be able to prevent an interruption of service to customers for a limited period by pumping water using generator power and by using purchased water from Valley Water.</w:t>
      </w:r>
    </w:p>
    <w:p>
      <w:pPr>
        <w:spacing w:after="0" w:line="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2021, the level of water in the Santa Clara Valley groundwater basin, which is managed by the Valley Water, experienced a decrease due to an increase in groundwater pumping by various water retailers in the region, and lower than normal local rainfall and natural recharge. As reported by Valley Water at the end of 2021, the groundwater level in the Santa Clara Plain was 2 feet lower compared to the same time in 2020. The total groundwater storage at the end of 2021 was within Stage 1 (Normal) of the Valley Water’s Water Shortage Contingency Plan. On January 1, 2022, Valley Water’s 10 reservoirs were 28% of capacity with 46,318 acre-feet of water in storage. As of December 31, 2021, SJWC’s Lake Elsman was 58.8% of capacity with 3,615 acre-feet of water, approximately 121.1% of the five-year seasonal average. In addition, the rainfall at SJWC’s Lake Elsman was measured at 32.17 inches for the period from July 1, 2021 through December 31, 2021, which is 257.8% of the five-year average. Subsequent to December 31, 2021, California has returned to drier than normal weather patterns. Local surface water is a less costly source of water than groundwater or purchased water and its availability significantly impacts SJWC’s results of operations. SJWC’s Montevina Water Treatment Plant treated 1,350 acre-feet of water in 2021, which is 20.2% of the five-year average. SJWC believes that its various sources of water supply will be sufficient to meet customer demand in 2022.</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spacing w:after="0" w:line="296" w:lineRule="auto"/>
        <w:rPr>
          <w:sz w:val="20"/>
          <w:szCs w:val="20"/>
          <w:color w:val="auto"/>
        </w:rPr>
      </w:pPr>
      <w:r>
        <w:rPr>
          <w:rFonts w:ascii="Arial" w:cs="Arial" w:eastAsia="Arial" w:hAnsi="Arial"/>
          <w:sz w:val="16"/>
          <w:szCs w:val="16"/>
          <w:color w:val="auto"/>
        </w:rPr>
        <w:t>On June 9, 2021, Valley Water declared a water shortage emergency and asked its retailers to reduce consumption by 15% based on 2019 usage. In response to Valley Water’s declaration of drought emergency and call for conservation, SJWC filed with the CPUC to activate Stage 3 of its Rule 14.1 Water Shortage Contingency Plan. Like the most recent drought, the current restrictions center on outdoor water usage which typically accounts for half of a residential customer’s consumption. The restrictions include limits on watering days and times, use of potable water for washing structures and other non-porous surfaces except to protect public health and safety, and no outdoor watering during and up to 48 hours after measurable rainfall.</w:t>
      </w:r>
    </w:p>
    <w:p>
      <w:pPr>
        <w:spacing w:after="0" w:line="5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California also faces long-term water supply challenges. SJWC actively works with Valley Water to meet the challenges by continuing to educate customers on responsible water use practices and conducting long-range water supply planning.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Connecticut Water Supply</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Connecticut Water’s infrastructure consists of 65 noncontiguous water systems in the State of Connecticut. These systems, in total, consist of approximately 1,800 miles of water main and reservoir storage capacity of 2.4 billion gallons. The safe, dependable yield from 235 active wells and 18 surface water supplies is approximately 65 million gallons per day. Water sources vary among the individual systems, but overall approximately 80% of the total dependable yield comes from surface water supplies and 20% from wells. The Connecticut water utilities supplement their water supplies with purchase water contracts with neighboring utilities.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Texas Water Supply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CLWSC’s water supply consists of groundwater from wells and purchased treated and raw water from the GBRA. CLWSC has long-term agreements with the GBRA, which expire in 2037, 2040, 2044 and 2050. The agreements, which are take-or-pay contracts, provide CLWSC with an aggregate of 7,650 acre-feet of water per year from Canyon Lake at prices that may be adjusted periodically by GBRA. CLWSC also has raw water supply agreements with the LCRA and WTPUA expiring in 2059 and 2046, respectively, to provide for 250 acre-feet of water per year from Lake Austin and the Colorado River, respectively, at prices that may be adjusted periodically by the agencies.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Maine Water Supply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consists of approximately 600 miles of water main and reservoir storage capacity of 7.0 billion gallons. The safe, dependable yield from our 14 active wells and 7 surface water supplies is approximately 120 million gallons per day. Water sources vary among the individual systems, but overall approximately 90% of the total dependable yield comes from surface water supplies and 10% from wells.</w:t>
      </w:r>
    </w:p>
    <w:p>
      <w:pPr>
        <w:spacing w:after="0" w:line="7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Maine Water relies on legislatively granted water rights in order to serve customers. In some instances, these rights were granted to predecessor water companies specially chartered by the Maine legislature many decades ago, with those entities later having been merged into Maine Water. The legislation incorporating these predecessor water companies did not address whether chartered rights may be transferred to another entity without special legislative action. The Maine Business Corporation Act generally provides that property and contract rights of a merged corporation are vested in the surviving corporation without reversion or impairment. In the MPUC proceedings that approved the mergers of these Maine Water predecessor companies, the survivorship of water rights was not contested.</w:t>
      </w:r>
    </w:p>
    <w:p>
      <w:pPr>
        <w:spacing w:after="0" w:line="84" w:lineRule="exact"/>
        <w:rPr>
          <w:sz w:val="20"/>
          <w:szCs w:val="20"/>
          <w:color w:val="auto"/>
        </w:rPr>
      </w:pPr>
    </w:p>
    <w:p>
      <w:pPr>
        <w:ind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also see further discussion under </w:t>
      </w:r>
      <w:hyperlink w:anchor="page16">
        <w:r>
          <w:rPr>
            <w:rFonts w:ascii="Arial" w:cs="Arial" w:eastAsia="Arial" w:hAnsi="Arial"/>
            <w:sz w:val="18"/>
            <w:szCs w:val="18"/>
            <w:u w:val="single" w:color="auto"/>
            <w:color w:val="0000FF"/>
          </w:rPr>
          <w:t>Item 1A</w:t>
        </w:r>
      </w:hyperlink>
      <w:r>
        <w:rPr>
          <w:rFonts w:ascii="Arial" w:cs="Arial" w:eastAsia="Arial" w:hAnsi="Arial"/>
          <w:sz w:val="18"/>
          <w:szCs w:val="18"/>
          <w:color w:val="auto"/>
        </w:rPr>
        <w:t xml:space="preserve">, “Risk Factors” and </w:t>
      </w:r>
      <w:hyperlink w:anchor="page31">
        <w:r>
          <w:rPr>
            <w:rFonts w:ascii="Arial" w:cs="Arial" w:eastAsia="Arial" w:hAnsi="Arial"/>
            <w:sz w:val="18"/>
            <w:szCs w:val="18"/>
            <w:u w:val="single" w:color="auto"/>
            <w:color w:val="0000FF"/>
          </w:rPr>
          <w:t>Item 7</w:t>
        </w:r>
      </w:hyperlink>
      <w:r>
        <w:rPr>
          <w:rFonts w:ascii="Arial" w:cs="Arial" w:eastAsia="Arial" w:hAnsi="Arial"/>
          <w:sz w:val="18"/>
          <w:szCs w:val="18"/>
          <w:color w:val="auto"/>
        </w:rPr>
        <w:t>, “Management’s Discussion and Analysis of Financial Condition and Results of Operations.”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Franchises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Franchises granted by local jurisdictions permit Water Utility Services to construct, maintain, and operate water distribution systems within the streets and other public properties of a given jurisdiction.</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SJWC holds the necessary franchises to provide water in portions of the cities of San Jose and Cupertino and in the cities of Campbell, Monte Sereno and Saratoga, the Town of Los Gatos and the unincorporated areas of Santa Clara County. None of the franchises have a termination date, other than the franchise for the unincorporated areas of Santa Clara County, which terminates in 2035.</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Connecticut Water’s utility services hold the necessary franchises to provide water in portions of the towns of Ashford, Avon, Beacon Falls, Bethany, Bolton, Brooklyn, Burlington, Canton, Chester, Clinton, Colchester, Columbia, Coventry, Deep River, Durham, East Granby, East Haddam, East Hampton, East Windsor, Ellington, Enfield, Essex, Farmington, Griswold, Guilford, Haddam, Hebron, Killingly, Killingworth, Lebanon, Madison, Manchester, Mansfield, Marlborough, Middlebury, Naugatuck, Old Lyme, Old Saybrook, Oxford, Plainfield, Plymouth, Portland, Prospect, Simsbury, Somers, Southbury, South Windsor, Stafford, Stonington, Suffield, Thomaston, Thompson, Tolland, Vernon, Voluntown, Waterbury, Westbrook, Willington, Windsor Locks and Woodstock. Additionally, the Heritage Village Water division serves the Town of Southbury with wastewater services. None of the franchises of the Connecticut water utility services have a termination date.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0" w:name="page11"/>
    <w:bookmarkEnd w:id="10"/>
    <w:p>
      <w:pPr>
        <w:jc w:val="both"/>
        <w:ind w:right="80"/>
        <w:spacing w:after="0" w:line="263" w:lineRule="auto"/>
        <w:rPr>
          <w:sz w:val="20"/>
          <w:szCs w:val="20"/>
          <w:color w:val="auto"/>
        </w:rPr>
      </w:pPr>
      <w:r>
        <w:rPr>
          <w:rFonts w:ascii="Arial" w:cs="Arial" w:eastAsia="Arial" w:hAnsi="Arial"/>
          <w:sz w:val="18"/>
          <w:szCs w:val="18"/>
          <w:color w:val="auto"/>
        </w:rPr>
        <w:t>Maine Water holds franchises necessary to provide water services in the towns served are Biddeford, Saco, Old Orchard Beach, Scarborough (Pine Point), Porter, Parsonsfield, Hiram, Freeport, Camden, Rockland, Rockport, Owls Head, Union, Thomaston, Warren, Bucksport, Skowhegan, Oakland, Hartland, Millinocket and Greenville. None of the franchises with Maine Water have a termination date.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CLWSC holds the franchises necessary to provide water and wastewater services to the City of Bulverde and the City of Spring Branch, which terminate in 2029 and 2036, respectively. The unincorporated areas that CLWSC serves in Comal, Blanco, Bandera, Hays, Kendall, Medina and Travis Counties do not require water service providers to obtain franchises.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Seasonal Factors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Water sales are seasonal in nature and influenced by weather conditions. The timing of precipitation and climatic conditions can cause seasonal water consumption by customers to vary significantly. Demand for water is generally lower during the cooler and rainy winter months. Demand increases in the spring when the temperature rises and rain diminishes.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regulated operations of Water Utility Services are public utilities regulated by the CPUC in California, PURA in Connecticut, PUCT in Texas and MPUC in Maine (collectively, “the Regulators”) and operate within service areas approved by the regulators. Statutory laws provide that no other investor-owned public utility may operate in the service area of another public utility of the same class (e.g., another water utility) without first obtaining from the regulator a certificate of public convenience and necessity or similar authorization. Past experience shows such a certificate will be issued only after demonstrating that service in such area is inadequate.</w:t>
      </w:r>
    </w:p>
    <w:p>
      <w:pPr>
        <w:spacing w:after="0" w:line="8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California law also provides that whenever a public agency constructs facilities to extend utility service to the service area of a privately-owned public utility, like SJWC, such an act constitutes the taking of property and is conditioned upon payment of just compensation to the private utility.</w:t>
      </w:r>
    </w:p>
    <w:p>
      <w:pPr>
        <w:spacing w:after="0" w:line="1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Under the California law, municipalities, water districts and other public agencies have been authorized to engage in the ownership and operation of water systems. Such agencies are empowered to condemn properties operated by privately-owned public utilities upon payment of just compensation and are further authorized to issue bonds (including revenue bonds) for the purpose of acquiring or constructing water systems.</w:t>
      </w:r>
    </w:p>
    <w:p>
      <w:pPr>
        <w:spacing w:after="0" w:line="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Connecticut law, any condemnation of water utility property by a municipality or any unit of state government requires the payment of just compensation for the taking. Further, any condemnation of utility land by a state department, institution or agency (including a municipality) requires the approval of the PURA.</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Texas law, municipalities, water districts and other public agencies are authorized to engage in the ownership and operation of water systems. Such entities are empowered to acquire property, whether public or private, real or personal, by the exercise of the right of eminent domain, which entails payment to the owner of just compensation for the property taken. However, under current case law those entities may not exercise that right of eminent domain to take the entire operation of an investor-owned utility.</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Maine law, municipalities-individually and collectively, consumer-owned and standard water districts, and other public agencies are authorized to engage in the ownership and operation of water systems. Such entities may acquire the real and personal property of a privately-owned water company, and take over the company’s operations, by exercising the power of eminent domain. In such a taking, the acquiring entity must furnish the condemnee just compensation.</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the company’s knowledge, no municipality, water district or other public agency has any pending proceeding to condemn any part of its existing water systems. The company is also unaware of any eminent domain proceeding to take any of its property or operations.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Water Utility Services produce potable water and generates wastewater and hazardous wastes in accordance with all applicable county, state and federal environmental rules and regulations. Additionally, public utilities are subject to environmental regulation by various other state and local governmental authorities.</w:t>
      </w:r>
    </w:p>
    <w:p>
      <w:pPr>
        <w:spacing w:after="0" w:line="7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Water Utility Services is currently in compliance with all of the United States Environmental Protection Agency’s (the “EPA”) surface water treatment performance standards, drinking water standards for disinfection by-products and primary maximum contaminant levels. These standards have been adopted and are enforced by the California State Water Board, Division of Drinking Water, the Connecticut Department of Public Health, the Maine Department of Health and Human Services, and the Texas Commission on Environmental Quality for SJWC, Connecticut Water, Maine Water and CLWSC, respectively.</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state and local environmental regulations apply to our Water Utility Services’ operations and facilities. These regulations relate primarily to the handling, storage and disposal of hazardous materials and discharges to the environment, including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1" w:name="page12"/>
    <w:bookmarkEnd w:id="11"/>
    <w:p>
      <w:pPr>
        <w:spacing w:after="0" w:line="263" w:lineRule="auto"/>
        <w:rPr>
          <w:sz w:val="20"/>
          <w:szCs w:val="20"/>
          <w:color w:val="auto"/>
        </w:rPr>
      </w:pPr>
      <w:r>
        <w:rPr>
          <w:rFonts w:ascii="Arial" w:cs="Arial" w:eastAsia="Arial" w:hAnsi="Arial"/>
          <w:sz w:val="18"/>
          <w:szCs w:val="18"/>
          <w:color w:val="auto"/>
        </w:rPr>
        <w:t>wastewater operations in the States of Connecticut and Texas. In 2016, SJWC began performing hazardous materials site assessments and remediation prior to the construction phase of capital projects. The site assessments are performed to remove any legacy materials and to obtain site closures from the Santa Clara County Department of Environmental Health under its Voluntary Cleanup Program.</w:t>
      </w:r>
    </w:p>
    <w:p>
      <w:pPr>
        <w:spacing w:after="0" w:line="76" w:lineRule="exact"/>
        <w:rPr>
          <w:sz w:val="20"/>
          <w:szCs w:val="20"/>
          <w:color w:val="auto"/>
        </w:rPr>
      </w:pPr>
    </w:p>
    <w:p>
      <w:pPr>
        <w:ind w:right="540"/>
        <w:spacing w:after="0" w:line="420" w:lineRule="auto"/>
        <w:rPr>
          <w:rFonts w:ascii="Arial" w:cs="Arial" w:eastAsia="Arial" w:hAnsi="Arial"/>
          <w:sz w:val="17"/>
          <w:szCs w:val="17"/>
          <w:color w:val="auto"/>
        </w:rPr>
      </w:pPr>
      <w:r>
        <w:rPr>
          <w:rFonts w:ascii="Arial" w:cs="Arial" w:eastAsia="Arial" w:hAnsi="Arial"/>
          <w:sz w:val="17"/>
          <w:szCs w:val="17"/>
          <w:color w:val="auto"/>
        </w:rPr>
        <w:t xml:space="preserve">Water Utility Services are currently in compliance with all state and local public health and environmental regulations applicable to their operations. Please also see Part II, </w:t>
      </w:r>
      <w:hyperlink w:anchor="page31">
        <w:r>
          <w:rPr>
            <w:rFonts w:ascii="Arial" w:cs="Arial" w:eastAsia="Arial" w:hAnsi="Arial"/>
            <w:sz w:val="17"/>
            <w:szCs w:val="17"/>
            <w:u w:val="single" w:color="auto"/>
            <w:color w:val="0000FF"/>
          </w:rPr>
          <w:t>Item 7</w:t>
        </w:r>
      </w:hyperlink>
      <w:r>
        <w:rPr>
          <w:rFonts w:ascii="Arial" w:cs="Arial" w:eastAsia="Arial" w:hAnsi="Arial"/>
          <w:sz w:val="17"/>
          <w:szCs w:val="17"/>
          <w:color w:val="auto"/>
        </w:rPr>
        <w:t>, “Management’s Discussion and Analysis of Financial Condition and Results of Operations.”</w:t>
      </w:r>
    </w:p>
    <w:p>
      <w:pPr>
        <w:ind w:left="58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order to continue to achieve SJW Group’s mission of delivering life sustaining, high-quality water and exceptional service to families, businesses and communities, we are committed to attract, retain and develop the highest quality talent. We believe our employees are our most important asset. Throughout our organization, our employees embrace the company’s values of integrity, respect, service, compassion, trust, teamwork and transparency in everything we do. Employees participate in semi- annual employee engagement and satisfaction surveys providing feedback that enables the Company to continually assess and implement initiatives to enhance employee satisfaction and retention. Through our board and its committees, we are empowered to address factors that impact our employee strategy and drive positive change in our company and our communities. Our human capital measures and objectives focus on providing a safe and productive work environment that has clear positive and ethical values; a culture that embraces diversity, respect and equity; jobs that offer fair wages as benchmarked to the markets that we live and work in; competitive wages and benefits; and training and development opportunities that support our employees to establish and succeed in meaningful careers at SJW Group.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Workforce Data</w:t>
      </w:r>
    </w:p>
    <w:p>
      <w:pPr>
        <w:spacing w:after="0" w:line="11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As of December 31, 2021, SJW Group had 751 full-time employees, of whom 362 were SJWC employees, 228 were Connecticut Water employees, 84 were CLWSC employees, and 77 were Maine Water employees. At SJWC, 226 employees are members of unions. Employees working for Connecticut Water, Maine Water and CLWSC are not represented by unions.</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November 12, 2019 and February 20, 2020, SJWC reached three-year bargaining agreements with the International Union of Operating Engineers, representing certain employees in the engineering department, and the Utility Workers of America, representing the majority of all non-administrative employees at SJWC covering the period from January 1, 2020 through December 31, 2022. The agreements include a 3% wage increase in 2020, 3% in 2021 and 4% in 2022 for the union workers.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Safety and Pandemic Response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Aiming for a “zero-harm” culture, our vision is to manage health and safety performance to become a leader in the water services industry. Protecting the health and safety of our employees is a top priority. Our employee health and safety programs, focus on four core elements:</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Safety Leadership: demonstrating management commitment and support, empowering local teams to be accountable for safety;</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involving every employee in all aspects of the safety program, connecting safety initiatives to serving employees, customers, shareholders, our communities and the environment;</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Hazard Identification and Control: inspecting workplaces, identifying hazards, implementing controls, and partnering with the front-line teams responsible for delivering reliable, clean, safe drinking water and service; and,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training employees on hazards and how to protect themselves. Incident and crisis management of both known and unknown threats to employee health and safety are anticipated and planned for by our safety team.</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2021 Sustainability Plan incorporates specific targets that set the trajectory of our safety program to ensure continuous improvement, including:</w:t>
      </w:r>
    </w:p>
    <w:p>
      <w:pPr>
        <w:spacing w:after="0" w:line="1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 processes and systems to track, monitor, report and continually improve health and safety performance;</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Communicate the updated Health and Safety Policy to employees to promote compliance, consultation, and participation of workers on health and safety matters;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Strive for zero accidents and injuries.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implemented several management systems to plan and respond to workplace safety and training as well as incidents such as pandemics, wildfires, earthquakes, cyber threats and extreme weather, among others. The goal is to safeguard our employees’ health and safety during local, national, or global incidents. Locally, workplace hazards are identified by onsite inspections and from near-miss investigations. More broadly, the team collaborates to anticipate and plan for external events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 w:name="page13"/>
    <w:bookmarkEnd w:id="12"/>
    <w:p>
      <w:pPr>
        <w:ind w:right="280"/>
        <w:spacing w:after="0" w:line="277" w:lineRule="auto"/>
        <w:rPr>
          <w:sz w:val="20"/>
          <w:szCs w:val="20"/>
          <w:color w:val="auto"/>
        </w:rPr>
      </w:pPr>
      <w:r>
        <w:rPr>
          <w:rFonts w:ascii="Arial" w:cs="Arial" w:eastAsia="Arial" w:hAnsi="Arial"/>
          <w:sz w:val="18"/>
          <w:szCs w:val="18"/>
          <w:color w:val="auto"/>
        </w:rPr>
        <w:t>such as pandemic or for extreme weather or other external events that could impact our operations. Proactive identification of hazards keeps us one step ahead of our constantly changing workplace conditions.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During the COVID-19 pandemic, SJW Group’s primary focus has been to protect the health and safety of employees, customers and the community from the spread of the disease in the workplace, while continuing to deliver reliable, clean and safe drinking water and service. Beginning in March 2020, with additional COVID-19 protections in place, we paused all non-essential services for two months; transitioned our office employees to company-wide remote work; and dispatched field service employees from their homes to minimize transmission of the virus. As the pandemic and knowledge of the virus evolved, our safety, human resources and operations teams implemented additional guidance protocols with a focus on cleaning and disinfection of facilities, vehicles, and tools; implementing engineering and administrative controls such as social distancing; and wearing face coverings to limit the transmission of the virus. In response to various stay-at-home government orders, we implemented policies and procedures to provide the flexibility to employees who are able to work from home and support remote-working by upgrading technology infrastructure, enhancing IT capabilities and implementing processes to facilitate online and remote communications. In an effort to ensure the safety and protection of our workplace and those customers and vendors with whom we serve and work, SJW Group announced a universal vaccination requirement for all employees by January 17, 2022 for three of our operating utilities and by February 14, 2022 at SJWC. On January 22, 2022, SJWC received a letter from the National Labor Relations Board (“NLRB”) stating that it would investigate the allegations from the Utility Workers Union of America Local 259 that SJWC failed to bargain in good faith by imposing a COVID vaccine mandate and threatening to terminate noncompliant employees and for, otherwise, failing to bargain over its decision to impose the mandate. SJWC intends to cooperate with the NLRB’s investigation requests for affidavits from SJWC management and relevant documents. We continue to actively monitor all evolving federal, state and local guidance from public health authorities to ensure that our measures are in compliance with such rules and regulations and are effective in the continually changing pandemic environment.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and Inclusion</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SJW Group believes that a workplace supporting diversity and inclusion not only promotes equity, teamwork, productivity and collaboration among employees, but also enables us to provide the best services to our customers, communities, and partners and enhance value for our stockholders. We are committed to fostering and maintaining a culture of diversity and inclusion, and we have been tracking our workforce demographics to identify employee teams, geographies, or seniority levels where hiring of minorities or specific demographic representation needs to be addressed. In 2021, CEO Eric Thornburg signed on to the CEO Action for Diversity &amp; Inclusion™ CEO pledge, which outlines a specific set of actions the signatory CEOs will take to cultivate a trusting environment where all ideas are welcomed and employees feel comfortable and empowered to have discussions about diversity and inclusion. The Company’s Diversity, Equity and Inclusion Council has implemented several impactful initiatives in 2021, including ongoing education and communications and an unconscious bias training program for all employees. We work to ensure training and development opportunities are available so that all employees can establish and succeed in meaningful careers at SJW Group. In addition, we currently comply with California’s board diversity legislation requiring a minimum number of female directors and directors from underrepresented communities on our board of directors.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Community Involvement</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support of our mission as trusted, passionate and socially responsible professionals, we are dedicated to the people and the environment of the communities where we live, work, and serve. SJW Group provides various opportunities for our employees to participate in outreach programs from free virtual education programs for adults, employee-led courses for elementary school aged children, winter coat donation drives, environmental cleanups, community events, and grant programs supporting schools and fire departments. In addition, each of our subsidiaries supports their communities through charitable donations or sponsorships with a focus on the communities served. SJWC and Connecticut Water also have matching donations for certain programs to further promote our employees’ involvement in their communities. In California, the SJWC Employees Community Fund is a 501(c)(3) charitable organization that uses funds from employee contributions and company matches to provide grants to non-profit organizations supported by our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Wages and Competitive Benefits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SJW Group’s future success is largely dependent upon our ability to attract and retain highly-skilled and qualified employees. Our California and Connecticut subsidiaries operate in particularly competitive labor markets, we believe our compensation package and benefit programs allow us to recruit and retain talented and qualified personnel. Our compensation and benefits programs include:</w:t>
      </w:r>
    </w:p>
    <w:p>
      <w:pPr>
        <w:spacing w:after="0" w:line="76" w:lineRule="exact"/>
        <w:rPr>
          <w:sz w:val="20"/>
          <w:szCs w:val="20"/>
          <w:color w:val="auto"/>
        </w:rPr>
      </w:pPr>
    </w:p>
    <w:p>
      <w:pPr>
        <w:ind w:left="660" w:right="9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employee wages as benchmarked to the markets that our employees live and work in that are consistent with employee roles and responsibilities, skill levels, experience, and knowledge;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3" w:name="page14"/>
    <w:bookmarkEnd w:id="13"/>
    <w:p>
      <w:pPr>
        <w:ind w:left="328" w:right="260" w:hanging="328"/>
        <w:spacing w:after="0" w:line="263"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Engagement of nationally, recognized outside compensation and benefits consulting firms to independently evaluate the appropriateness and effectiveness of compensation for our executive and other officers and to provide benchmarks for executive compensation as compared to peer companies;</w:t>
      </w:r>
    </w:p>
    <w:p>
      <w:pPr>
        <w:spacing w:after="0" w:line="75"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Short-term incentive compensation for management level staff aligning with company financial and operational goals targeted to our stakeholders: customers, communities, employees and stockholders;</w:t>
      </w:r>
    </w:p>
    <w:p>
      <w:pPr>
        <w:spacing w:after="0" w:line="62" w:lineRule="exact"/>
        <w:rPr>
          <w:rFonts w:ascii="Arial" w:cs="Arial" w:eastAsia="Arial" w:hAnsi="Arial"/>
          <w:sz w:val="18"/>
          <w:szCs w:val="18"/>
          <w:color w:val="auto"/>
        </w:rPr>
      </w:pPr>
    </w:p>
    <w:p>
      <w:pPr>
        <w:ind w:left="328" w:right="34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Alignment with stockholder value by utilizing equity awards linked to investment performance over time, as well as certain absolute financial results;</w:t>
      </w:r>
    </w:p>
    <w:p>
      <w:pPr>
        <w:spacing w:after="0" w:line="62"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comprehensive annual employee performance review process pursuant to which we determine and communicate to employees annual merit increases, promotions and other changes to responsibilities and duties; and</w:t>
      </w:r>
    </w:p>
    <w:p>
      <w:pPr>
        <w:spacing w:after="0" w:line="102" w:lineRule="exact"/>
        <w:rPr>
          <w:rFonts w:ascii="Arial" w:cs="Arial" w:eastAsia="Arial" w:hAnsi="Arial"/>
          <w:sz w:val="18"/>
          <w:szCs w:val="18"/>
          <w:color w:val="auto"/>
        </w:rPr>
      </w:pPr>
    </w:p>
    <w:p>
      <w:pPr>
        <w:ind w:left="328" w:hanging="328"/>
        <w:spacing w:after="0" w:line="238" w:lineRule="auto"/>
        <w:tabs>
          <w:tab w:leader="none" w:pos="323" w:val="left"/>
        </w:tabs>
        <w:numPr>
          <w:ilvl w:val="0"/>
          <w:numId w:val="9"/>
        </w:numPr>
        <w:rPr>
          <w:rFonts w:ascii="Arial" w:cs="Arial" w:eastAsia="Arial" w:hAnsi="Arial"/>
          <w:sz w:val="22"/>
          <w:szCs w:val="22"/>
          <w:color w:val="auto"/>
        </w:rPr>
      </w:pPr>
      <w:r>
        <w:rPr>
          <w:rFonts w:ascii="Arial" w:cs="Arial" w:eastAsia="Arial" w:hAnsi="Arial"/>
          <w:sz w:val="18"/>
          <w:szCs w:val="18"/>
          <w:color w:val="auto"/>
        </w:rPr>
        <w:t>Eligibility for all employees to participate in health insurance, dental, vision, cafeteria plans, life and disability/accident coverage, retirement plans and/or salary deferral plans, an Employee Stock Purchase Plan, paid and unpaid leaves, a commuter assistance program, professional education and training, and tuition assistance.</w:t>
      </w:r>
    </w:p>
    <w:p>
      <w:pPr>
        <w:spacing w:after="0" w:line="200" w:lineRule="exact"/>
        <w:rPr>
          <w:sz w:val="20"/>
          <w:szCs w:val="20"/>
          <w:color w:val="auto"/>
        </w:rPr>
      </w:pPr>
    </w:p>
    <w:p>
      <w:pPr>
        <w:spacing w:after="0" w:line="340"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03"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name, age, offices held and business experience for each of our executive officers, as of February 25, 2022:</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560" w:type="dxa"/>
            <w:vAlign w:val="bottom"/>
          </w:tcPr>
          <w:p>
            <w:pPr>
              <w:ind w:left="3640"/>
              <w:spacing w:after="0"/>
              <w:rPr>
                <w:sz w:val="20"/>
                <w:szCs w:val="20"/>
                <w:color w:val="auto"/>
              </w:rPr>
            </w:pPr>
            <w:r>
              <w:rPr>
                <w:rFonts w:ascii="Arial" w:cs="Arial" w:eastAsia="Arial" w:hAnsi="Arial"/>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1"/>
              </w:rPr>
              <w:t xml:space="preserve">SJW Group— Vice President, General Counsel and Corporate Secretary. </w:t>
            </w:r>
            <w:r>
              <w:rPr>
                <w:rFonts w:ascii="Arial" w:cs="Arial" w:eastAsia="Arial" w:hAnsi="Arial"/>
                <w:sz w:val="18"/>
                <w:szCs w:val="18"/>
                <w:color w:val="auto"/>
                <w:w w:val="91"/>
              </w:rPr>
              <w:t>Mr. Brown serves as Vice President,</w:t>
            </w:r>
          </w:p>
        </w:tc>
        <w:tc>
          <w:tcPr>
            <w:tcW w:w="0" w:type="dxa"/>
            <w:vAlign w:val="bottom"/>
          </w:tcPr>
          <w:p>
            <w:pPr>
              <w:spacing w:after="0" w:line="20" w:lineRule="exact"/>
              <w:rPr>
                <w:sz w:val="1"/>
                <w:szCs w:val="1"/>
                <w:color w:val="auto"/>
              </w:rPr>
            </w:pPr>
          </w:p>
        </w:tc>
      </w:tr>
      <w:tr>
        <w:trPr>
          <w:trHeight w:val="196"/>
        </w:trPr>
        <w:tc>
          <w:tcPr>
            <w:tcW w:w="2280" w:type="dxa"/>
            <w:vAlign w:val="bottom"/>
            <w:gridSpan w:val="2"/>
          </w:tcPr>
          <w:p>
            <w:pPr>
              <w:spacing w:after="0" w:line="196" w:lineRule="exact"/>
              <w:rPr>
                <w:sz w:val="20"/>
                <w:szCs w:val="20"/>
                <w:color w:val="auto"/>
              </w:rPr>
            </w:pPr>
            <w:r>
              <w:rPr>
                <w:rFonts w:ascii="Arial" w:cs="Arial" w:eastAsia="Arial" w:hAnsi="Arial"/>
                <w:sz w:val="18"/>
                <w:szCs w:val="18"/>
                <w:color w:val="auto"/>
              </w:rPr>
              <w:t>Willie Brown</w:t>
            </w:r>
          </w:p>
        </w:tc>
        <w:tc>
          <w:tcPr>
            <w:tcW w:w="240" w:type="dxa"/>
            <w:vAlign w:val="bottom"/>
          </w:tcPr>
          <w:p>
            <w:pPr>
              <w:ind w:left="20"/>
              <w:spacing w:after="0" w:line="196" w:lineRule="exact"/>
              <w:rPr>
                <w:sz w:val="20"/>
                <w:szCs w:val="20"/>
                <w:color w:val="auto"/>
              </w:rPr>
            </w:pPr>
            <w:r>
              <w:rPr>
                <w:rFonts w:ascii="Arial" w:cs="Arial" w:eastAsia="Arial" w:hAnsi="Arial"/>
                <w:sz w:val="18"/>
                <w:szCs w:val="18"/>
                <w:color w:val="auto"/>
                <w:w w:val="99"/>
              </w:rPr>
              <w:t>54</w:t>
            </w:r>
          </w:p>
        </w:tc>
        <w:tc>
          <w:tcPr>
            <w:tcW w:w="1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5"/>
              </w:rPr>
              <w:t>General Counsel and Corporate Secretary of SJW Group and SJWC since June 1, 2021. Mr. Brown served as</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3"/>
              </w:rPr>
              <w:t>Corporate Secretary and Assistant General Counsel of SJW Group and SJWC since January 1, 2020. Since April</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2018, Mr. Brown has served as counsel and Corporate Secretary of various subsidiaries of the Corporation. Since</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5"/>
              </w:rPr>
              <w:t>joining SJWC in 2008, Mr. Brown has held various legal positions of increasing scope and responsibly. Prior to</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joining SJWC, Mr. Brown was an associate at two Silicon Valley law firms and is a member of the State Bar of</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Andrew R. Gere</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5"/>
              </w:rPr>
              <w:t xml:space="preserve">SJWC—President and Chief Operating Officer. </w:t>
            </w:r>
            <w:r>
              <w:rPr>
                <w:rFonts w:ascii="Arial" w:cs="Arial" w:eastAsia="Arial" w:hAnsi="Arial"/>
                <w:sz w:val="18"/>
                <w:szCs w:val="18"/>
                <w:color w:val="auto"/>
                <w:w w:val="95"/>
              </w:rPr>
              <w:t>Mr. Gere serves as President since April 2016 and as Chief</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5"/>
              </w:rPr>
              <w:t>Operating Officer since April 2015. From 2013 to April 2015, Mr. Gere was Vice President of Operations. From</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2008 to 2013, Mr. Gere was Chief of Operations. From 2006 to 2008, Mr. Gere was Director of Maintenance. From</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2005 to 2006, Mr. Gere was Director of Operations and Water Quality. From 2003 to 2005, Mr. Gere was Manager</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0"/>
              </w:rPr>
              <w:t>of Operations and Water Quality. Mr. Gere has been with SJWC since 1995. From October 2019 to December 2020,</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Mr. Gere served as Chairman of the National Association of Water Companies.</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Kristen A. Johnson</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55</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7"/>
              </w:rPr>
              <w:t xml:space="preserve">SJW Group—Chief Administrative Officer. </w:t>
            </w:r>
            <w:r>
              <w:rPr>
                <w:rFonts w:ascii="Arial" w:cs="Arial" w:eastAsia="Arial" w:hAnsi="Arial"/>
                <w:sz w:val="18"/>
                <w:szCs w:val="18"/>
                <w:color w:val="auto"/>
                <w:w w:val="97"/>
              </w:rPr>
              <w:t>Ms. Johnson serves as the Chief Administrative Officer of SJW</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7"/>
              </w:rPr>
              <w:t>Group and the Senior Vice President of Administration for CTWS and its subsidiaries since November 2019.</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0"/>
              </w:rPr>
              <w:t>Previously, Ms. Johnson served as Director of Human Resources, Vice President of Human Resources and the Vice</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5"/>
              </w:rPr>
              <w:t>President and Corporate Secretary of CTWS and its subsidiaries from 2007, 2008, and 2010, respectively. She</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served as the Corporate Secretary of Maine Water until July 2020.</w:t>
            </w:r>
          </w:p>
        </w:tc>
        <w:tc>
          <w:tcPr>
            <w:tcW w:w="0" w:type="dxa"/>
            <w:vAlign w:val="bottom"/>
          </w:tcPr>
          <w:p>
            <w:pPr>
              <w:spacing w:after="0"/>
              <w:rPr>
                <w:sz w:val="1"/>
                <w:szCs w:val="1"/>
                <w:color w:val="auto"/>
              </w:rPr>
            </w:pPr>
          </w:p>
        </w:tc>
      </w:tr>
      <w:tr>
        <w:trPr>
          <w:trHeight w:val="193"/>
        </w:trPr>
        <w:tc>
          <w:tcPr>
            <w:tcW w:w="2280" w:type="dxa"/>
            <w:vAlign w:val="bottom"/>
            <w:gridSpan w:val="2"/>
          </w:tcPr>
          <w:p>
            <w:pPr>
              <w:spacing w:after="0" w:line="193" w:lineRule="exact"/>
              <w:rPr>
                <w:sz w:val="20"/>
                <w:szCs w:val="20"/>
                <w:color w:val="auto"/>
              </w:rPr>
            </w:pPr>
            <w:r>
              <w:rPr>
                <w:rFonts w:ascii="Arial" w:cs="Arial" w:eastAsia="Arial" w:hAnsi="Arial"/>
                <w:sz w:val="18"/>
                <w:szCs w:val="18"/>
                <w:color w:val="auto"/>
              </w:rPr>
              <w:t>James P. Lynch</w:t>
            </w:r>
          </w:p>
        </w:tc>
        <w:tc>
          <w:tcPr>
            <w:tcW w:w="240" w:type="dxa"/>
            <w:vAlign w:val="bottom"/>
          </w:tcPr>
          <w:p>
            <w:pPr>
              <w:ind w:left="20"/>
              <w:spacing w:after="0" w:line="193" w:lineRule="exact"/>
              <w:rPr>
                <w:sz w:val="20"/>
                <w:szCs w:val="20"/>
                <w:color w:val="auto"/>
              </w:rPr>
            </w:pPr>
            <w:r>
              <w:rPr>
                <w:rFonts w:ascii="Arial" w:cs="Arial" w:eastAsia="Arial" w:hAnsi="Arial"/>
                <w:sz w:val="18"/>
                <w:szCs w:val="18"/>
                <w:color w:val="auto"/>
                <w:w w:val="99"/>
              </w:rPr>
              <w:t>62</w:t>
            </w:r>
          </w:p>
        </w:tc>
        <w:tc>
          <w:tcPr>
            <w:tcW w:w="120" w:type="dxa"/>
            <w:vAlign w:val="bottom"/>
          </w:tcPr>
          <w:p>
            <w:pPr>
              <w:spacing w:after="0"/>
              <w:rPr>
                <w:sz w:val="16"/>
                <w:szCs w:val="16"/>
                <w:color w:val="auto"/>
              </w:rPr>
            </w:pPr>
          </w:p>
        </w:tc>
        <w:tc>
          <w:tcPr>
            <w:tcW w:w="8560" w:type="dxa"/>
            <w:vAlign w:val="bottom"/>
          </w:tcPr>
          <w:p>
            <w:pPr>
              <w:ind w:left="140"/>
              <w:spacing w:after="0" w:line="193" w:lineRule="exact"/>
              <w:rPr>
                <w:sz w:val="20"/>
                <w:szCs w:val="20"/>
                <w:color w:val="auto"/>
              </w:rPr>
            </w:pPr>
            <w:r>
              <w:rPr>
                <w:rFonts w:ascii="Arial" w:cs="Arial" w:eastAsia="Arial" w:hAnsi="Arial"/>
                <w:sz w:val="18"/>
                <w:szCs w:val="18"/>
                <w:b w:val="1"/>
                <w:bCs w:val="1"/>
                <w:color w:val="auto"/>
                <w:w w:val="94"/>
              </w:rPr>
              <w:t xml:space="preserve">SJW Group—Chief Accounting Officer. </w:t>
            </w:r>
            <w:r>
              <w:rPr>
                <w:rFonts w:ascii="Arial" w:cs="Arial" w:eastAsia="Arial" w:hAnsi="Arial"/>
                <w:sz w:val="18"/>
                <w:szCs w:val="18"/>
                <w:color w:val="auto"/>
                <w:w w:val="94"/>
              </w:rPr>
              <w:t>Mr. Lynch also serves as Chief Accounting Officer of SJWC and SJW</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2"/>
              </w:rPr>
              <w:t>Land Company since January 2022. Mr. Lynch served as Chief Financial Officer and Treasurer until January 2022.</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5"/>
              </w:rPr>
              <w:t>He also served as Chief Financial Officer and Treasurer of SJWC, SJW Land Company, and SJWTX, Inc. from</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0"/>
              </w:rPr>
              <w:t>September 2010 until January 2022. He served as Treasurer of SJWTX Holdings, Inc. until January 2022. Mr. Lynch</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1"/>
              </w:rPr>
              <w:t>served as Chief Financial Officer and Treasurer of Texas Water Alliance Limited from October 2010 until November</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color w:val="auto"/>
                <w:w w:val="95"/>
              </w:rPr>
              <w:t>16, 2017. Prior to joining the Corporation Mr. Lynch was an Audit Partner with KPMG LLP. Mr. Lynch was with</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KPMG LLP for 26 years. Mr. Lynch is a certified public accountant.</w:t>
            </w:r>
          </w:p>
        </w:tc>
        <w:tc>
          <w:tcPr>
            <w:tcW w:w="0" w:type="dxa"/>
            <w:vAlign w:val="bottom"/>
          </w:tcPr>
          <w:p>
            <w:pPr>
              <w:spacing w:after="0"/>
              <w:rPr>
                <w:sz w:val="1"/>
                <w:szCs w:val="1"/>
                <w:color w:val="auto"/>
              </w:rPr>
            </w:pPr>
          </w:p>
        </w:tc>
      </w:tr>
      <w:tr>
        <w:trPr>
          <w:trHeight w:val="189"/>
        </w:trPr>
        <w:tc>
          <w:tcPr>
            <w:tcW w:w="2280" w:type="dxa"/>
            <w:vAlign w:val="bottom"/>
            <w:gridSpan w:val="2"/>
          </w:tcPr>
          <w:p>
            <w:pPr>
              <w:spacing w:after="0" w:line="189" w:lineRule="exact"/>
              <w:rPr>
                <w:sz w:val="20"/>
                <w:szCs w:val="20"/>
                <w:color w:val="auto"/>
              </w:rPr>
            </w:pPr>
            <w:r>
              <w:rPr>
                <w:rFonts w:ascii="Arial" w:cs="Arial" w:eastAsia="Arial" w:hAnsi="Arial"/>
                <w:sz w:val="18"/>
                <w:szCs w:val="18"/>
                <w:color w:val="auto"/>
              </w:rPr>
              <w:t>Eric W. Thornburg</w:t>
            </w:r>
          </w:p>
        </w:tc>
        <w:tc>
          <w:tcPr>
            <w:tcW w:w="240" w:type="dxa"/>
            <w:vAlign w:val="bottom"/>
          </w:tcPr>
          <w:p>
            <w:pPr>
              <w:ind w:left="20"/>
              <w:spacing w:after="0" w:line="189" w:lineRule="exact"/>
              <w:rPr>
                <w:sz w:val="20"/>
                <w:szCs w:val="20"/>
                <w:color w:val="auto"/>
              </w:rPr>
            </w:pPr>
            <w:r>
              <w:rPr>
                <w:rFonts w:ascii="Arial" w:cs="Arial" w:eastAsia="Arial" w:hAnsi="Arial"/>
                <w:sz w:val="18"/>
                <w:szCs w:val="18"/>
                <w:color w:val="auto"/>
                <w:w w:val="99"/>
              </w:rPr>
              <w:t>61</w:t>
            </w:r>
          </w:p>
        </w:tc>
        <w:tc>
          <w:tcPr>
            <w:tcW w:w="120" w:type="dxa"/>
            <w:vAlign w:val="bottom"/>
          </w:tcPr>
          <w:p>
            <w:pPr>
              <w:spacing w:after="0"/>
              <w:rPr>
                <w:sz w:val="16"/>
                <w:szCs w:val="16"/>
                <w:color w:val="auto"/>
              </w:rPr>
            </w:pPr>
          </w:p>
        </w:tc>
        <w:tc>
          <w:tcPr>
            <w:tcW w:w="8560" w:type="dxa"/>
            <w:vAlign w:val="bottom"/>
          </w:tcPr>
          <w:p>
            <w:pPr>
              <w:ind w:left="140"/>
              <w:spacing w:after="0" w:line="189" w:lineRule="exact"/>
              <w:rPr>
                <w:sz w:val="20"/>
                <w:szCs w:val="20"/>
                <w:color w:val="auto"/>
              </w:rPr>
            </w:pPr>
            <w:r>
              <w:rPr>
                <w:rFonts w:ascii="Arial" w:cs="Arial" w:eastAsia="Arial" w:hAnsi="Arial"/>
                <w:sz w:val="18"/>
                <w:szCs w:val="18"/>
                <w:b w:val="1"/>
                <w:bCs w:val="1"/>
                <w:color w:val="auto"/>
                <w:w w:val="90"/>
              </w:rPr>
              <w:t xml:space="preserve">SJW Group—President, Chief Executive Officer and Chair of the Board. </w:t>
            </w:r>
            <w:r>
              <w:rPr>
                <w:rFonts w:ascii="Arial" w:cs="Arial" w:eastAsia="Arial" w:hAnsi="Arial"/>
                <w:sz w:val="18"/>
                <w:szCs w:val="18"/>
                <w:color w:val="auto"/>
                <w:w w:val="90"/>
              </w:rPr>
              <w:t>Mr. Thornburg serves as President and</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Chief Executive Officer of SJW Group and SJW Land Company and Chief Executive Officer of SJWC and SJWTX,</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0"/>
              </w:rPr>
              <w:t>Inc. since November 6, 2017. He has served as the Chair of the Board of Directors of SJW Group, SJWC, SJW Land</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Company and SJWTX, Inc. since April 25, 2018 and Chair of the Board of Directors of SJWNE LLC, CTWS and its</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subsidiaries since October 9, 2019. Prior to joining SJW Group, Mr. Thornburg served as President and Chief</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Executive Officer of CTWS since 2006, and Chair of the Board of CTWS since 2007. Mr. Thornburg served as</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6"/>
              </w:rPr>
              <w:t>President of Missouri-American Water, a subsidiary of American Water Works Corporation from 2000 to 2004.</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Arial" w:cs="Arial" w:eastAsia="Arial" w:hAnsi="Arial"/>
                <w:sz w:val="18"/>
                <w:szCs w:val="18"/>
                <w:color w:val="auto"/>
                <w:w w:val="92"/>
              </w:rPr>
              <w:t>From July 2004 to January 2006, he served as Central Region Vice President-External Affairs for American Water</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Works Corporation.</w:t>
            </w: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line="181" w:lineRule="exact"/>
              <w:rPr>
                <w:sz w:val="20"/>
                <w:szCs w:val="20"/>
                <w:color w:val="auto"/>
              </w:rPr>
            </w:pPr>
            <w:r>
              <w:rPr>
                <w:rFonts w:ascii="Arial" w:cs="Arial" w:eastAsia="Arial" w:hAnsi="Arial"/>
                <w:sz w:val="18"/>
                <w:szCs w:val="18"/>
                <w:color w:val="auto"/>
              </w:rPr>
              <w:t>Andrew F. Walters</w:t>
            </w:r>
          </w:p>
        </w:tc>
        <w:tc>
          <w:tcPr>
            <w:tcW w:w="240" w:type="dxa"/>
            <w:vAlign w:val="bottom"/>
          </w:tcPr>
          <w:p>
            <w:pPr>
              <w:ind w:left="20"/>
              <w:spacing w:after="0" w:line="181" w:lineRule="exact"/>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Arial" w:cs="Arial" w:eastAsia="Arial" w:hAnsi="Arial"/>
                <w:sz w:val="18"/>
                <w:szCs w:val="18"/>
                <w:b w:val="1"/>
                <w:bCs w:val="1"/>
                <w:color w:val="auto"/>
                <w:w w:val="91"/>
              </w:rPr>
              <w:t xml:space="preserve">SJW Group—Chief Financial Officer and Treasurer. </w:t>
            </w:r>
            <w:r>
              <w:rPr>
                <w:rFonts w:ascii="Arial" w:cs="Arial" w:eastAsia="Arial" w:hAnsi="Arial"/>
                <w:sz w:val="18"/>
                <w:szCs w:val="18"/>
                <w:color w:val="auto"/>
                <w:w w:val="91"/>
              </w:rPr>
              <w:t>Mr. Walters serves as Chief Financial Officer and Treasurer</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91" w:lineRule="exact"/>
              <w:rPr>
                <w:sz w:val="20"/>
                <w:szCs w:val="20"/>
                <w:color w:val="auto"/>
              </w:rPr>
            </w:pPr>
            <w:r>
              <w:rPr>
                <w:rFonts w:ascii="Arial" w:cs="Arial" w:eastAsia="Arial" w:hAnsi="Arial"/>
                <w:sz w:val="18"/>
                <w:szCs w:val="18"/>
                <w:color w:val="auto"/>
                <w:w w:val="96"/>
              </w:rPr>
              <w:t>of SJWC, SJW Land Company, and SJWTX, Inc. since January 2022. Mr. Walters served as Chief Corporate</w:t>
            </w:r>
          </w:p>
        </w:tc>
        <w:tc>
          <w:tcPr>
            <w:tcW w:w="0" w:type="dxa"/>
            <w:vAlign w:val="bottom"/>
          </w:tcPr>
          <w:p>
            <w:pPr>
              <w:spacing w:after="0"/>
              <w:rPr>
                <w:sz w:val="1"/>
                <w:szCs w:val="1"/>
                <w:color w:val="auto"/>
              </w:rPr>
            </w:pPr>
          </w:p>
        </w:tc>
      </w:tr>
    </w:tbl>
    <w:p>
      <w:pPr>
        <w:ind w:left="2800" w:right="40"/>
        <w:spacing w:after="0" w:line="209" w:lineRule="auto"/>
        <w:rPr>
          <w:sz w:val="20"/>
          <w:szCs w:val="20"/>
          <w:color w:val="auto"/>
        </w:rPr>
      </w:pPr>
      <w:r>
        <w:rPr>
          <w:rFonts w:ascii="Arial" w:cs="Arial" w:eastAsia="Arial" w:hAnsi="Arial"/>
          <w:sz w:val="18"/>
          <w:szCs w:val="18"/>
          <w:color w:val="auto"/>
        </w:rPr>
        <w:t>Development Officer and Integration Executive of SJW Group from November 2019 until January 2022 and previously served as Chief Administrative Officer of SJWC since January 31, 2014. Mr. Walters is also currently the Vice President of Business Planning of Connecticut Water Service, Inc. and Connecticut Water Company as of November 7, 2019. Prior to joining SJWC in 2014, Mr. Walters was a managing director and a senior acquisitions officer in the Infrastructure Investments Group of JP Morgan Asset Management from January 2009 to June 2013. Prior to this, Mr. Walters served in the Investment Banking Division of Citigroup as managing director and head of infrastructure for the Americas and in other roles focused on mergers and acquisitions and capital raising for clients, since 1993.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color w:val="auto"/>
              </w:rPr>
              <w:t>Maureen P. Westbrook</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w w:val="93"/>
              </w:rPr>
              <w:t xml:space="preserve">CTWS—President. </w:t>
            </w:r>
            <w:r>
              <w:rPr>
                <w:rFonts w:ascii="Arial" w:cs="Arial" w:eastAsia="Arial" w:hAnsi="Arial"/>
                <w:sz w:val="18"/>
                <w:szCs w:val="18"/>
                <w:color w:val="auto"/>
                <w:w w:val="93"/>
              </w:rPr>
              <w:t>Ms. Westbrook serves as the President of CTWS and its subsidiaries, except Maine Water,</w:t>
            </w:r>
          </w:p>
        </w:tc>
      </w:tr>
      <w:tr>
        <w:trPr>
          <w:trHeight w:val="176"/>
        </w:trPr>
        <w:tc>
          <w:tcPr>
            <w:tcW w:w="1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80" w:type="dxa"/>
            <w:vAlign w:val="bottom"/>
          </w:tcPr>
          <w:p>
            <w:pPr>
              <w:ind w:left="160"/>
              <w:spacing w:after="0" w:line="176" w:lineRule="exact"/>
              <w:rPr>
                <w:sz w:val="20"/>
                <w:szCs w:val="20"/>
                <w:color w:val="auto"/>
              </w:rPr>
            </w:pPr>
            <w:r>
              <w:rPr>
                <w:rFonts w:ascii="Arial" w:cs="Arial" w:eastAsia="Arial" w:hAnsi="Arial"/>
                <w:sz w:val="18"/>
                <w:szCs w:val="18"/>
                <w:color w:val="auto"/>
                <w:w w:val="90"/>
              </w:rPr>
              <w:t>since December 2019 and President of SJWNE LLC since October 2019. Ms. Westbrook has been Chief Executive</w:t>
            </w:r>
          </w:p>
        </w:tc>
      </w:tr>
      <w:tr>
        <w:trPr>
          <w:trHeight w:val="191"/>
        </w:trPr>
        <w:tc>
          <w:tcPr>
            <w:tcW w:w="1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80" w:type="dxa"/>
            <w:vAlign w:val="bottom"/>
          </w:tcPr>
          <w:p>
            <w:pPr>
              <w:ind w:left="160"/>
              <w:spacing w:after="0" w:line="191" w:lineRule="exact"/>
              <w:rPr>
                <w:sz w:val="20"/>
                <w:szCs w:val="20"/>
                <w:color w:val="auto"/>
              </w:rPr>
            </w:pPr>
            <w:r>
              <w:rPr>
                <w:rFonts w:ascii="Arial" w:cs="Arial" w:eastAsia="Arial" w:hAnsi="Arial"/>
                <w:sz w:val="18"/>
                <w:szCs w:val="18"/>
                <w:color w:val="auto"/>
                <w:w w:val="91"/>
              </w:rPr>
              <w:t>Officer of Maine Water since December 2019. Initially hired as Connecticut Water’s Manager of Source Protection,</w:t>
            </w:r>
          </w:p>
        </w:tc>
      </w:tr>
    </w:tbl>
    <w:p>
      <w:pPr>
        <w:ind w:left="2800" w:right="280"/>
        <w:spacing w:after="0" w:line="212" w:lineRule="auto"/>
        <w:rPr>
          <w:sz w:val="20"/>
          <w:szCs w:val="20"/>
          <w:color w:val="auto"/>
        </w:rPr>
      </w:pPr>
      <w:r>
        <w:rPr>
          <w:rFonts w:ascii="Arial" w:cs="Arial" w:eastAsia="Arial" w:hAnsi="Arial"/>
          <w:sz w:val="18"/>
          <w:szCs w:val="18"/>
          <w:color w:val="auto"/>
        </w:rPr>
        <w:t>Ms. Westbrook has held various positions of increasing scope and responsibility. She had served as the Vice President of Customer and Regulatory Affairs of Connecticut Water since 2008, assuming that role for The Avon Water Company and The Heritage Village Water Company when those utilities were acquired by CTWS. Prior to joining Connecticut Water in 1988 she worked at the Connecticut Department of Public Health and in local and regional planning.</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SJW Group’s Annual Reports on Form 10-K, Quarterly Reports on Form 10-Q and Current Reports on Form 8-K, and amendments to these reports, are made available free of charge through SJW Group’s website at </w:t>
      </w:r>
      <w:r>
        <w:rPr>
          <w:rFonts w:ascii="Arial" w:cs="Arial" w:eastAsia="Arial" w:hAnsi="Arial"/>
          <w:sz w:val="18"/>
          <w:szCs w:val="18"/>
          <w:i w:val="1"/>
          <w:iCs w:val="1"/>
          <w:color w:val="auto"/>
        </w:rPr>
        <w:t>http://www.sjwgroup.com</w:t>
      </w:r>
      <w:r>
        <w:rPr>
          <w:rFonts w:ascii="Arial" w:cs="Arial" w:eastAsia="Arial" w:hAnsi="Arial"/>
          <w:sz w:val="18"/>
          <w:szCs w:val="18"/>
          <w:color w:val="auto"/>
        </w:rPr>
        <w:t>, as soon as reasonably practicable, after SJW Group electronically files such material with, or furnishes such materials to, the SEC. The content of SJW Group’s website is not incorporated by reference to or part of this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obtain electronic copies of our reports filed with the SEC on the SEC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Investors should carefully consider the following risk factors and warnings before making an investment decision. The risks described below are not the only ones facing SJW Group and its subsidiaries. Additional risks that SJW Group and its subsidiaries does not yet know of or that it currently thinks are immaterial may also impair its business operations. If any of the following risks actually occur, SJW Group and its subsidiaries’ business, operating results or financial condition could be materially affected. In such case, the trading price of SJW Group’s common stock could decline and you may lose part or all of your investment. Investors should also refer to the other information set forth in this Annual Report on Form 10-K, including the consolidated financial statements and the notes thereto.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and Legal Matters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business is regulated and may be adversely affected by changes to the regulatory environment.</w:t>
      </w:r>
    </w:p>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Our Water Utility Services are regulated public utilities. The operating revenue of SJWC, Connecticut Water, CLWSC and Maine Water is generated primarily from the sale of water at rates authorized by </w:t>
      </w:r>
      <w:r>
        <w:rPr>
          <w:rFonts w:ascii="Arial" w:cs="Arial" w:eastAsia="Arial" w:hAnsi="Arial"/>
          <w:sz w:val="19"/>
          <w:szCs w:val="19"/>
          <w:color w:val="auto"/>
        </w:rPr>
        <w:t>t</w:t>
      </w:r>
      <w:r>
        <w:rPr>
          <w:rFonts w:ascii="Arial" w:cs="Arial" w:eastAsia="Arial" w:hAnsi="Arial"/>
          <w:sz w:val="18"/>
          <w:szCs w:val="18"/>
          <w:color w:val="auto"/>
        </w:rPr>
        <w:t>he CPUC, PURA, PUCT and MPUC (the “Regulators”). The Regulators set rates that are intended to provide revenues sufficient to recover normal operating expenses, provide funds for replacement of water infrastructure and produce a fair and reasonable return on stockholder common equity. Please refer to Part I, Item 1, “Regulation and Rates” for a discussion of the most recent regulatory proceedings affecting the rates of our regulated operations. Consequently, our revenue and operating results depend substantially upon the rates the Regulators authorize.</w:t>
      </w:r>
    </w:p>
    <w:p>
      <w:pPr>
        <w:spacing w:after="0" w:line="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our applications for rate approvals, we rely upon estimates and forecasts to propose rates for approval by the Regulators. No assurance can be given that our estimates and forecasts will be accurate or that the Regulators will agree with our estimates and forecasts and approve our proposed rates. To the extent our authorized rates may be too low, revenues may be insufficient to cover Water Utility Services’ operating expenses, capital requirements and SJW Group’s historical dividend rate. In addition, delays in approving rate increases may negatively affect our operating results and operating cash flows.</w:t>
      </w:r>
    </w:p>
    <w:p>
      <w:pPr>
        <w:spacing w:after="0" w:line="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policies and regulations promulgated by the Regulators govern the recovery of capital expenditures, the treatment of gains from the sale of real utility property, the offset of production and operating costs, the recovery of the cost of debt, the optimal equity structure, and the financial and operational flexibility to engage in non-tariffed operations. If the regulators implement policies and regulations that will not allow SJWC, Connecticut Water, CLWSC and Maine Water to accomplish some or all of the items listed above, Water Utility Services’ future operating results may be adversely affected. Further, from time to time, the commissioners at the Regulators may change. Such changes could lead to changes in policies and regulations and there can be no assurance that the resulting changes in policies and regulation, if any, will not adversely affect our operating results or financial condition.</w:t>
      </w:r>
    </w:p>
    <w:p>
      <w:pPr>
        <w:spacing w:after="0" w:line="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 CPUC disagrees with our calculation of SJWC’s memorandum and balancing accounts, we may be required to make adjustments that could adversely affect our results of operations. Under a 2007 Connecticut law, PURA authorizes regulated water companies to use a rate adjustment mechanism, known as WICA, for eligible projects completed and in service for the benefit of the customers. Maine legislature enacted a law that allows Maine Water expedited recovery of investments in water systems infrastructure replacement, both treatment and distribution, through WISC, similar to WICA in Connecticut. Maine Water began to use the WISC during 2014. There is no guarantee that these regulatory authorities will approve our applications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to recover all or a portion of our capital expenditure or infrastructure investment through such rate adjustment mechanisms, and their failure to do so will adversely affect our financial conditions and results of operations.</w:t>
      </w:r>
    </w:p>
    <w:p>
      <w:pPr>
        <w:spacing w:after="0" w:line="99" w:lineRule="exact"/>
        <w:rPr>
          <w:sz w:val="20"/>
          <w:szCs w:val="20"/>
          <w:color w:val="auto"/>
        </w:rPr>
      </w:pPr>
    </w:p>
    <w:p>
      <w:pPr>
        <w:ind w:right="520" w:firstLine="567"/>
        <w:spacing w:after="0" w:line="282" w:lineRule="auto"/>
        <w:rPr>
          <w:sz w:val="20"/>
          <w:szCs w:val="20"/>
          <w:color w:val="auto"/>
        </w:rPr>
      </w:pPr>
      <w:r>
        <w:rPr>
          <w:rFonts w:ascii="Arial" w:cs="Arial" w:eastAsia="Arial" w:hAnsi="Arial"/>
          <w:sz w:val="18"/>
          <w:szCs w:val="18"/>
          <w:b w:val="1"/>
          <w:bCs w:val="1"/>
          <w:color w:val="auto"/>
        </w:rPr>
        <w:t>Recovery of regulatory assets is subject to adjustment by regulatory agencies and could impact the operating results of Water Utility Services.</w:t>
      </w:r>
    </w:p>
    <w:p>
      <w:pPr>
        <w:spacing w:after="0" w:line="58" w:lineRule="exact"/>
        <w:rPr>
          <w:sz w:val="20"/>
          <w:szCs w:val="20"/>
          <w:color w:val="auto"/>
        </w:rPr>
      </w:pPr>
    </w:p>
    <w:p>
      <w:pPr>
        <w:ind w:right="2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Generally accepted accounting principles for water utilities include the recognition of regulatory assets and liabilities as permitted by FASB ASC Topic 980 —“Regulated Operations.” In accordance with ASC Topic 980, Water Utility Services record deferred costs and credits on the balance sheet as regulatory assets and liabilities when it is probable that these costs and credits will be recovered in the ratemaking process in a period different from when the costs and credits were incurred. Please refer to </w:t>
      </w:r>
      <w:hyperlink w:anchor="page64">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for a summary of net regulatory assets. If the assessment of the probability of recovery in the ratemaking process is incorrect and the applicable ratemaking body determines that a deferred cost is not recoverable through future rate increases, the regulatory assets or liabilities would need to be adjusted, which could have an adverse effect on our results of operations and financial condition.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Streamflow regulations in Connecticut could potentially impact our ability to serve our customers.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2011, regulations concerning the flow of water in Connecticut’s rivers and streams were adopted. As promulgated, the regulations require that certain downstream releases be made from seven of Connecticut Water’s eighteen active reservoirs no later than ten years following the adoption of stream classifications by the Department of Energy and Environmental Protection (“DEEP”). Currently, downstream releases are made at two locations. No groundwater supply wells are affected by the regulations.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DEEP has finalized stream classifications in all areas of Connecticut where Connecticut Water maintains and operates sources of supply. The Company remains engaged in the process in order to minimize impact to our available water supply. Although modified from prior versions, the regulations still have the potential to lower our safe yield, raise our capital and operating expenses and adversely affect our revenues and earnings. Although costs associated with the regulations may be recovered in the form of higher rates and Connecticut law allows for a WICA surcharge to recover capital improvement costs necessary to achieve compliance with the regulations, there can be no assurance PURA would approve rate increases to enable us to recover all such costs and surcharges.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Water Utility Services is subject to litigation risks concerning water quality and contamination.</w:t>
      </w:r>
    </w:p>
    <w:p>
      <w:pPr>
        <w:spacing w:after="0" w:line="10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Although Water Utility Services is not a party to any environmental and product-related lawsuits, there is no guarantee that such lawsuits will not occur in the future. Any environmental or product-related lawsuit, may require us to incur significant legal costs and we may not be able to recover the legal costs from ratepayers or other third parties. Although Water Utility Services has liability insurance coverage for bodily injury and property damage, pollution liability is excluded from this coverage and our excess liability coverage. Pollution liability coverage is in place for the majority of the SJW Group locations and operations, but is subject to exclusions and limitations. In addition, any complaints or lawsuits against us based on water quality and contamination may receive negative publicity that can damage our reputation and adversely affect our business and trading price of our common stock.</w:t>
      </w:r>
    </w:p>
    <w:p>
      <w:pPr>
        <w:spacing w:after="0" w:line="93" w:lineRule="exact"/>
        <w:rPr>
          <w:sz w:val="20"/>
          <w:szCs w:val="20"/>
          <w:color w:val="auto"/>
        </w:rPr>
      </w:pPr>
    </w:p>
    <w:p>
      <w:pPr>
        <w:ind w:right="540" w:firstLine="567"/>
        <w:spacing w:after="0" w:line="282" w:lineRule="auto"/>
        <w:rPr>
          <w:sz w:val="20"/>
          <w:szCs w:val="20"/>
          <w:color w:val="auto"/>
        </w:rPr>
      </w:pPr>
      <w:r>
        <w:rPr>
          <w:rFonts w:ascii="Arial" w:cs="Arial" w:eastAsia="Arial" w:hAnsi="Arial"/>
          <w:sz w:val="18"/>
          <w:szCs w:val="18"/>
          <w:b w:val="1"/>
          <w:bCs w:val="1"/>
          <w:color w:val="auto"/>
        </w:rPr>
        <w:t>Water Utility Services is subject to possible litigation or regulatory enforcement action concerning water discharges to Waters of the United States (“WOTUS”).</w:t>
      </w:r>
    </w:p>
    <w:p>
      <w:pPr>
        <w:spacing w:after="0" w:line="5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Regulatory actions and fines related to discharges of water to WOTUS against other water utilities have increased in frequency in recent years. If Water Utility Services is subject to a litigation or regulatory enforcement action, it might incur significant costs in fines and restoration efforts, and it is uncertain whether Water Utility Services would be able to recover some or all of such costs from ratepayers or other third parties. In addition, any litigation or regulatory enforcement action against us regarding a water discharge and/or resulting environmental impact may receive negative publicity that can damage our reputation and adversely affect our business and the trading price of our common stock.</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New or more stringent environmental regulations could increase Water Utility Services’ operating costs and affect its business.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Water Utility Services are subject to water quality and pollution control regulations issued by the EPA and environmental laws and regulations administered by the respective states and local regulatory agencies.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New or more stringent environmental and water quality regulations could increase Water Utility Services’ water quality compliance costs, hamper Water Utility Services’ available water supplies, and increase future capital expenditures.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the federal Safe Drinking Water Act, Water Utility Services is subject to regulation by the EPA relating to the quality of water it sells and treatment techniques it uses to make the water potable. The EPA promulgates, from time to time, nationally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applicable standards, including maximum contaminant levels for drinking water. Additional or more stringent requirements may be adopted by each state.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Water Utility Services will be able to continue to comply with all water quality requirements.</w:t>
      </w:r>
    </w:p>
    <w:p>
      <w:pPr>
        <w:spacing w:after="0" w:line="10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Water Utility Services has implemented monitoring activities and installed specific water treatment improvements in order to comply with existing maximum contaminant levels and plan for compliance with future drinking water regulations. However, the EPA and the respective state agencies have continuing authority to issue additional regulations under the Safe Drinking Water Act. New or more stringent environmental standards could be imposed that will raise Water Utility Services’ operating costs and capital expenditures, including requirements for increased monitoring, additional treatment of underground water supplies, fluoridation of all supplies, more stringent performance standards for treatment plants, additional procedures to further reduce levels of disinfection by-products, and more comprehensive measures to monitor, reduce or eliminate known or newly identified contaminants such as polyfluoroalkyl substances. There are currently limited regulatory mechanisms and procedures available to us for the recovery of such costs and there can be no assurance that such costs will be fully recovered and failure to do so may adversely affect our operating results.</w:t>
      </w:r>
    </w:p>
    <w:p>
      <w:pPr>
        <w:spacing w:after="0" w:line="94" w:lineRule="exact"/>
        <w:rPr>
          <w:sz w:val="20"/>
          <w:szCs w:val="20"/>
          <w:color w:val="auto"/>
        </w:rPr>
      </w:pPr>
    </w:p>
    <w:p>
      <w:pPr>
        <w:ind w:right="400" w:firstLine="567"/>
        <w:spacing w:after="0" w:line="378" w:lineRule="auto"/>
        <w:rPr>
          <w:sz w:val="20"/>
          <w:szCs w:val="20"/>
          <w:color w:val="auto"/>
        </w:rPr>
      </w:pPr>
      <w:r>
        <w:rPr>
          <w:rFonts w:ascii="Arial" w:cs="Arial" w:eastAsia="Arial" w:hAnsi="Arial"/>
          <w:sz w:val="15"/>
          <w:szCs w:val="15"/>
          <w:b w:val="1"/>
          <w:bCs w:val="1"/>
          <w:color w:val="auto"/>
        </w:rPr>
        <w:t>Climate change laws and regulations have been passed and are being proposed that require compliance with greenhouse gas emissions standards, as well as other climate change initiatives, which could increase Water Utility Services’ operating costs and affect our business.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Climate change is receiving ever increasing attention worldwide. Many scientists, legislators, and others attribute global warming to increased levels of greenhouse gases, including carbon dioxide. Climate change laws and regulations enacted and proposed limit greenhouse gases emissions from covered entities and require additional monitoring/reporting. We produce a corporate social responsibility report, which provides an overview of our energy usage and greenhouse emissions. At this time, the existing greenhouse gases laws and regulations are not expected to materially harm Water Utility Services’ operations or capital expenditures. While regulation on climate change could change in light of the current federal administration’s agenda,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w:t>
      </w:r>
    </w:p>
    <w:p>
      <w:pPr>
        <w:spacing w:after="0" w:line="109" w:lineRule="exact"/>
        <w:rPr>
          <w:sz w:val="20"/>
          <w:szCs w:val="20"/>
          <w:color w:val="auto"/>
        </w:rPr>
      </w:pPr>
    </w:p>
    <w:p>
      <w:pPr>
        <w:ind w:right="260" w:firstLine="567"/>
        <w:spacing w:after="0" w:line="282" w:lineRule="auto"/>
        <w:rPr>
          <w:sz w:val="20"/>
          <w:szCs w:val="20"/>
          <w:color w:val="auto"/>
        </w:rPr>
      </w:pPr>
      <w:r>
        <w:rPr>
          <w:rFonts w:ascii="Arial" w:cs="Arial" w:eastAsia="Arial" w:hAnsi="Arial"/>
          <w:sz w:val="18"/>
          <w:szCs w:val="18"/>
          <w:b w:val="1"/>
          <w:bCs w:val="1"/>
          <w:color w:val="auto"/>
        </w:rPr>
        <w:t>We may be at risk for litigation under the principle of inverse condemnation for activities in the normal course of business which have a damaging effect on private property.</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California legal doctrine of inverse condemnation, a public utility taking or damaging private property can be responsible to the property owners for compensation, even when damage occurs through no fault or negligence of the utility company and regardless of whether the damage could be foreseen. Based upon existing California case law, SJWC could be sued under the doctrine of inverse condemnation and held liable if its facilities, operations or property, such as mains, fire hydrants, power lines and other equipment, or wildfires in our Santa Cruz mountain watershed result in damage to private property.</w:t>
      </w:r>
    </w:p>
    <w:p>
      <w:pPr>
        <w:spacing w:after="0" w:line="7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court finding of inverse condemnation does not obligate the CPUC to allow SJWC to recover damage awards or pass on costs to ratepayers. SJWC</w:t>
      </w:r>
      <w:r>
        <w:rPr>
          <w:rFonts w:ascii="Arial" w:cs="Arial" w:eastAsia="Arial" w:hAnsi="Arial"/>
          <w:sz w:val="18"/>
          <w:szCs w:val="18"/>
          <w:b w:val="1"/>
          <w:bCs w:val="1"/>
          <w:color w:val="auto"/>
        </w:rPr>
        <w:t>’</w:t>
      </w:r>
      <w:r>
        <w:rPr>
          <w:rFonts w:ascii="Arial" w:cs="Arial" w:eastAsia="Arial" w:hAnsi="Arial"/>
          <w:sz w:val="18"/>
          <w:szCs w:val="18"/>
          <w:color w:val="auto"/>
        </w:rPr>
        <w:t>s liquidity, earnings, and operations may be adversely affected if we are unable to recover the costs of paying claims for damages caused by the operation and maintenance of our property from customers or through insurance.</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water utility property and systems are subject to condemnation and other proceedings through eminent domain.</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State laws in jurisdictions where we operate, including California, Connecticut, Texas and Maine, allow municipalities, water districts and other public agencies to own and operate water systems. These agencies are empowered to condemn water systems or real property owned by privately owned public utilities in certain circumstances and in compliance with state and federal laws. In general, if a public agency exercises its eminent domain power to take possession of private property, the government is required to pay just compensation to owners of such property. In the event of eminent domain or condemnation proceedings against our water utility property or systems, we may incur substantial attorney’s fees, consultant and expert fees and other costs in considering a challenge to such proceeding and/or its valuation for just compensation, as well as fees and costs in any subsequent litigation if necessary. If the public agency prevailed and acquired our utility property, we would no longer have access to the condemned property or water system, neither would we be entitled to any portion of revenue generated from the use of such asset going forward. Furthermore, if public agencies succeed in acquiring our assets, there is a risk that we will not receive adequate compensation for the assets taken or be able to recover all charges associated with the condemnation of such assets, which may adversely affect our business operations and financial conditions.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Relating To Business Operations</w:t>
      </w:r>
    </w:p>
    <w:p>
      <w:pPr>
        <w:spacing w:after="0" w:line="144" w:lineRule="exact"/>
        <w:rPr>
          <w:sz w:val="20"/>
          <w:szCs w:val="20"/>
          <w:color w:val="auto"/>
        </w:rPr>
      </w:pPr>
    </w:p>
    <w:p>
      <w:pPr>
        <w:ind w:right="560" w:firstLine="567"/>
        <w:spacing w:after="0" w:line="282" w:lineRule="auto"/>
        <w:rPr>
          <w:sz w:val="20"/>
          <w:szCs w:val="20"/>
          <w:color w:val="auto"/>
        </w:rPr>
      </w:pPr>
      <w:r>
        <w:rPr>
          <w:rFonts w:ascii="Arial" w:cs="Arial" w:eastAsia="Arial" w:hAnsi="Arial"/>
          <w:sz w:val="18"/>
          <w:szCs w:val="18"/>
          <w:b w:val="1"/>
          <w:bCs w:val="1"/>
          <w:color w:val="auto"/>
        </w:rPr>
        <w:t>Our business, financial condition, and results of operations have been and will continue to be negatively impacted by the COVID-19 pandemic.</w:t>
      </w:r>
    </w:p>
    <w:p>
      <w:pPr>
        <w:spacing w:after="0" w:line="5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subject to risks associated with the COVID-19 pandemic. In 2020 and 2021, numerous governmental jurisdictions, including the States of California, Connecticut, Maine and Texas where we operate our water utility services, imposed “shelter-in-place” orders, quarantines, executive orders and similar governmental orders and restrictions for their residents to control the spread of COVID-19 disease. Such orders and restrictions resulted in business closures, work stoppages, slowdowns and delays in commercial activities, unprecedented and widespread unemployment, travel restrictions and cancellation of events, among other effects, thereby negatively impacting our suppliers, employees and customers. Since the start of the second quarter of 2021, there has been increased availability and administration of vaccines against COVID-19, as well as an easing of restrictions on social, business, travel, and government functions, which resulted in gradual resumption of economic and commercial activities. On the other hand, infection rates continue to fluctuate in various regions and new strains of the virus remain a risk, including the Delta and most recently the Omicron variants which has increased the spread and transmission of COVID-19 disease and prompted government agencies to reinstate or impose public health measures and restrictions that were previously lifted. The continuation of such restrictions or reversal of prior orders to ease restrictions will have a negative effect on our business operations and results of operations.</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response to the pandemic, federal and state governments have and may continue to take actions to impose utility termination moratoriums which prohibit water companies from turning off water supplies for nonpayment of water bills. These and other events associated with the COVID-19 pandemic have reduced the incentive and ability of certain of our residential and commercial customers to pay their water services bills on time, if at all, which could negatively impact our result of operations. Recently, state governments have acted to end existing utility termination moratoriums. In California, the most recent state executive order suspending water service disconnections due to non-payment by customers expired December 31, 2021. However, the CPUC directed that regulated water utilities continue to suspend customer disconnections until February 1, 2022. There are currently no such orders remaining in effect in the other states where we operate on suspending water service disconnections due to non-payment. However, if COVID-19 infection rates rise and health officials recommend more stringent measures to stop spread of the disease, state governments may decide to reverse these actions which may prolong our inability to collect fully water services bills from customers. Furthermore, a significant portion of our revenue is derived from water usage by commercial customers. As many of these customers have suspended, altered or terminated their business operations, their water usage may decline significantly or cease, which could adversely affect our revenue. Even though many of these legal restrictions have been eased and lifted in certain jurisdictions, including California, some of our commercial customers may decide not to open fully or at all due to their ongoing concerns with health and safety of employees at the workplace, in which case their water usage may remain at a lower level and continue to adversely impact our revenue.</w:t>
      </w:r>
    </w:p>
    <w:p>
      <w:pPr>
        <w:spacing w:after="0" w:line="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regulators in states we operate have approved mechanisms to either record a regulatory asset or track, in a memorandum account, expenses and savings related to COVID-19. If a state regulator disagrees with our calculation of recorded COVID-19 account balances, we may be required to make adjustments that could adversely affect our results of operations. While we expect to recover some of the revenue loss and costs through the rate-making processes, there is no guarantee that such recovery will be approved by the regulated utility authorities in a timely manner, or at all.</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Recently federal and state governments have issued orders and regulations directing employers to require their employees to be vaccinated as a condition to continuing employment, which may adversely affect our operations. In November 2021, and in response to the order by President Joseph Biden, the federal Occupational Safety and Health Administration (“OSHA”) issued an Emergency Temporary Standard (“ETS”) mandating that all employers with more than 100 employees ensure their workers are either fully vaccinated against COVID-19 or produce a negative COVID test on a weekly basis. However, on January 13, 2022, the U.S. Supreme Court invalidated President Biden’s federal vaccine mandate holding that OSHA had exceeded its authority. Accordingly, the implementation of such federal vaccine mandate is suspended, but similar state and local mandates may continue to be enforced and implemented. In response to these regulatory developments and the need to protect the health and safety of our employees, we implemented a policy requiring our employees, subject to certain exemptions, to be vaccinated. On January 22, 2022, SJWC received a letter from the National Labor Relations Board (“NLRB”) stating that it would investigate the allegations from the Utility Workers Union of America Local 259 that SJWC failed to bargain in good faith by imposing a COVID vaccine mandate and threatening to terminate noncompliant employees and for, otherwise, failing to bargain over its decision to impose the mandate. SJWC intends to cooperate with the NLRB’s investigation requests for affidavits from SJWC management and relevant documents. These regulatory requirements and company policies may result in increased operating costs, labor disruptions or employee attrition, and if we lose employees, it may be difficult in the current competitive labor market to recruit and hire replacement employees, all of which may have an adverse effect on our business operations and financial conditions.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 addition to the above risks, we are subject to the following risks resulting from the COVID-19 pandemic and related events:</w:t>
      </w:r>
    </w:p>
    <w:p>
      <w:pPr>
        <w:spacing w:after="0" w:line="117" w:lineRule="exact"/>
        <w:rPr>
          <w:sz w:val="20"/>
          <w:szCs w:val="20"/>
          <w:color w:val="auto"/>
        </w:rPr>
      </w:pPr>
    </w:p>
    <w:p>
      <w:pPr>
        <w:ind w:left="660" w:right="2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governments impose or reinstate “shelter-in-place” orders and quarantines, our planned infrastructure improvement projects could be temporarily interrupted by supply shortages, lack of sufficient workforce and disruption in transportation. This may negatively impact our ability to maintain and improve our infrastructure and provide reliable services to customers. In addition, our expenditures on capital improvements could be reduced, which may in turn impact rate decisions by state regulators.</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wide-spread COVID-19 disease could impact the health of our employees and management team, which may disrupt our business operations;</w:t>
      </w:r>
    </w:p>
    <w:p>
      <w:pPr>
        <w:spacing w:after="0" w:line="140" w:lineRule="exact"/>
        <w:rPr>
          <w:rFonts w:ascii="Arial" w:cs="Arial" w:eastAsia="Arial" w:hAnsi="Arial"/>
          <w:sz w:val="16"/>
          <w:szCs w:val="16"/>
          <w:color w:val="auto"/>
        </w:rPr>
      </w:pPr>
    </w:p>
    <w:p>
      <w:pPr>
        <w:jc w:val="both"/>
        <w:ind w:left="660" w:right="44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recession, stock market correction, or debt market disruptions resulting from the spread of COVID-19 could materially affect our business, results of operations, cash flow, and the value of our common stock, which may make it more difficult for us to raise capital in equity or debt markets;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higher uncollectible accounts receivables and increased costs from COVID-19 related prevention activities.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the COVID-19 pandemic has resulted in widespread global supply chain disruptions to vendors and suppliers, which may negatively affect our business operations, including delays in procuring materials and supplies that are required for capital additions and operations. The full extent of the future impact of COVID-19 pandemic on our operational and financial performance is uncertain and will depend on many factors, many of which are outside our control, including, without limitation the timing, extent, trajectory and duration of the pandemic; the availability, distribution and effectiveness of vaccines; the imposition of protective public safety measures; and the impact of the pandemic on state and local economy and customer behaviors. Any of these factors may continue to adversely affect our business and financial conditions, and there is no guarantee that we will be able to quickly return to our normal operations.</w:t>
      </w:r>
    </w:p>
    <w:p>
      <w:pPr>
        <w:spacing w:after="0" w:line="123" w:lineRule="exact"/>
        <w:rPr>
          <w:sz w:val="20"/>
          <w:szCs w:val="20"/>
          <w:color w:val="auto"/>
        </w:rPr>
      </w:pPr>
    </w:p>
    <w:p>
      <w:pPr>
        <w:ind w:right="140" w:firstLine="567"/>
        <w:spacing w:after="0" w:line="282" w:lineRule="auto"/>
        <w:rPr>
          <w:sz w:val="20"/>
          <w:szCs w:val="20"/>
          <w:color w:val="auto"/>
        </w:rPr>
      </w:pPr>
      <w:r>
        <w:rPr>
          <w:rFonts w:ascii="Arial" w:cs="Arial" w:eastAsia="Arial" w:hAnsi="Arial"/>
          <w:sz w:val="18"/>
          <w:szCs w:val="18"/>
          <w:b w:val="1"/>
          <w:bCs w:val="1"/>
          <w:color w:val="auto"/>
        </w:rPr>
        <w:t>Changes in water supply, water supply costs or the mix of water supply could adversely affect the operating results and business of Water Utility Services.</w:t>
      </w:r>
    </w:p>
    <w:p>
      <w:pPr>
        <w:spacing w:after="0" w:line="5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SJWC’s supply of water primarily relies upon three main sources: treated water purchased from Valley Water, surface water from its watershed in the Santa Cruz Mountains, and water pumped from the local groundwater basin. Changes and variations in quantities from each of these three sources including changes due to production assets being taken off-line for renovation or non-compliance with regulations affect the overall mix of the water supply, thereby affecting the cost of the water supply. If there is an adverse change to the mix of water supply and SJWC is not allowed by CPUC to recover the additional or increased water supply costs, its operating results may be adversely affected.</w:t>
      </w:r>
    </w:p>
    <w:p>
      <w:pPr>
        <w:spacing w:after="0" w:line="68" w:lineRule="exact"/>
        <w:rPr>
          <w:sz w:val="20"/>
          <w:szCs w:val="20"/>
          <w:color w:val="auto"/>
        </w:rPr>
      </w:pPr>
    </w:p>
    <w:p>
      <w:pPr>
        <w:ind w:right="8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Valley Water receives an allotment of water from state and federal water projects. If SJWC has difficulties obtaining a high quality water supply from Valley Water due to availability, environmental, legal or regulatory actions or other restrictions (see also </w:t>
      </w:r>
      <w:hyperlink w:anchor="page3">
        <w:r>
          <w:rPr>
            <w:rFonts w:ascii="Arial" w:cs="Arial" w:eastAsia="Arial" w:hAnsi="Arial"/>
            <w:sz w:val="16"/>
            <w:szCs w:val="16"/>
            <w:u w:val="single" w:color="auto"/>
            <w:color w:val="0000FF"/>
          </w:rPr>
          <w:t>Part I, Item 1</w:t>
        </w:r>
      </w:hyperlink>
      <w:r>
        <w:rPr>
          <w:rFonts w:ascii="Arial" w:cs="Arial" w:eastAsia="Arial" w:hAnsi="Arial"/>
          <w:sz w:val="16"/>
          <w:szCs w:val="16"/>
          <w:color w:val="auto"/>
        </w:rPr>
        <w:t>, “Water Supply”), it may not be able to fully satisfy customer demand in its service area and its operating results and business may be adversely affected. Additionally, the availability of water from SJWC’s Santa Cruz Mountains watershed depends on the weather and fluctuates with each season. In a normal year, surface water supply provides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 to 8% of the total water supply of the system. In a season with little rainfall, such as the record drought conditions in California in 2021, water supply from surface water sources may be low, thereby causing SJWC to increase the amount of water purchased from outside sources at a higher cost than surface water, thus increasing water production expenses. When drought conditions occur, we may be required to rely more heavily on purchased water than surface water, which would increase our costs and adversely affect our results of operations.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SJWC’s ability to use surface water is subject to regulations regarding water quality and volume limitations. If new regulations are imposed or existing regulations are changed or given new interpretations, the availability of surface water may be materially reduced. A reduction in surface water could result in the need to procure more costly water from other sources, thereby increasing overall water production expenses and adversely affecting our operating results.</w:t>
      </w:r>
    </w:p>
    <w:p>
      <w:pPr>
        <w:spacing w:after="0" w:line="79"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Because the extraction of water from the groundwater basin and the operation of the water distribution system require a significant amount of energy, increases in energy prices could increase operating expenses of SJWC. The cost of energy is beyond our control and can change unpredictably and substantially based on load supply and demand. Therefore, SJWC cannot be certain that it will be able to contain energy costs into the future.</w:t>
      </w:r>
    </w:p>
    <w:p>
      <w:pPr>
        <w:spacing w:after="0" w:line="4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SJWC continues to utilize Pacific Gas &amp; Electric’s time of use rate schedules to minimize its overall energy costs primarily for groundwater pumping. Optimization and energy management efficiency are achieved through the implementation of software applications that control pumps based on demand and cost of energy. An increase in demand or a reduction in the availability of surface water or import water could result in the need to pump more water during peak hours which will increase the cost of energy and therefore adversely affect the operating results of SJWC.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ind w:right="500"/>
        <w:spacing w:after="0" w:line="277" w:lineRule="auto"/>
        <w:rPr>
          <w:sz w:val="20"/>
          <w:szCs w:val="20"/>
          <w:color w:val="auto"/>
        </w:rPr>
      </w:pPr>
      <w:r>
        <w:rPr>
          <w:rFonts w:ascii="Arial" w:cs="Arial" w:eastAsia="Arial" w:hAnsi="Arial"/>
          <w:sz w:val="18"/>
          <w:szCs w:val="18"/>
          <w:color w:val="auto"/>
        </w:rPr>
        <w:t>SJWC has been granted permission by CPUC to employ certain balancing accounts to track various water supply expenses and revenues. There is no assurance that CPUC will allow recovery or refund of these balances when submitted by SJWC.</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CLWSC’s primary water supply is 7,650 acre-feet of water which is pumped from Canyon Lake at three lake intakes or delivered as treated water from GBRA’s Western Canyon Pipeline, in accordance with the terms of its contracts with the GBRA, which are long-term take-or-pay contracts. This supply is supplemented by groundwater pumped from wells. CLWSC has a small secondary water supply specific to a distinct system located in Hays and Travis counties. This supply of 350 acre-feet is also a long-term take or pay contract. While the contracts provides a committed long-term water supply for future demand, CLWSC customers currently do not use the volume of water allowed under the contracts which increases the cost of water for existing customers, and there is no assurance that future demands up to the committed supply volume will occur. Texas faces long-term water supply constraints similar to California as described above and while current water supply exceeds demand, CLWSC may not be able to obtain adequate water supply to meet customer demand or may be required to procure more costly water from other sources.</w:t>
      </w:r>
    </w:p>
    <w:p>
      <w:pPr>
        <w:spacing w:after="0" w:line="7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Connecticut regulated operations derive their rights and franchises to operate from state laws that are subject to alteration, amendment or repeal. Our franchises are free from restrictions, are unlimited as to time, and authorize us to sell potable water in all towns we now serve. Under Connecticut law, these rights and franchises are transferred to the surviving corporation in any merger. None of the Connecticut regulated operations were parties in the recent merger between the parent companies CTWS and SJW Group and no conditions were imposed that would adversely impact those rights and franchises. The companies further rely on environmental permits or registrations authorizing the use of water supplies in Connecticut, and those were not altered as a result of the merger with SJW Group. There is a possibility that the state could revoke our franchises and allow a governmental entity to take over some or all of our systems or could modify laws related to water supply use. From time to time such legislation has been contemplated in the past. The Connecticut regulated operations do not face long-term water supply constraints, but in times of persistent dry weather and continued drought conditions, Connecticut Water has requested that customers voluntarily reduce water usage.</w:t>
      </w:r>
    </w:p>
    <w:p>
      <w:pPr>
        <w:spacing w:after="0" w:line="5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Climate change may also impact water supply. For example, severity of drought conditions may impact the availability of water to all Water Utility Services and rising sea levels may impact the availability of groundwater available to SJWC and CLWSC.</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Fluctuations in customer demand for water due to seasonality, restrictions of use, weather, and lifestyle can adversely affect operating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103"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Water Utility Services are seasonal, thus quarterly fluctuation in results of operations may be significant. Rainfall and other weather conditions also affect Water Utility Services. Water consumption typically increases during the third quarter of each year when weather tends to be warm and dry. In periods of drought, if customers are encouraged or required to conserve water due to a shortage of water supply or restriction of use, revenue tends to be lower.</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Similarly, in unusually wet periods, water supply tends to be higher and customer demand tends to be lower, again resulting in lower revenues. Furthermore, certain lifestyle choices made by customers can affect demand for water. For example, a significant portion of residential water use is for outside irrigation of lawns and landscaping. If there is a decreased desire by customers to maintain landscaping for their homes or restrictions are placed on outside irrigation, residential water demand would decrease, which would result in lower revenues.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Conservation efforts and construction codes, which require the use of low-flow plumbing fixtures, could diminish water consumption and result in reduced revenue. In addition, in time of drought, water conservation may become a regulatory requirement that impacts the water usage of our customers. Weather conditions can also affect the sources of water supply, including the need to use more purchased water than surface water during a drought, which may increase our operating expenses. On July 8, 2021, Governor Gavin Newsom issued a proclamation declaring a drought emergency in fifty California Counties, including Santa Clara County. San Jose Water Company has activated our Water Shortage Contingency Plan to achieve the 15% conservation target.</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implementation of mandatory or voluntary conservation measures during the current drought has resulted and is expected to result in lower water usage by our customers which may adversely affect our results of operation. If the current conservation measures continue, or if new measures are imposed in response to drought conditions in the future, we may experience fluctuations in the timing of or a reduction in customer revenue. In addition, the current drought reduced the amount of available surface water, which required us to incur more costs to extract groundwater or obtain purchased water, which can significantly impact our results of operations.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Furthermore, the CPUC may approve memorandum accounts, such as a Water Conservation Memorandum Account (“WCMA”), to allow companies to recover revenue reductions due to water conservation activities and certain conservation related costs. However, collection of such memorandum accounts is subject to a review and approval process by CPUC, which can be lengthy, and there is no assurance that we will be able to recover in a timely manner all or some of the revenue and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ind w:right="40"/>
        <w:spacing w:after="0" w:line="286" w:lineRule="auto"/>
        <w:rPr>
          <w:sz w:val="20"/>
          <w:szCs w:val="20"/>
          <w:color w:val="auto"/>
        </w:rPr>
      </w:pPr>
      <w:r>
        <w:rPr>
          <w:rFonts w:ascii="Arial" w:cs="Arial" w:eastAsia="Arial" w:hAnsi="Arial"/>
          <w:sz w:val="17"/>
          <w:szCs w:val="17"/>
          <w:color w:val="auto"/>
        </w:rPr>
        <w:t>recorded in the memorandum accounts. When drought conditions ease and the California State Water Board and Valley Water no longer mandate water conservation, the company may no longer be allowed to recover revenue lost due to continued conservation activities under the WCMA account and would therefore be exposed to differences between actual and authorized usage. This could result in lower revenues.</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Similar to SJWC, Connecticut Water and Maine Water have also been impacted by increased water conservation, as well as the use of more efficient household fixtures and appliances among residential users. There has been a trend of declining per customer residential water usage in Connecticut and Maine over the last several years. CTWS’s regulated businesses at Maine Water are heavily dependent on revenue generated from rates it charges to its residential customers for the volume of water they use. The rates Connecticut Water and Maine Water charge for its water is regulated by PURA in Connecticut and MPUC in Maine, and CTWS’s water services subsidiaries may not unilaterally adjust their rates to reflect changes in demand. A declining volume of residential water usage may have a negative impact on our operating revenues in the future if regulators do not reflect usage declines in the rate setting design process. Although the legislatures in Maine and Connecticut have provided enabling legislation for water utilities to implement revenue adjustment mechanisms to allow for recovery of authorized rates where conservation has occurred and consumption has declined and such a mechanism has been approved by PURA and implemented for Connecticut Water, this mechanism has yet to be implemented at Maine Water.</w:t>
      </w:r>
    </w:p>
    <w:p>
      <w:pPr>
        <w:spacing w:after="0" w:line="95" w:lineRule="exact"/>
        <w:rPr>
          <w:sz w:val="20"/>
          <w:szCs w:val="20"/>
          <w:color w:val="auto"/>
        </w:rPr>
      </w:pPr>
    </w:p>
    <w:p>
      <w:pPr>
        <w:ind w:right="600" w:firstLine="567"/>
        <w:spacing w:after="0" w:line="282" w:lineRule="auto"/>
        <w:rPr>
          <w:sz w:val="20"/>
          <w:szCs w:val="20"/>
          <w:color w:val="auto"/>
        </w:rPr>
      </w:pPr>
      <w:r>
        <w:rPr>
          <w:rFonts w:ascii="Arial" w:cs="Arial" w:eastAsia="Arial" w:hAnsi="Arial"/>
          <w:sz w:val="18"/>
          <w:szCs w:val="18"/>
          <w:b w:val="1"/>
          <w:bCs w:val="1"/>
          <w:color w:val="auto"/>
        </w:rPr>
        <w:t>A contamination event or other decline in source water quality could affect the water supply of Water Utility Services and therefore adversely affect our business and operating results.</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Water Utility Services is required under drinking water regulations to comply with water quality requirements. Through water quality compliance programs, Water Utility Services monitors for contamination and pollution of its sources of water. In addition, a watershed management program provides a proactive approach to minimize potential contamination activities. There can be no assurance that Water Utility Services will continue to comply fully with all applicable water quality requirements or detect contamination timely or at all. In the event a contamination is detected, Water Utility Services must either commence treatment to remove the contaminant or procure water from an alternative source. Either of these results may be costly, may increase future capital expenditures and there can be no assurance that the regulators would approve a rate increase to enable us to recover the costs arising from such remedies. In addition, we could be held liable for consequences arising from hazardous substances or contamination in our water supplies or other environmental damages. Our insurance policies may not cover or may not be sufficient to cover the costs of these claims.</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CTWS’s wastewater operations, wastewater collection and treatment and septage pumping and sludge hauling also involve various risks that could impact our company. If collection or treatment systems fail or do not operate properly, or if there is a spill, untreated or partially treated wastewater could discharge onto property or into nearby streams and rivers, causing various damages and injuries, including environmental damage and health hazards. These risks are most acute during periods of substantial rainfall or flooding, which are the main causes of wastewater overflow and system failure. Liabilities resulting from such damages and injuries could harm our business, financial condition, and results of operations. Our insurance policies may not cover or may not be sufficient to cover the costs of these claims.</w:t>
      </w:r>
    </w:p>
    <w:p>
      <w:pPr>
        <w:spacing w:after="0" w:line="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CTWS’s source water quality could be negatively impacted by a contamination event or a decline in source water quality beyond the capacity of existing treatment systems, causing the treated water to no longer meet state and federal drinking water standards. On a temporary basis, such an event could result in a Do Not Drink or Do Not Use order by state regulators. On a permanent basis, such an event could require additional treatment or the replacement of the source water supply. In either case, such an event or occurrence could cause a decline in consumer trust, significant investment or expense for remediation efforts and potential claims from customers. Our insurance policies may not cover or may not be sufficient to cover the costs of these claims.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Operating under contract water and waste systems in Maine and Connecticut subject us to risks.</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CTWS operates a number of water and wastewater systems under operation and maintenance contracts. Pursuant to these contracts, such systems are operated according to the standards set forth in the applicable contract, and it is generally the responsibility of the owner of the system to undertake capital improvements over which we may not have control. We may not be able to convince the owner to make needed improvements in order to maintain compliance with applicable regulations. Although violations and fines incurred by water and wastewater systems may be the responsibility of the owner of the system under these contracts, such non-compliance events may reflect poorly on us as the operator of the system and harm our reputation, and in some cases, may result in liability to the same extent as if we were the owner.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jc w:val="both"/>
        <w:ind w:right="400" w:firstLine="567"/>
        <w:spacing w:after="0" w:line="236" w:lineRule="auto"/>
        <w:rPr>
          <w:sz w:val="20"/>
          <w:szCs w:val="20"/>
          <w:color w:val="auto"/>
        </w:rPr>
      </w:pPr>
      <w:r>
        <w:rPr>
          <w:rFonts w:ascii="Arial" w:cs="Arial" w:eastAsia="Arial" w:hAnsi="Arial"/>
          <w:sz w:val="18"/>
          <w:szCs w:val="18"/>
          <w:b w:val="1"/>
          <w:bCs w:val="1"/>
          <w:color w:val="auto"/>
        </w:rPr>
        <w:t>Water Utility Services rely on information technology and systems that are key to business operations. A system malfunction, security breach, cyber-attacks or other disruptions could compromise our information and expose us to liability, which could adversely affect business operations.</w:t>
      </w:r>
    </w:p>
    <w:p>
      <w:pPr>
        <w:spacing w:after="0" w:line="8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Information technology is key to the operation of the Water Utility Services, including but not limited to payroll, general ledger activities, outsourced bill preparation and remittance processing, providing customer service and the use of Supervisory Control and Data Acquisition systems to operate our distribution system. Among other things, system malfunctions, computer viruses and security breaches could prevent us from operating or monitoring our facilities, billing and collecting cash accurately and timely analysis of financial results. In addition, we collect, process, and store sensitive data from our customers and employees, including personally identifiable information, on our networks.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without our authorization, publicly disclosed, lost or stolen which could result in legal claims or proceedings, violation of privacy laws or damage to our reputation and customer relationships. Our profitability and cash flow could be affected negatively in the event these systems do not operate effectively or are breached. In addition, we may not be able to develop or acquire information technology that is competitive and responsive to the needs of our business, and we may lack sufficient resources to make the necessary upgrades or replacements of our outdated existing technology to allow us to continue to operate at our current level of efficiency.</w:t>
      </w:r>
    </w:p>
    <w:p>
      <w:pPr>
        <w:spacing w:after="0" w:line="6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addition, we must comply with privacy rights regulations such as The California Consumer Privacy Act (“CCPA”), a state statute that became effective January 1, 2020, which enhances the privacy rights and consumer protections for California residents. Among other things, the CCPA establishes statutory damages for victims of data security breaches, and provides additional rights for consumers to obtain their data from any business that has their personally identifying information. If we fail to comply with CCPA, it may lead to investigations, claims, and proceedings by governmental entities and private parties, damages for breach, and cause us to incur other significant costs, penalties, and other liabilities, as well as harm to our reputation.</w:t>
      </w:r>
    </w:p>
    <w:p>
      <w:pPr>
        <w:spacing w:after="0" w:line="63" w:lineRule="exact"/>
        <w:rPr>
          <w:sz w:val="20"/>
          <w:szCs w:val="20"/>
          <w:color w:val="auto"/>
        </w:rPr>
      </w:pPr>
    </w:p>
    <w:p>
      <w:pPr>
        <w:ind w:right="120" w:firstLine="567"/>
        <w:spacing w:after="0" w:line="250" w:lineRule="auto"/>
        <w:rPr>
          <w:sz w:val="20"/>
          <w:szCs w:val="20"/>
          <w:color w:val="auto"/>
        </w:rPr>
      </w:pPr>
      <w:r>
        <w:rPr>
          <w:rFonts w:ascii="Arial" w:cs="Arial" w:eastAsia="Arial" w:hAnsi="Arial"/>
          <w:sz w:val="18"/>
          <w:szCs w:val="18"/>
          <w:b w:val="1"/>
          <w:bCs w:val="1"/>
          <w:color w:val="auto"/>
        </w:rPr>
        <w:t>A failure of our reservoirs, storage tanks, mains or distribution networks could result in losses and damages that may adversely affect our financial condition and reputation.</w:t>
      </w:r>
    </w:p>
    <w:p>
      <w:pPr>
        <w:spacing w:after="0" w:line="7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distribute water through an extensive network of mains and store water in reservoirs and storage tanks located across our service areas. The Water Utility Services’ distribution systems were constructed during the period from the early 1900’s through today. A failure of major mains, reservoirs, or tanks could result in injuries and damage to residential and/or commercial property for which we may be responsible, in whole or in part. The failure of major mains, reservoirs or tanks may also result in the need to shut down some facilities or parts of our water distribution network in order to conduct repairs. Such failures and shutdowns may limit our ability to supply water in sufficient quantities to our customers and to meet the water delivery requirements prescribed by governmental regulators, which could adversely affect our financial condition, results of operations, cash flow, liquidity and reputation. We also own and operate numerous dams throughout Connecticut and Maine, and a failure of such dams could result in losses and damages that may adversely effect our financial condition and reputation. Any business interruption or other losses might not be covered by existing insurance policies or be recoverable in rates, and such losses may make it difficult for us to secure insurance in the future at acceptable rates. Our insurance policies may not cover or may not be sufficient to cover the costs of these claims.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SJW Land Company and Chester Realty, Inc. have real estate holdings that are subject to various business and investment risks.</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SJW Land Company owns real estate in California and Tennessee, and Chester Realty, Inc. owns real estate in Connecticut. The risks of investing directly in real estate vary depending on the investment strategy and investment objective and include the following:</w:t>
      </w:r>
    </w:p>
    <w:p>
      <w:pPr>
        <w:spacing w:after="0" w:line="62" w:lineRule="exact"/>
        <w:rPr>
          <w:sz w:val="20"/>
          <w:szCs w:val="20"/>
          <w:color w:val="auto"/>
        </w:rPr>
      </w:pPr>
    </w:p>
    <w:p>
      <w:pPr>
        <w:ind w:left="1300" w:right="320" w:hanging="1049"/>
        <w:spacing w:after="0" w:line="273" w:lineRule="auto"/>
        <w:tabs>
          <w:tab w:leader="none" w:pos="12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and general economic risks—real estate investment is tied to overall domestic economic growth and, therefore, carries market risk which cannot be eliminated by diversification. Generally, all property types benefit from national economic growth, though the benefits range according to local factors, such as local supply and demand and job creation. Because real estate leases are typically staggered and last for multiple years, there is generally a delayed effect in the performance of real estate in relation to the overall economy. This delayed effect can insulate or deteriorate the financial impact to SJW Land Company and Chester Realty, Inc. in a downturn or an improved economic environment.</w:t>
      </w:r>
    </w:p>
    <w:p>
      <w:pPr>
        <w:spacing w:after="0" w:line="69" w:lineRule="exact"/>
        <w:rPr>
          <w:rFonts w:ascii="Arial" w:cs="Arial" w:eastAsia="Arial" w:hAnsi="Arial"/>
          <w:sz w:val="17"/>
          <w:szCs w:val="17"/>
          <w:color w:val="auto"/>
        </w:rPr>
      </w:pPr>
    </w:p>
    <w:p>
      <w:pPr>
        <w:ind w:left="1300" w:right="80" w:hanging="1049"/>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Vacancy rates can climb and market rents can be impacted and weakened by general economic forces, therefore affecting income to SJW Land Company and Chester Realty, Inc.</w:t>
      </w:r>
    </w:p>
    <w:p>
      <w:pPr>
        <w:spacing w:after="0" w:line="62" w:lineRule="exact"/>
        <w:rPr>
          <w:rFonts w:ascii="Arial" w:cs="Arial" w:eastAsia="Arial" w:hAnsi="Arial"/>
          <w:sz w:val="18"/>
          <w:szCs w:val="18"/>
          <w:color w:val="auto"/>
        </w:rPr>
      </w:pPr>
    </w:p>
    <w:p>
      <w:pPr>
        <w:ind w:left="1300" w:right="300" w:hanging="1049"/>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the value of a real estate property or increase in vacancy could result in reduced future cash flows to amounts below the property’s current carrying value and could result in an impairment charge.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jc w:val="both"/>
        <w:ind w:right="40"/>
        <w:spacing w:after="0" w:line="263" w:lineRule="auto"/>
        <w:rPr>
          <w:sz w:val="20"/>
          <w:szCs w:val="20"/>
          <w:color w:val="auto"/>
        </w:rPr>
      </w:pPr>
      <w:r>
        <w:rPr>
          <w:rFonts w:ascii="Arial" w:cs="Arial" w:eastAsia="Arial" w:hAnsi="Arial"/>
          <w:sz w:val="18"/>
          <w:szCs w:val="18"/>
          <w:color w:val="auto"/>
        </w:rPr>
        <w:t>The value of real estate can decrease materially due to a deflationary market, decline in rental income, market cycle of supply and demand, long lag time in real estate development, legislative and governmental actions, environmental concerns, increases in rates of returns demanded by investors, and fluctuation of interest rates, eroding any unrealized capital appreciation and, potentially, invested capital.</w:t>
      </w:r>
    </w:p>
    <w:p>
      <w:pPr>
        <w:spacing w:after="0" w:line="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success of SJW Land Company and Chester Realty, Inc.’s real estate investment strategy depend largely on ongoing local, state and federal land use development activities and regulations, future economic conditions, the development and fluctuations in the sale of the undeveloped properties, the ability to identify the developer/potential buyer of the available-for-sale real estate, the timing of the transaction, favorable tax law, and the ability to maintain and manage portfolio properties. There is no guarantee that we will be able to execute the strategy successfully and failure to do so may adversely affect our operating results and financial condition.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Work stoppages, other labor relations matters and epidemic or pandemic illness events could adversely affect our business and operating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w:t>
      </w:r>
    </w:p>
    <w:p>
      <w:pPr>
        <w:spacing w:after="0" w:line="1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2021, 226 of our 751 total employees were union members. Most of our unionized employees are represented by the Utility Workers of America, except certain employees in the engineering department who are represented by the International Union of Operating Engineers. Only employees at SJWC are union members. The current three-year bargaining agreements will expire on December 31, 2022 and negotiations will begin in 2022 for the upcoming period, 2023 through 2025.</w:t>
      </w:r>
    </w:p>
    <w:p>
      <w:pPr>
        <w:spacing w:after="0" w:line="7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may experience difficulties and delays in the collective bargaining process to reach suitable agreements with union employees, particularly in light of increasing healthcare and pension costs. In addition, changes in applicable law and regulations could have an adverse effect on management’s negotiating position with the unions. Labor actions, work stoppages or the threat of work stoppages, and our failure to obtain favorable labor contract terms during future negotiations may adversely affect our business, financial condition, results of operations, cash flows and liquidity.</w:t>
      </w:r>
    </w:p>
    <w:p>
      <w:pPr>
        <w:spacing w:after="0" w:line="72" w:lineRule="exact"/>
        <w:rPr>
          <w:sz w:val="20"/>
          <w:szCs w:val="20"/>
          <w:color w:val="auto"/>
        </w:rPr>
      </w:pPr>
    </w:p>
    <w:p>
      <w:pPr>
        <w:ind w:right="200" w:firstLine="567"/>
        <w:spacing w:after="0" w:line="282" w:lineRule="auto"/>
        <w:rPr>
          <w:sz w:val="20"/>
          <w:szCs w:val="20"/>
          <w:color w:val="auto"/>
        </w:rPr>
      </w:pPr>
      <w:r>
        <w:rPr>
          <w:rFonts w:ascii="Arial" w:cs="Arial" w:eastAsia="Arial" w:hAnsi="Arial"/>
          <w:sz w:val="18"/>
          <w:szCs w:val="18"/>
          <w:b w:val="1"/>
          <w:bCs w:val="1"/>
          <w:color w:val="auto"/>
        </w:rPr>
        <w:t>If we fail to maintain safe work sites, we can be exposed to not only people impacts but also to financial losses such as penalties and other liabilities.</w:t>
      </w:r>
    </w:p>
    <w:p>
      <w:pPr>
        <w:spacing w:after="0" w:line="5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safety record is critical to our reputation because our business operation involves inherently dangerous activities. We maintain health and safety standards to protect our employees, customers, vendors and the public. Although we intend to adhere to such health and safety standards and aim for zero injuries, it is difficult to avoid accidents at all times.</w:t>
      </w:r>
    </w:p>
    <w:p>
      <w:pPr>
        <w:spacing w:after="0" w:line="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business sites, including construction and maintenance sites, often place our employees and others in close proximity with large pieces of heavy equipment, moving vehicles, pressurized water, underground trenches and vaults, chemicals and other regulated materials. On many sites we are responsible for safety and, accordingly, must implement safety procedures. If we fail to implement such procedures or if the procedures we implement are ineffective or are not followed by our employees or others, or if accidents occur outside of our control, our employees and others may be injured or die. Unsafe work sites also have the potential to increase employee turnover and raise our operating costs. Any of the foregoing could result in financial losses, which could have a material adverse impact on our business, financial condition, results of operations and cash flows.</w:t>
      </w:r>
    </w:p>
    <w:p>
      <w:pPr>
        <w:spacing w:after="0" w:line="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our operations can involve the handling and storage of hazardous chemicals, which, if improperly handled, stored or disposed of, could subject us to penalties or other liabilities. We are also subject to regulations dealing with occupational health and safety. Although we maintain functional employee groups whose primary purpose is to ensure we implement effective health, safety, and environment work procedures throughout our organization, including construction sites and maintenance sites, the failure to comply with such regulations or procedures could subject us to a liability.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and Corporate Matters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We may not have sufficient cash flow or capital resources to fund capital expenditures of our water utility business.</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water utility business is capital-intensive. Expenditure levels for renewal and modernization of the system will grow at an increasing rate as components reach the end of their useful lives. SJW Group’ subsidiaries fund capital expenditures through a variety of sources, including cash received from operations, funds received from developers as contributions or advances, borrowings through lines of credit and debt financings, as well as equity financings by SJW Group. We cannot provide any assurance that the historical sources of funds for capital expenditures will continue to be adequate or that the cost of funds will remain at levels permitting us to earn a reasonable rate of return. A significant change in any of the funding sources could impair the ability of Water Utility Services to fund its capital expenditures, which could impact our ability to grow our utility asset base and earnings. Any increase in the cost of capital through higher interest rates or otherwise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4" w:name="page25"/>
    <w:bookmarkEnd w:id="24"/>
    <w:p>
      <w:pPr>
        <w:ind w:right="120"/>
        <w:spacing w:after="0" w:line="257" w:lineRule="auto"/>
        <w:rPr>
          <w:sz w:val="20"/>
          <w:szCs w:val="20"/>
          <w:color w:val="auto"/>
        </w:rPr>
      </w:pPr>
      <w:r>
        <w:rPr>
          <w:rFonts w:ascii="Arial" w:cs="Arial" w:eastAsia="Arial" w:hAnsi="Arial"/>
          <w:sz w:val="18"/>
          <w:szCs w:val="18"/>
          <w:color w:val="auto"/>
        </w:rPr>
        <w:t>Our ability to raise capital through equity or debt may be affected by the economy and condition of the debt and equity markets. Disruptions in the capital and credit markets or deteriorations in the strength of financial institutions could adversely affect SJW Group’s ability to draw on its lines of credit, issue long-term debt or sell its equity. In addition, government policies, the state of the credit markets and other factors could result in increased interest rates, which would increase SJW Group’s cost of capital. Furthermore, equity financings may result in dilution to our existing stockholders and debt financings may contain covenants that restrict the actions of SJW Group and its subsidiaries.</w:t>
      </w:r>
    </w:p>
    <w:p>
      <w:pPr>
        <w:spacing w:after="0" w:line="116" w:lineRule="exact"/>
        <w:rPr>
          <w:sz w:val="20"/>
          <w:szCs w:val="20"/>
          <w:color w:val="auto"/>
        </w:rPr>
      </w:pPr>
    </w:p>
    <w:p>
      <w:pPr>
        <w:ind w:right="480" w:firstLine="486"/>
        <w:spacing w:after="0" w:line="282" w:lineRule="auto"/>
        <w:rPr>
          <w:sz w:val="20"/>
          <w:szCs w:val="20"/>
          <w:color w:val="auto"/>
        </w:rPr>
      </w:pPr>
      <w:r>
        <w:rPr>
          <w:rFonts w:ascii="Arial" w:cs="Arial" w:eastAsia="Arial" w:hAnsi="Arial"/>
          <w:sz w:val="18"/>
          <w:szCs w:val="18"/>
          <w:b w:val="1"/>
          <w:bCs w:val="1"/>
          <w:color w:val="auto"/>
        </w:rPr>
        <w:t>We incurred substantial additional indebtedness to finance our acquisition of CTWS, which may reduce our business and operational flexibility and increase our borrowing costs.</w:t>
      </w:r>
    </w:p>
    <w:p>
      <w:pPr>
        <w:spacing w:after="0" w:line="5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increased indebtedness and higher debt-to-equity ratio in comparison to that of our recent historical basis may have the effect, among other things, of: reducing our flexibility to respond to changing business, industry and economic conditions; increasing borrowing costs; placing us at a competitive disadvantage relative to other companies in our industry with less debt; potentially having an adverse effect on our issuer and issue ratings; requiring additional cash flow to be used to service debt instead of for other purposes; and potentially impairing our ability to obtain other financing.</w:t>
      </w:r>
    </w:p>
    <w:p>
      <w:pPr>
        <w:spacing w:after="0" w:line="4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 terms and conditions of such indebtedness, including financial covenants and restrictive covenants, may reduce our business flexibility and adversely affect our business, financial condition, results of operations and prospects. The agreements governing the indebtedness incurred in connection with the merger contain covenants that impose significant operating and financial limitations and restrictions on us, including restrictions on the ability to enter particular transactions and engage in other activities that we may believe will be advisable or necessary for the combined company’s business. In addition, failure to comply with any of the covenants in our existing or future debt agreements could result in a default under those agreements and under other existing agreements containing cross-default provisions. A default would permit lenders to accelerate the maturity of indebtedness under these agreements and to foreclose upon any collateral securing such indebtedness. Under certain circumstances, we may not have sufficient funds or other resources to satisfy all of our obligations under our indebtedness, including principal and interest payments, which, if not cured, may cause an event of default.</w:t>
      </w:r>
    </w:p>
    <w:p>
      <w:pPr>
        <w:spacing w:after="0" w:line="8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senior note borrowings of SJW Group, SJWC and CLWSC include certain financial covenants regarding a maximum debt to equity ratio and an interest coverage requirement. In the event the relevant borrower exceeds the maximum debt to equity ratio or interest coverage requirement, we may be restricted from issuing future debt. In addition, the pollution control revenue bonds issued on behalf of SJWC contain affirmative and negative covenants customary for a loan agreement relating to revenue bonds, including, among other things, certain disclosure obligations, the tax exempt status of the interest on the bonds, and limitations and prohibitions on the transfer of projects funded by the loan proceeds and assignment of the loan agreement.</w:t>
      </w:r>
    </w:p>
    <w:p>
      <w:pPr>
        <w:spacing w:after="0" w:line="5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CTWS and its subsidiaries are required to comply with certain covenants in connection with their various long term loan agreements. The most restrictive of these covenants are the requirements to maintain a consolidated debt to capitalization ratio of not more than 60%. Additionally, Maine Water has restrictions on cash dividends paid based on restricted net assets. In the event that we violate any of these covenants, an event of default may occur and all amounts due under such bonds may be called by the Trustee, which would have an adverse effect on our business operations and financial conditions.</w:t>
      </w:r>
    </w:p>
    <w:p>
      <w:pPr>
        <w:spacing w:after="0" w:line="72" w:lineRule="exact"/>
        <w:rPr>
          <w:sz w:val="20"/>
          <w:szCs w:val="20"/>
          <w:color w:val="auto"/>
        </w:rPr>
      </w:pPr>
    </w:p>
    <w:p>
      <w:pPr>
        <w:ind w:right="580" w:firstLine="567"/>
        <w:spacing w:after="0" w:line="282" w:lineRule="auto"/>
        <w:rPr>
          <w:sz w:val="20"/>
          <w:szCs w:val="20"/>
          <w:color w:val="auto"/>
        </w:rPr>
      </w:pPr>
      <w:r>
        <w:rPr>
          <w:rFonts w:ascii="Arial" w:cs="Arial" w:eastAsia="Arial" w:hAnsi="Arial"/>
          <w:sz w:val="18"/>
          <w:szCs w:val="18"/>
          <w:b w:val="1"/>
          <w:bCs w:val="1"/>
          <w:color w:val="auto"/>
        </w:rPr>
        <w:t>The phaseout of the London Interbank Offered Rate (</w:t>
      </w: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w:t>
      </w:r>
      <w:r>
        <w:rPr>
          <w:rFonts w:ascii="Arial" w:cs="Arial" w:eastAsia="Arial" w:hAnsi="Arial"/>
          <w:sz w:val="18"/>
          <w:szCs w:val="18"/>
          <w:b w:val="1"/>
          <w:bCs w:val="1"/>
          <w:color w:val="auto"/>
        </w:rPr>
        <w:t>), or the replacement of LIBOR with a different reference rate, may adversely affect interest rates.</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27, 2017, the Financial Conduct Authority (“FCA”), the authority that regulates LIBOR, announced that it would phaseout LIBOR by the end of 2021. In March 2021, the FCA announced an extension of certain panels of LIBOR to continue until the end of June 2023. However, in November 2021, the FCA confirmed that it will prohibit the use of LIBOR in new contracts written after December 31, 2021. In the United States, the Alternative Reference Rates Committee has proposed the Secured Overnight Financing Rate (“SOFR”) as an alternative to LIBOR. It is not presently known whether SOFR or any other alternative reference rates that have been proposed will attain market acceptance as replacements of LIBOR. Changes in the method of calculating LIBOR, or the replacement of LIBOR with an alternative rate or benchmark, may adversely affect interest rates and result in higher borrowing costs for both our existing debt agreements that include LIBOR interest rates and future loan agreements that we may enter into. In addition, uncertainty as to the nature of such phase out and selection of an alternative reference rate can result in disruptions in the overall financial market, which could negatively impact our ability to obtain debt financing at favorable rates. We cannot predict how the LIBOR transition will impact the interest rates and other terms of our existing debt agreements, and such transition may materially and adversely affect SJW Group’s results of operations, cash flows and liquidity.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5" w:name="page26"/>
    <w:bookmarkEnd w:id="25"/>
    <w:p>
      <w:pPr>
        <w:ind w:right="420" w:firstLine="486"/>
        <w:spacing w:after="0" w:line="266" w:lineRule="auto"/>
        <w:rPr>
          <w:sz w:val="20"/>
          <w:szCs w:val="20"/>
          <w:color w:val="auto"/>
        </w:rPr>
      </w:pPr>
      <w:r>
        <w:rPr>
          <w:rFonts w:ascii="Arial" w:cs="Arial" w:eastAsia="Arial" w:hAnsi="Arial"/>
          <w:sz w:val="18"/>
          <w:szCs w:val="18"/>
          <w:b w:val="1"/>
          <w:bCs w:val="1"/>
          <w:color w:val="auto"/>
        </w:rPr>
        <w:t>SJW Group has committed to certain “ring-fencing” measures which will enhance CTWS’s separateness from SJW Group, which may limit SJW Group’s ability to influence the management and policies of CTWS (beyond the limitations included in other existing governance mechanisms).</w:t>
      </w:r>
    </w:p>
    <w:p>
      <w:pPr>
        <w:spacing w:after="0" w:line="7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Pursuant to the agreements related to the acquisition of CTWS and commitments made by SJW Group as part of the application for PURA and MPUC approval of the acquisition of CTWS, SJW Group has instituted certain “ring-fencing” measures to enhance CTWS’s separateness from SJW Group and to mitigate the risk that CTWS would be negatively impacted in the event of a bankruptcy or other adverse financial developments affecting SJW Group or its non-ring-fenced affiliates. These commitments became effective upon the closing of the acquisition.</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order to satisfy the ring-fencing commitments, SJW Group formed SJWNE, LLC a wholly-owned special purpose entity (“SPE”) to own the capital stock of CTWS. The SPE, CTWS and its subsidiaries (collectively, the “CTWS Entities”) adopted certain measures designed to enhance their separateness from SJW Group, with the intention of mitigating the effects on the CTWS Entities of any bankruptcy of SJW Group and its affiliates other than the CTWS Entities (collectively, the “Non-CTWS Entities”). As a result of these ring-fencing measures, in certain situations, SJW Group will be restricted in its ability to access assets of the CTWS Entities as dividends or intracompany loans to satisfy the debt or contractual obligations of any Non-CTWS Entity, including any indebtedness or other contractual obligations of SJW Group. In addition, the ring-fencing structure may negatively impact SJW Group’s ability to achieve certain benefits, including synergies and economies of scale to reduce operating costs of the combined entity, that it anticipates will result from the merger. This ring-fencing structure also subjects SJW Group and the CTWS Entities to certain governance, operational and financial restrictions since the closing of the merger. Accordingly, SJW Group may be restricted in its ability to direct the management, policies and operations of the CTWS Entities, including the deployment or disposition of their respective assets, declarations of dividends, strategic planning and other important corporate issues. Further, the CTWS Entities’ directors have considerable autonomy and, as described in our commitments, have a duty to act in the best interest of the CTWS Entities consistent with the ring-fencing structure and applicable law, which may be contrary to SJW Group’s best interests or be in opposition to SJW Group’s preferred strategic direction for the CTWS Entities. To the extent they take actions that are not in SJW Group’s interests, our financial condition, results of operations and prospects may be materially adversely affected.</w:t>
      </w:r>
    </w:p>
    <w:p>
      <w:pPr>
        <w:spacing w:after="0" w:line="86" w:lineRule="exact"/>
        <w:rPr>
          <w:sz w:val="20"/>
          <w:szCs w:val="20"/>
          <w:color w:val="auto"/>
        </w:rPr>
      </w:pPr>
    </w:p>
    <w:p>
      <w:pPr>
        <w:ind w:firstLine="567"/>
        <w:spacing w:after="0" w:line="282" w:lineRule="auto"/>
        <w:rPr>
          <w:sz w:val="20"/>
          <w:szCs w:val="20"/>
          <w:color w:val="auto"/>
        </w:rPr>
      </w:pPr>
      <w:r>
        <w:rPr>
          <w:rFonts w:ascii="Arial" w:cs="Arial" w:eastAsia="Arial" w:hAnsi="Arial"/>
          <w:sz w:val="18"/>
          <w:szCs w:val="18"/>
          <w:b w:val="1"/>
          <w:bCs w:val="1"/>
          <w:color w:val="auto"/>
        </w:rPr>
        <w:t>Our business strategy, which includes acquiring water systems and expanding non-tariffed services, will expose us to new risks which could have a material adverse effect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strategy focuses on the following:</w:t>
      </w:r>
    </w:p>
    <w:p>
      <w:pPr>
        <w:spacing w:after="0" w:line="117" w:lineRule="exact"/>
        <w:rPr>
          <w:sz w:val="20"/>
          <w:szCs w:val="20"/>
          <w:color w:val="auto"/>
        </w:rPr>
      </w:pPr>
    </w:p>
    <w:p>
      <w:pPr>
        <w:ind w:left="1300" w:hanging="104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1300" w:hanging="1049"/>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Regional non-tariffed water utility related services provided in accordance with the guidelines established by the Regulators; and</w:t>
      </w:r>
    </w:p>
    <w:p>
      <w:pPr>
        <w:spacing w:after="0" w:line="128" w:lineRule="exact"/>
        <w:rPr>
          <w:rFonts w:ascii="Arial" w:cs="Arial" w:eastAsia="Arial" w:hAnsi="Arial"/>
          <w:sz w:val="17"/>
          <w:szCs w:val="17"/>
          <w:color w:val="auto"/>
        </w:rPr>
      </w:pPr>
    </w:p>
    <w:p>
      <w:pPr>
        <w:ind w:left="1300" w:hanging="1049"/>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3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Adverse investment returns and other factors may increase our pension costs and pension plan funding requirements.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substantial number of our employees are covered by defined benefit pension plans. Our pension costs and the funded status of the plans are affected by a number of factors including the discount rate, applicable mortality tables, mortality rates of plan participants, investment returns on plan assets, and pension reform legislation. Any change in such factors could result in 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ind w:right="580"/>
        <w:spacing w:after="0" w:line="277" w:lineRule="auto"/>
        <w:rPr>
          <w:sz w:val="20"/>
          <w:szCs w:val="20"/>
          <w:color w:val="auto"/>
        </w:rPr>
      </w:pPr>
      <w:r>
        <w:rPr>
          <w:rFonts w:ascii="Arial" w:cs="Arial" w:eastAsia="Arial" w:hAnsi="Arial"/>
          <w:sz w:val="18"/>
          <w:szCs w:val="18"/>
          <w:color w:val="auto"/>
        </w:rPr>
        <w:t>increase in future pension costs and an increase in our pension liabilities, requiring an increase in plan contributions which may adversely affect our financial conditions and results of operations.</w:t>
      </w:r>
    </w:p>
    <w:p>
      <w:pPr>
        <w:spacing w:after="0" w:line="99" w:lineRule="exact"/>
        <w:rPr>
          <w:sz w:val="20"/>
          <w:szCs w:val="20"/>
          <w:color w:val="auto"/>
        </w:rPr>
      </w:pPr>
    </w:p>
    <w:p>
      <w:pPr>
        <w:ind w:right="1080" w:firstLine="486"/>
        <w:spacing w:after="0" w:line="282" w:lineRule="auto"/>
        <w:rPr>
          <w:sz w:val="20"/>
          <w:szCs w:val="20"/>
          <w:color w:val="auto"/>
        </w:rPr>
      </w:pPr>
      <w:r>
        <w:rPr>
          <w:rFonts w:ascii="Arial" w:cs="Arial" w:eastAsia="Arial" w:hAnsi="Arial"/>
          <w:sz w:val="18"/>
          <w:szCs w:val="18"/>
          <w:b w:val="1"/>
          <w:bCs w:val="1"/>
          <w:color w:val="auto"/>
        </w:rPr>
        <w:t>SJW Group’s dividend policy is subject to the discretion of our board of directors and may be limited by legal and contractual requirements.</w:t>
      </w:r>
    </w:p>
    <w:p>
      <w:pPr>
        <w:spacing w:after="0" w:line="5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anticipate to continue to pay a regular quarterly dividend, though any such determination to pay dividends will be at the discretion of our board of directors and will be dependent on then-existing conditions, including our financial condition, earnings, legal requirements, including limitations under Delaware law, restrictions in our credit agreements and other debt instruments that limit our ability to pay dividends to stockholders and other factors the board of directors deems relevant. The board of directors of SJW Group may, in its sole discretion, change the amount or frequency of dividends or discontinue the payment of dividends entirely. In addition, our subsidiaries may be subject to restrictions on their ability to pay dividends to us, including under state law, pursuant to regulatory commitments and under their credit agreements and other debt instruments. In this regard, the CTWS Entities are limited from paying dividends to us in certain circumstances under PURA and MPUC regulatory commitments. Any inability of our subsidiaries to pay us dividends may have a material and adverse effect on our ability to pay dividends to our stockholders.</w:t>
      </w:r>
    </w:p>
    <w:p>
      <w:pPr>
        <w:spacing w:after="0" w:line="107" w:lineRule="exact"/>
        <w:rPr>
          <w:sz w:val="20"/>
          <w:szCs w:val="20"/>
          <w:color w:val="auto"/>
        </w:rPr>
      </w:pPr>
    </w:p>
    <w:p>
      <w:pPr>
        <w:ind w:right="440" w:firstLine="567"/>
        <w:spacing w:after="0" w:line="282" w:lineRule="auto"/>
        <w:rPr>
          <w:sz w:val="20"/>
          <w:szCs w:val="20"/>
          <w:color w:val="auto"/>
        </w:rPr>
      </w:pPr>
      <w:r>
        <w:rPr>
          <w:rFonts w:ascii="Arial" w:cs="Arial" w:eastAsia="Arial" w:hAnsi="Arial"/>
          <w:sz w:val="18"/>
          <w:szCs w:val="18"/>
          <w:b w:val="1"/>
          <w:bCs w:val="1"/>
          <w:color w:val="auto"/>
        </w:rPr>
        <w:t>Our charter documents and Delaware law could prevent a takeover that stockholders consider favorable and could also make it more difficult for stockholders to influence our policies or may reduce the rights of stockholders.</w:t>
      </w:r>
    </w:p>
    <w:p>
      <w:pPr>
        <w:spacing w:after="0" w:line="55"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SJW Group</w:t>
      </w:r>
      <w:r>
        <w:rPr>
          <w:rFonts w:ascii="Arial" w:cs="Arial" w:eastAsia="Arial" w:hAnsi="Arial"/>
          <w:sz w:val="19"/>
          <w:szCs w:val="19"/>
          <w:color w:val="auto"/>
        </w:rPr>
        <w:t>’s</w:t>
      </w:r>
      <w:r>
        <w:rPr>
          <w:rFonts w:ascii="Arial" w:cs="Arial" w:eastAsia="Arial" w:hAnsi="Arial"/>
          <w:sz w:val="18"/>
          <w:szCs w:val="18"/>
          <w:color w:val="auto"/>
        </w:rPr>
        <w:t xml:space="preserve"> Certificate of Incorporation and Bylaws contain provisions that could delay or prevent a change in control of SJW Group. These provisions could also make it more difficult for our stockholders to elect directors and take other corporate actions. These provisions include, but are not limited to, the following:</w:t>
      </w:r>
    </w:p>
    <w:p>
      <w:pPr>
        <w:spacing w:after="0" w:line="74" w:lineRule="exact"/>
        <w:rPr>
          <w:sz w:val="20"/>
          <w:szCs w:val="20"/>
          <w:color w:val="auto"/>
        </w:rPr>
      </w:pPr>
    </w:p>
    <w:p>
      <w:pPr>
        <w:ind w:left="1300" w:hanging="104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Authorizing Board of Directors to issue “blank check” preferred stock;</w:t>
      </w:r>
    </w:p>
    <w:p>
      <w:pPr>
        <w:spacing w:after="0" w:line="117" w:lineRule="exact"/>
        <w:rPr>
          <w:rFonts w:ascii="Arial" w:cs="Arial" w:eastAsia="Arial" w:hAnsi="Arial"/>
          <w:sz w:val="18"/>
          <w:szCs w:val="18"/>
          <w:color w:val="auto"/>
        </w:rPr>
      </w:pPr>
    </w:p>
    <w:p>
      <w:pPr>
        <w:ind w:left="1300" w:hanging="104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1300" w:right="840" w:hanging="1049"/>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the ability of stockholders to call a special meeting of stockholders to only stockholders holding not less than 20% of outstanding voting power; and</w:t>
      </w:r>
    </w:p>
    <w:p>
      <w:pPr>
        <w:spacing w:after="0" w:line="62" w:lineRule="exact"/>
        <w:rPr>
          <w:rFonts w:ascii="Arial" w:cs="Arial" w:eastAsia="Arial" w:hAnsi="Arial"/>
          <w:sz w:val="18"/>
          <w:szCs w:val="18"/>
          <w:color w:val="auto"/>
        </w:rPr>
      </w:pPr>
    </w:p>
    <w:p>
      <w:pPr>
        <w:ind w:left="1300" w:hanging="1049"/>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 of directors and proposals.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provisions may frustrate or prevent any attempts by stockholders of SJW Group to replace or remove its current management by making it more difficult for stockholders to replace members of the Board of Directors, which is responsible for appointing the members of management. In addition, the provisions of Section 203 of the Delaware General Corporate Law (“DGCL”) govern SJW Group. These provisions may prohibit large stockholders, in particular those owning 15% or more of our outstanding voting stock, from merging or combining with us for a certain period of time without the consent of the Board of Directors.</w:t>
      </w:r>
    </w:p>
    <w:p>
      <w:pPr>
        <w:spacing w:after="0" w:line="8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Furthermore, SJW Group’s Certificate of Incorporation provides that a state or federal court located within Delaware is the sole and exclusive forum (unless the company consents in writing to the selection of an alternate forum) for (i) any derivative action or proceeding brought on behalf of SJW Group,</w:t>
      </w:r>
    </w:p>
    <w:p>
      <w:pPr>
        <w:ind w:right="120" w:firstLine="8"/>
        <w:spacing w:after="0" w:line="253"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of SJW Group to the company or its stockholders, (iii) any action asserting a claim arising pursuant to any provision of the DGCL, or (iv) any action asserting a claim governed by the internal affairs doctrine. Such “exclusive forum” provision may limit a stockholder’s ability to bring a claim in a judicial forum that it finds favorable for disputes with SJW Group or its directors, officers or other employees, which may discourage such lawsuits against us and our directors, officers and other employees.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We may not be able to maintain adequate insurance coverage at reasonable costs, or at all, to cover all losses incurred in our operations</w:t>
      </w:r>
    </w:p>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insurance coverage as part of our overall legal and risk management strategy to minimize potential liabilities arising from our operations. Our insurance programs have varying coverage limits, deductibles, exclusions and maximums, and our insurance coverages include, worker’s compensation, employer’s liability, damage to our property, general liability, pollution liability, cybersecurity, and automobile liability. Each policy includes either deductibles or self-insured retentions and policy limits for covered claims. As a result, we may sustain losses that exceed or are excluded from our insurance coverage or for which we are self-insured. The insurance companies may also seek to challenge, reduce or deny any claims we submit, which may prevent us from recovering fully the losses we incurred. In addition, insurance companies may increase premium or deductible or reduce coverage limits based on factors that are beyond our control, including industry trends, financial conditions of insurance companies and catastrophic events such as wildfire, earthquake and pandemic. There can be no assurance that we can secure all necessary or appropriate insurance in the future, or that such insurance can be obtain at reasonable cost, or at all.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color w:val="auto"/>
        </w:rPr>
        <w:t>General Risk Factors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We operate in areas subject to natural disasters or that may be the target of terrorist activities.</w:t>
      </w:r>
    </w:p>
    <w:p>
      <w:pPr>
        <w:spacing w:after="0" w:line="121"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We operate in areas that are prone to earthquakes, fires, floods, extreme weathers and other natural disasters. A significant seismic event in northern California, where the majority of our operations are concentrated, or other natural disaster in northern California, Connecticut, Texas or Maine could adversely impact our ability to deliver water to our customers and our costs of operations. A major disaster could damage or destroy our capital assets, harm our reputations and adversely affect our results of operations. The Regulators have historically allowed utilities to establish catastrophic event memorandum accounts as a possible mechanism to recover costs, such as the CEMA memorandum account in California. However, we can give no assurance that our regulators, or any other commission would allow any such cost recovery mechanism in the future.</w:t>
      </w:r>
    </w:p>
    <w:p>
      <w:pPr>
        <w:spacing w:after="0" w:line="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light of the potential threats to the nation’s health and security due to terrorist attacks, we have taken steps to increase security measures at our facilities and heighten employee awareness of threats to our water supply. We have also tightened our security measures regarding the delivery and handling of certain chemicals used in our business. We have and will continue to bear increased costs for security precautions to protect our facilities, operations and supplies. These costs may be significant.</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some of these costs are likely to be recovered in the form of higher rates, there can be no assurance that the Regulators will approve a rate increase to recover all or part of such costs and, as a result, our operating results and business may be adversely affected. Further, despite these tightened security measures, we may not be in a position to control the outcome of terrorist events should they occur.</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operations, liquidity, and earnings may be adversely affected by wildfires and risk of fire hazards.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It is possible that wildfires and other fire hazards may occur more frequently, be of longer duration or impact larger areas as a result of drought-damaged plants and trees, lower humidity or higher winds that might be occurring as result of changed weather patterns. The effects of these natural disasters in California’s drought-prone areas, such as the Santa Cruz Mountains, the watershed where SJWC obtains up to 10% of its water supply, may temporarily compromise its surface water supply resulting in disruption in our services and litigation which could adversely affect our business, operating results, and financial condition.</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our surface water supply is compromised, we may have to interrupt the use of that water supply until we are able to substitute the flow of water from an alternative water source. If there is an adverse change to the mix of water supply, it may cause an increase in our purchased and pumped water and increase our production expenses substantially, which would adversely affect the operating results of SJWC. There can be no assurance that the CPUC will allow SJWC to recover the additional or increased production expenses.</w:t>
      </w:r>
    </w:p>
    <w:p>
      <w:pPr>
        <w:spacing w:after="0" w:line="7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we may incur significant costs in order to treat the impacted source through expansion of our current treatment facilities, or development of new treatment methods. If we are unable to substitute water supply from an alternative water source, or to adequately treat the impacted water source in a cost-effective manner, there may be an adverse effect on our revenues, operating results, and financial condition. The costs we incur to secure an alternative water source or an increase in draws from our underground water system could be significant and may not be recoverable in rates.</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Wildfires may destroy or cause damage to properties, facilities, equipment and other assets owned and operated by SJWC or result in personal injuries to our employees and personnel, which may cause temporary or permanent disruption to our water services. In such a case, we may be required to incur significant expenses to repair, replace or upgrade our assets, or to defend against costly litigation or disputes with third parties, any of which may adversely affect our business operations or financial conditions.</w:t>
      </w:r>
    </w:p>
    <w:p>
      <w:pPr>
        <w:spacing w:after="0" w:line="7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While we maintain a business insurance policy, such policy includes limitation and retention that may reduce, or in some cases eliminate, our ability to recover all or a substantial portion of the losses and damages due to wildfire. Our inability to rely fully on insurance coverage may negatively impact our results of operations. Losses by insurance companies resulting from wildfires in California may also cause insurance coverage for wildfire risks to become more expensive or unavailable under reasonable terms, and our insurance may be inadequate to recover all our losses incurred in a wildfire. Furthermore, we might not be allowed to recover in our rates any increased costs of wildfire insurance or the costs of any uninsured wildfire losses.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The price of our common stock may be volatile and may be affected by market conditions beyond our control.</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trading price of our common stock may fluctuate in the future based on a variety of factors, many of which are beyond our control and unrelated to our financial results. Factors that could cause fluctuations in the trading price of our common stock include volatility of the general stock market or the utility index, regulatory developments, public announcement of material development in strategic transactions general economic conditions and trends, actual or anticipated changes or fluctuations in our results of operations, actual or anticipated changes in the expectations of investors or securities analysts, actual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anticipated developments in our competitors’ businesses or the competitive landscape generally, litigation involving us or our industry, and major catastrophic event(s) or sales of large blocks of our stock. Furthermore, we believe that stockholders invest in public stocks in part because they seek reliable dividend payments. If there is an over supply of stock of public utilities in the market relative to demand by such investors, the trading price of our common stock may decrease. Additionally, if interest rates rise above the dividend yield offered by our common stock, demand for our stock and its trading price may also decrease.</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We must continue to attract and retain qualified technical and managerial personnel in order to succeed.</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future success depends largely upon our ability to attract and retain highly skilled technical, operational and financial managers. There is a significant competition for such personnel in our industry. The loss of the services of any member of our management team or the inability to hire and retain experienced management personnel could have an adverse effect on our business, as our management team has knowledge of our industry and customers and would be difficult to replace. We try to ensure that we offer competitive compensation and benefits as well as conduct succession planning and provide opportunities for continued development, and we continually strive to recruit and train qualified personnel and retain key employees. There can be no assurance, however, that we will continue to be successful in attracting and retaining the personnel we require to grow and operate profitably.</w:t>
      </w: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properties of SJWC consist of a unified water production system located in the County of Santa Clara in the State of California. In general, the property is comprised of franchise rights, water rights, necessary rights-of-way, approximately 6,500 acres of land held in fee (which is primarily non-developable watershed), impounding reservoirs with a capacity of approximately 2.256 billion gallons, 2,488 miles of transmission and distribution mains, distribution storage of approximately 194 million gallons, wells, boosting facilities, diversions, surface water treatment plants, equipment, office buildings and other property necessary to provide water service to its customers.</w:t>
      </w:r>
    </w:p>
    <w:p>
      <w:pPr>
        <w:spacing w:after="0" w:line="8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SJWC maintains all of its properties in good operating condition in accordance with customary practice for a water utility. SJWC’s groundwater pumping stations have a production capacity of approximately 247 million gallons per day and the present capacity for taking purchased water is approximately</w:t>
      </w:r>
    </w:p>
    <w:p>
      <w:pPr>
        <w:ind w:right="80"/>
        <w:spacing w:after="0" w:line="290" w:lineRule="auto"/>
        <w:rPr>
          <w:sz w:val="20"/>
          <w:szCs w:val="20"/>
          <w:color w:val="auto"/>
        </w:rPr>
      </w:pPr>
      <w:r>
        <w:rPr>
          <w:rFonts w:ascii="Arial" w:cs="Arial" w:eastAsia="Arial" w:hAnsi="Arial"/>
          <w:sz w:val="17"/>
          <w:szCs w:val="17"/>
          <w:color w:val="auto"/>
        </w:rPr>
        <w:t>84 million gallons per day. The surface water collection system has a physical delivery capacity of approximately 35 million gallons per day. During 2021, a maximum and average of 133 million gallons and 99 million gallons of water per day, respectively, were delivered to the system.</w:t>
      </w:r>
    </w:p>
    <w:p>
      <w:pPr>
        <w:spacing w:after="0" w:line="5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properties of CTWS consist of land, easements, rights (including water rights), buildings, reservoirs with a capacity of approximately 9.4 billion gallons, standpipes, dams, wells, supply lines, water treatment plants, pumping plants, 2,317 miles of transmission and distribution mains and other facilities and equipment used for the collection, purification, storage and distribution of water throughout Connecticut and Maine. In certain cases, Connecticut Water and Maine Water are or may be a party to limited contractual arrangements for the provision of water supply from neighboring utilities.</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Sources of water supply owned, maintained and operated by CTWS include 25 surface water reservoirs and 108 well fields. In addition, Connecticut Water and Maine Water have agreements with various neighboring water utilities to provide water, at negotiated rates, to our water systems. Collectively, these sources have the capacity to deliver approximately 84 million gallons of potable water daily to the 27 major operating systems. CTWS also owns, maintains and operates 50 small, non-interconnected satellite and consecutive water systems, that combined, have the ability to deliver about 3.5 million gallons of additional water per day to their respective systems. CTWS’s 30 water treatment plants have a combined treatment capacity of approximately 52 million gallons per day.</w:t>
      </w:r>
    </w:p>
    <w:p>
      <w:pPr>
        <w:spacing w:after="0" w:line="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CLWSC maintains a service area that covers approximately 266 square miles located in the southern region of the Texas hill country in Bandera, Blanco, Comal, Hays, Kendall, Medina and Travis counties. The majority of the service area surrounds an 8,200 surface acre reservoir, Canyon Lake. CLWSC production wells have the ability to pump a combined 5.8 billion gallons annually. CLWSC has contracts for 2 billion gallons of untreated surface water and 235 million gallons of treated surface water from the GBRA annually, and 81 million gallons of treated surface water from LCRA. CLWSC owns and operates three surface water treatment plants with a combined production capacity of 9 million gallons per day. CLWSC has 726 miles of transmission and distribution mains and maintains 77 storage tanks with a total storage capacity of 9.3 million gallons. CLWSC owns and operates three wastewater treatment plants with a combined capacity of 250,400 gallons per day.</w:t>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Water Utility Services hold all of its principal properties in fee simple, subject to current tax and assessment liens, rights-of-way, easements, and certain minor defects in title which do not materially affect their use. A substantial portion of treatment,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9" w:name="page30"/>
    <w:bookmarkEnd w:id="29"/>
    <w:p>
      <w:pPr>
        <w:ind w:right="280"/>
        <w:spacing w:after="0" w:line="277" w:lineRule="auto"/>
        <w:rPr>
          <w:sz w:val="20"/>
          <w:szCs w:val="20"/>
          <w:color w:val="auto"/>
        </w:rPr>
      </w:pPr>
      <w:r>
        <w:rPr>
          <w:rFonts w:ascii="Arial" w:cs="Arial" w:eastAsia="Arial" w:hAnsi="Arial"/>
          <w:sz w:val="18"/>
          <w:szCs w:val="18"/>
          <w:color w:val="auto"/>
        </w:rPr>
        <w:t>storage and distribution properties owned by Maine Water are subject to liens of mortgage or indentures that secure bonds, notes and other evidences of long-term indebtedness.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2021, SJW Land Company and Chester Realty, Inc. own approximately 101 acres of property in the State of California, 55 acres of property in the State of Tennessee and 23 acres of property in State of Connecticut.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SJW Land Company and Chester Realty, Inc. properties described previously: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 for Year Ended</w:t>
            </w: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December 31, 2021</w:t>
            </w:r>
          </w:p>
        </w:tc>
      </w:tr>
      <w:tr>
        <w:trPr>
          <w:trHeight w:val="186"/>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of Real Estate Services</w:t>
            </w:r>
          </w:p>
        </w:tc>
      </w:tr>
      <w:tr>
        <w:trPr>
          <w:trHeight w:val="145"/>
        </w:trPr>
        <w:tc>
          <w:tcPr>
            <w:tcW w:w="20" w:type="dxa"/>
            <w:vAlign w:val="bottom"/>
          </w:tcPr>
          <w:p>
            <w:pPr>
              <w:spacing w:after="0"/>
              <w:rPr>
                <w:sz w:val="12"/>
                <w:szCs w:val="12"/>
                <w:color w:val="auto"/>
              </w:rPr>
            </w:pPr>
          </w:p>
        </w:tc>
        <w:tc>
          <w:tcPr>
            <w:tcW w:w="29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Description</w:t>
            </w:r>
          </w:p>
        </w:tc>
        <w:tc>
          <w:tcPr>
            <w:tcW w:w="1220" w:type="dxa"/>
            <w:vAlign w:val="bottom"/>
          </w:tcPr>
          <w:p>
            <w:pPr>
              <w:spacing w:after="0"/>
              <w:rPr>
                <w:sz w:val="12"/>
                <w:szCs w:val="12"/>
                <w:color w:val="auto"/>
              </w:rPr>
            </w:pPr>
          </w:p>
        </w:tc>
        <w:tc>
          <w:tcPr>
            <w:tcW w:w="14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Location</w:t>
            </w:r>
          </w:p>
        </w:tc>
        <w:tc>
          <w:tcPr>
            <w:tcW w:w="1380" w:type="dxa"/>
            <w:vAlign w:val="bottom"/>
            <w:gridSpan w:val="2"/>
          </w:tcPr>
          <w:p>
            <w:pPr>
              <w:ind w:left="380"/>
              <w:spacing w:after="0" w:line="145" w:lineRule="exact"/>
              <w:rPr>
                <w:sz w:val="20"/>
                <w:szCs w:val="20"/>
                <w:color w:val="auto"/>
              </w:rPr>
            </w:pPr>
            <w:r>
              <w:rPr>
                <w:rFonts w:ascii="Arial" w:cs="Arial" w:eastAsia="Arial" w:hAnsi="Arial"/>
                <w:sz w:val="14"/>
                <w:szCs w:val="14"/>
                <w:b w:val="1"/>
                <w:bCs w:val="1"/>
                <w:color w:val="auto"/>
              </w:rPr>
              <w:t>Acreage</w:t>
            </w:r>
          </w:p>
        </w:tc>
        <w:tc>
          <w:tcPr>
            <w:tcW w:w="142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Square Footage</w:t>
            </w:r>
          </w:p>
        </w:tc>
        <w:tc>
          <w:tcPr>
            <w:tcW w:w="1460" w:type="dxa"/>
            <w:vAlign w:val="bottom"/>
            <w:gridSpan w:val="2"/>
          </w:tcPr>
          <w:p>
            <w:pPr>
              <w:ind w:left="420"/>
              <w:spacing w:after="0" w:line="145" w:lineRule="exact"/>
              <w:rPr>
                <w:sz w:val="20"/>
                <w:szCs w:val="20"/>
                <w:color w:val="auto"/>
              </w:rPr>
            </w:pPr>
            <w:r>
              <w:rPr>
                <w:rFonts w:ascii="Arial" w:cs="Arial" w:eastAsia="Arial" w:hAnsi="Arial"/>
                <w:sz w:val="14"/>
                <w:szCs w:val="14"/>
                <w:b w:val="1"/>
                <w:bCs w:val="1"/>
                <w:color w:val="auto"/>
              </w:rPr>
              <w:t>Revenue</w:t>
            </w:r>
          </w:p>
        </w:tc>
        <w:tc>
          <w:tcPr>
            <w:tcW w:w="1360" w:type="dxa"/>
            <w:vAlign w:val="bottom"/>
          </w:tcPr>
          <w:p>
            <w:pPr>
              <w:jc w:val="right"/>
              <w:ind w:right="333"/>
              <w:spacing w:after="0" w:line="145" w:lineRule="exact"/>
              <w:rPr>
                <w:sz w:val="20"/>
                <w:szCs w:val="20"/>
                <w:color w:val="auto"/>
              </w:rPr>
            </w:pPr>
            <w:r>
              <w:rPr>
                <w:rFonts w:ascii="Arial" w:cs="Arial" w:eastAsia="Arial" w:hAnsi="Arial"/>
                <w:sz w:val="14"/>
                <w:szCs w:val="14"/>
                <w:b w:val="1"/>
                <w:bCs w:val="1"/>
                <w:color w:val="auto"/>
              </w:rPr>
              <w:t>Expense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Warehouse building</w:t>
            </w:r>
          </w:p>
        </w:tc>
        <w:tc>
          <w:tcPr>
            <w:tcW w:w="2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Knoxville, Tennessee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Commercial building</w:t>
            </w:r>
          </w:p>
        </w:tc>
        <w:tc>
          <w:tcPr>
            <w:tcW w:w="2640" w:type="dxa"/>
            <w:vAlign w:val="bottom"/>
            <w:gridSpan w:val="3"/>
          </w:tcPr>
          <w:p>
            <w:pPr>
              <w:ind w:left="480"/>
              <w:spacing w:after="0"/>
              <w:rPr>
                <w:sz w:val="20"/>
                <w:szCs w:val="20"/>
                <w:color w:val="auto"/>
              </w:rPr>
            </w:pPr>
            <w:r>
              <w:rPr>
                <w:rFonts w:ascii="Arial" w:cs="Arial" w:eastAsia="Arial" w:hAnsi="Arial"/>
                <w:sz w:val="18"/>
                <w:szCs w:val="18"/>
                <w:color w:val="auto"/>
              </w:rPr>
              <w:t>Knoxville, Tennessee</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Undeveloped land and parking lot</w:t>
            </w:r>
          </w:p>
        </w:tc>
        <w:tc>
          <w:tcPr>
            <w:tcW w:w="2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Knoxville, Tennessee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Undeveloped land</w:t>
            </w:r>
          </w:p>
        </w:tc>
        <w:tc>
          <w:tcPr>
            <w:tcW w:w="2640" w:type="dxa"/>
            <w:vAlign w:val="bottom"/>
            <w:gridSpan w:val="3"/>
          </w:tcPr>
          <w:p>
            <w:pPr>
              <w:ind w:left="480"/>
              <w:spacing w:after="0"/>
              <w:rPr>
                <w:sz w:val="20"/>
                <w:szCs w:val="20"/>
                <w:color w:val="auto"/>
              </w:rPr>
            </w:pPr>
            <w:r>
              <w:rPr>
                <w:rFonts w:ascii="Arial" w:cs="Arial" w:eastAsia="Arial" w:hAnsi="Arial"/>
                <w:sz w:val="18"/>
                <w:szCs w:val="18"/>
                <w:color w:val="auto"/>
              </w:rPr>
              <w:t>San Jose, CA</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building</w:t>
            </w:r>
          </w:p>
        </w:tc>
        <w:tc>
          <w:tcPr>
            <w:tcW w:w="2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Clinton, CT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Commercial building</w:t>
            </w:r>
          </w:p>
        </w:tc>
        <w:tc>
          <w:tcPr>
            <w:tcW w:w="2640" w:type="dxa"/>
            <w:vAlign w:val="bottom"/>
            <w:gridSpan w:val="3"/>
          </w:tcPr>
          <w:p>
            <w:pPr>
              <w:ind w:left="480"/>
              <w:spacing w:after="0"/>
              <w:rPr>
                <w:sz w:val="20"/>
                <w:szCs w:val="20"/>
                <w:color w:val="auto"/>
              </w:rPr>
            </w:pPr>
            <w:r>
              <w:rPr>
                <w:rFonts w:ascii="Arial" w:cs="Arial" w:eastAsia="Arial" w:hAnsi="Arial"/>
                <w:sz w:val="18"/>
                <w:szCs w:val="18"/>
                <w:color w:val="auto"/>
              </w:rPr>
              <w:t>Guilford, CT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SJW Group and its subsidiaries are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580" w:right="1600" w:hanging="566"/>
        <w:spacing w:after="0" w:line="340" w:lineRule="auto"/>
        <w:tabs>
          <w:tab w:leader="none" w:pos="5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 xml:space="preserve">Market for Registrant’s Common Equity, Related Stockholder Matters and Issuer Purchases of Equity Securities </w:t>
      </w:r>
      <w:r>
        <w:rPr>
          <w:rFonts w:ascii="Arial" w:cs="Arial" w:eastAsia="Arial" w:hAnsi="Arial"/>
          <w:sz w:val="18"/>
          <w:szCs w:val="18"/>
          <w:b w:val="1"/>
          <w:bCs w:val="1"/>
          <w:color w:val="auto"/>
        </w:rPr>
        <w:t>Market Information</w:t>
      </w:r>
    </w:p>
    <w:p>
      <w:pPr>
        <w:spacing w:after="0" w:line="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SJW Group’s common stock is traded on the New York Stock Exchange under the symbol “SJW”. As of December 31, 2021, there were 297 record holders of SJW Group’s common stock, excluding those shares in street or nominee name.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Five-Year Performance Graph</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following performance graph compares the changes in the cumulative stockholder return on SJW Group’s common stock with the cumulative total return on a Water Utility Index and the Standard &amp; Poor’s 500 Index during the last five years ended December 31, 2021. The comparison assumes $100 was invested on December 31, 2015 in SJW Group’s common stock and in each of the foregoing indices and assumes reinvestment of dividends.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 YEAR CUMULATIVE TOTAL RETURN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SJW Group, a Water Utility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5863590" cy="285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descriptive data of the performance graph is supplied in accordance with Rule 304(d) of Regulation S-T (numbers represent U.S. dollars ($)):</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r>
      <w:tr>
        <w:trPr>
          <w:trHeight w:val="22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SJW Group</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Water Utility Index</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132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184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213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bl>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Water Utility Index is the 9 water company Water Utility Index (including CTWS up to the time of its merger with SJW Group) prepared by Wells Fargo Securities, LLC. The above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1" w:name="page32"/>
    <w:bookmarkEnd w:id="31"/>
    <w:p>
      <w:pPr>
        <w:jc w:val="right"/>
        <w:ind w:right="3240"/>
        <w:spacing w:after="0" w:line="281"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(Dollar amounts in thousands, except where otherwise noted)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is a publicly traded company and is a holding company with four subsidiaries: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SJWC, a wholly-owned subsidiary of SJW Group, is a public utility in the business of providing water service to approximately 231,000 connections that serve a population of approximately one million people in an area comprising approximately 139 square miles in the metropolitan San Jose, California area.</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SJWNE LLC is a wholly-owned subsidiary of SJW Group. On October 9, 2019, CTWS became a wholly-owned subsidiary of SJWNE LLC. Connecticut Water Service, Inc. is a holding company whose subsidiaries are primarily public utilities providing water service to approximately 140,000 service connections that serve a population of approximately 456,000 people in 81 municipalities with a service area of approximately 269 square miles throughout Connecticut and Maine and 3,000 wastewater connections in Southbury, Connecticut.</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SJWTX, Inc., doing business as CLWSC, is a public utility in the business of providing water service to approximately 24,000 service connections that serve approximately 70,000 people. CLWSC’s service area comprises more than 266 square miles in Bandera, Blanco, Comal, Hays, Kendall, Medina and Travis County in the growing region between San Antonio and Austin, Texas. On December 17, 2021, CLWSC completed its acquisition of Kendall West Utility and Bandera East Utility, companies that provide water services, including wastewater and recycled water services, in Kendall, Bandera and Medina counties which are located in south central Texas. Kendall West Utility and Bandera East Utility, together, added approximately 5,000 people through 1,600 service connections in a service area approximately 19 square miles to CLWSC’s operations. SJWTX, Inc. has a 25% interest in Acequia Water Supply Corporation. Acequia has been determined to be a variable interest entity within the scope of ASC Topic 810 with SJWTX, Inc. as the primary beneficiary. As a result, Acequia has been consolidated with SJWTX, Inc. SJWTX, Inc is undergoing a corporate reorganization to separate regulated operations from non-tariffed activities. In November 2021, SJWTX Holdings and TWOS were formed for the purpose of effecting a corporate reorganization of our water services organization in Texas. TWOS was created for non-tariffed operations and is wholly-owned by SJWTX Holdings. SJWTX Holdings is a wholly-owned subsidiary of SJW Group, incorporated to hold the investments in SJWTX, Inc. and TWOS. In addition, in 2022, SJWTX Holdings intends to create a new subsidiary to hold future wholesale water supply assets.</w:t>
      </w:r>
    </w:p>
    <w:p>
      <w:pPr>
        <w:spacing w:after="0" w:line="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SJW Land Company, a wholly owned subsidiary of SJW Group, owns undeveloped land in the States of California and Tennessee, owns and operates commercial buildings in Tennessee.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1220" w:hanging="64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Regional regulated water utility operations;</w:t>
      </w:r>
    </w:p>
    <w:p>
      <w:pPr>
        <w:spacing w:after="0" w:line="117" w:lineRule="exact"/>
        <w:rPr>
          <w:rFonts w:ascii="Arial" w:cs="Arial" w:eastAsia="Arial" w:hAnsi="Arial"/>
          <w:sz w:val="18"/>
          <w:szCs w:val="18"/>
          <w:color w:val="auto"/>
        </w:rPr>
      </w:pPr>
    </w:p>
    <w:p>
      <w:pPr>
        <w:ind w:left="1220" w:right="380" w:hanging="645"/>
        <w:spacing w:after="0" w:line="277" w:lineRule="auto"/>
        <w:tabs>
          <w:tab w:leader="none" w:pos="12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PURA in Connecticut, PUCT in Texas, and MPUC in Maine; and</w:t>
      </w:r>
    </w:p>
    <w:p>
      <w:pPr>
        <w:spacing w:after="0" w:line="62" w:lineRule="exact"/>
        <w:rPr>
          <w:rFonts w:ascii="Arial" w:cs="Arial" w:eastAsia="Arial" w:hAnsi="Arial"/>
          <w:sz w:val="18"/>
          <w:szCs w:val="18"/>
          <w:color w:val="auto"/>
        </w:rPr>
      </w:pPr>
    </w:p>
    <w:p>
      <w:pPr>
        <w:ind w:left="1220" w:hanging="64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Regional Regulated Activities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SJW Group’s regulated utility operation is conducted through SJWC, Connecticut Water, CLWSC and Maine Water. SJW Group plans and applies a diligent and disciplined approach to maintaining and improving its water system infrastructures and also seeks to acquire regulated water systems adjacent to or near its existing service territory. Connecticut Water also provides regulated wastewater services.</w:t>
      </w:r>
    </w:p>
    <w:p>
      <w:pPr>
        <w:spacing w:after="0" w:line="7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United States water utility industry is largely fragmented and is dominated by municipal-owned water systems. The water industry is regulated, and provides a life-sustaining product. This makes water utilities subject to lower business cycle risks than non-tariffed industries.</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Regional Non-tariffed Activities</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Operating in accordance with guidelines established by the CPUC, SJWC provides non-tariffed services, such as water system operations, maintenance agreements and antenna site leases under agreements with municipalities and other utilities. CLWSC provides non-tariffed wholesale water service to adjacent utilities and non-tariffed wastewater services. CTWS provides non-tariffed services, such as water system operations and maintenance under agreements with municipalities and other utilities. Additionally, CTWS offers </w:t>
      </w:r>
      <w:r>
        <w:rPr>
          <w:rFonts w:ascii="Arial" w:cs="Arial" w:eastAsia="Arial" w:hAnsi="Arial"/>
          <w:sz w:val="18"/>
          <w:szCs w:val="18"/>
          <w:i w:val="1"/>
          <w:iCs w:val="1"/>
          <w:color w:val="auto"/>
        </w:rPr>
        <w:t>Linebacker,</w:t>
      </w:r>
      <w:r>
        <w:rPr>
          <w:rFonts w:ascii="Arial" w:cs="Arial" w:eastAsia="Arial" w:hAnsi="Arial"/>
          <w:sz w:val="18"/>
          <w:szCs w:val="18"/>
          <w:color w:val="auto"/>
        </w:rPr>
        <w:t xml:space="preserve"> an optional service line protection program covering a limited amount of the cost 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2" w:name="page33"/>
    <w:bookmarkEnd w:id="32"/>
    <w:p>
      <w:pPr>
        <w:ind w:right="200"/>
        <w:spacing w:after="0" w:line="277" w:lineRule="auto"/>
        <w:rPr>
          <w:sz w:val="20"/>
          <w:szCs w:val="20"/>
          <w:color w:val="auto"/>
        </w:rPr>
      </w:pPr>
      <w:r>
        <w:rPr>
          <w:rFonts w:ascii="Arial" w:cs="Arial" w:eastAsia="Arial" w:hAnsi="Arial"/>
          <w:sz w:val="18"/>
          <w:szCs w:val="18"/>
          <w:color w:val="auto"/>
        </w:rPr>
        <w:t>repairs for leaking or broken water and wastewater service lines and in-home plumbing to eligible residential customers in Connecticut and water service lines to eligible residential customers in Maine.</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SJW Group also seeks appropriate non-tariffed business opportunities that complement its existing operations or that allow it to extend its core competencies beyond existing operations. SJW Group seeks opportunities to fully utilize its capabilities and existing capacity by providing services to other regional water systems, which also will benefit its existing regional customers.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Out-of-Region Opportunities</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SJW Group also from time to time pursues opportunities to participate in out-of-region water and utility related services, particularly regulated water businesses. SJW Group evaluates out-of-region and out-of-state opportunities that meet SJW Group’s risk and return profile.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factors SJW Group considers in evaluating such opportunities include:</w:t>
      </w:r>
    </w:p>
    <w:p>
      <w:pPr>
        <w:spacing w:after="0" w:line="117" w:lineRule="exact"/>
        <w:rPr>
          <w:sz w:val="20"/>
          <w:szCs w:val="20"/>
          <w:color w:val="auto"/>
        </w:rPr>
      </w:pPr>
    </w:p>
    <w:p>
      <w:pPr>
        <w:ind w:left="1620" w:hanging="80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profitability;</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growth opportunities within the region;</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Water supply, water quality and environmental issues;</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1620" w:hanging="80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Synergy potential.</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Real Estate Services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SJW Group’s real estate investment activity is conducted through SJW Land Company and Chester Realty, Inc. SJW Land Company owns undeveloped land in California and Tennessee and owns and operates commercial buildings in Tennessee. Chester Realty, Inc. owns and operates land and commercial buildings in the State of Connecticut. SJW Land Company and Chester Realty, Inc. manage its acquired income producing and other properties until such time a determination is made to reinvest proceeds from sale of such properties.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SJW Group has identified accounting policies delineated below as the policies critical to its business operations and the understanding of the results of operations. The preparation of consolidated financial statements requires management to make estimates and assumptions that affect the reported amounts of assets and liabilities at the date of the consolidated financial statements and revenues and expenses during the reporting period. SJW Group bases its estimates on historical experience and other assumptions that are believed to be reasonable under the circumstances. For a detailed discussion on the application of these and other accounting policies, see </w:t>
      </w:r>
      <w:hyperlink w:anchor="page58">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Consolidated Financial Statements.” SJW Group’s critical accounting policies are as follows: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Recognition of Regulatory Assets and Liabilities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Generally accepted accounting principles for water utilities include the recognition of regulatory assets and liabilities as permitted by ASC Topic 980. In accordance with ASC Topic 980, Water Utility Services, to the extent applicable, records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ind w:right="60"/>
        <w:spacing w:after="0" w:line="289" w:lineRule="auto"/>
        <w:rPr>
          <w:sz w:val="20"/>
          <w:szCs w:val="20"/>
          <w:color w:val="auto"/>
        </w:rPr>
      </w:pPr>
      <w:r>
        <w:rPr>
          <w:rFonts w:ascii="Arial" w:cs="Arial" w:eastAsia="Arial" w:hAnsi="Arial"/>
          <w:sz w:val="16"/>
          <w:szCs w:val="16"/>
          <w:color w:val="auto"/>
        </w:rPr>
        <w:t>deferred costs and credits on the balance sheet as regulatory assets and liabilities when it is probable that these costs and credits will be recognized in the ratemaking process in a period different from when the costs and credits are incurred. Accounting for such costs and credits is based on management’s judgment and prior historical ratemaking practices, and it occurs when management determines that it is probable that these costs and credits will be recognized in the future revenue of Water Utility Services through the ratemaking process. The regulatory assets and liabilities recorded by Water Utility Services primarily relate to the recognition of deferred income taxes for ratemaking versus tax accounting purposes, balancing and memorandum accounts, postretirement pension benefits, medical costs, accrued benefits for vacation and asset retirement obligations that have not been passed through in rates. The company primarily adjusts the related asset and liabilities for these items through its regulatory asset and liability accounts on a monthly basis. The disallowance of any asset in future ratemaking, including deferred regulatory assets, would require Water Utility Services to immediately recognize the impact of the costs for financial reporting purposes. No disallowances were recognized during the years ending December 31, 2021 and 2020.</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Recognition of Balancing and Memorandum Accounts</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Balancing and memorandum accounts are utilized by our California operations. The purpose of a balancing account is to track the under-collection or over-collection associated with expense changes and the revenue authorized by the CPUC to offset those expense changes. Pursuant to Section 792.5 of the California Public Utilities Code, a balancing account must be maintained for expense items for which revenue offsets have been authorized.</w:t>
      </w:r>
    </w:p>
    <w:p>
      <w:pPr>
        <w:spacing w:after="0" w:line="4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Balancing accounts are currently being maintained for the following items: purchased water, purchased power, groundwater extraction charges, pensions, and general rate case and cost of capital true-ups. The amount in the water production balancing accounts varies with the seasonality of the water utility business such that, during the summer months when the demand for water is at its peak, the account tends to reflect an under-collection, while during the winter months when demand for water is relatively lower, the account tends to reflect an over-collection. The pension balancing account is intended to capture the difference between actual pension expense and the amount approved in rates by the CPUC. The general rate case true-up accounts are a result of revenue shortfalls authorized for collection or refund by the CPUC due to delayed rate case and cost of capital decisions.</w:t>
      </w:r>
    </w:p>
    <w:p>
      <w:pPr>
        <w:spacing w:after="0" w:line="56"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Monterey Water Revenue Adjustment Mechanism tracks the difference between the revenue received for actual metered sales through the tiered volumetric rate and the revenue that would have been received with the same actual metered sales if a uniform rate would have been in effect.</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Balancing and memorandum accounts are recognized by SJWC when it is probable that future recovery of previously incurred costs or future refunds that are to be credited to customers will occur through the ratemaking process. In addition, in the case of special revenue programs such as the WCMA, SJWC follows the requirements of ASC Topic 980-605-25—“Alternative Revenue Programs” in determining revenue recognition,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 offset by applicable drought surcharges. In assessing the probability criteria for balancing and memorandum accounts between general rate cases, SJWC considers evidence that may exist prior to CPUC authorization that would satisfy ASC Topic 980 subtopic 340-25 recognition criteria. Such evidence may include regulatory rules and decisions, past practices, and other facts and circumstances that would indicate that recovery or refund is probable. When such evidence provides sufficient support, the balances are recorded in SJW Group’s financial statements.</w:t>
      </w:r>
    </w:p>
    <w:p>
      <w:pPr>
        <w:spacing w:after="0" w:line="7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It is typical for the CPUC to incorporate any over-collected and/or under-collected balances in balancing or memorandum accounts into customer rates at the time rate decisions are made as part of SJWC’s general rate case proceedings by assessing temporary surcredits and/or surcharges. In the case where SJWC’s balancing or memorandum-type accounts that have been authorized by the CPUC reach certain thresholds or have termination dates, SJWC can request the CPUC to recognize the amounts in customer rates prior to the next regular general rate case proceeding by filing an advice letter.</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Goodwill represents the excess of the purchase price paid over the estimated fair value of the assets acquired and liabilities assumed in the acquisition of a business. Goodwill is not amortized but is tested for impairment annually on October 1st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4" w:name="page35"/>
    <w:bookmarkEnd w:id="34"/>
    <w:p>
      <w:pPr>
        <w:ind w:right="100"/>
        <w:spacing w:after="0" w:line="311" w:lineRule="auto"/>
        <w:rPr>
          <w:sz w:val="20"/>
          <w:szCs w:val="20"/>
          <w:color w:val="auto"/>
        </w:rPr>
      </w:pPr>
      <w:r>
        <w:rPr>
          <w:rFonts w:ascii="Arial" w:cs="Arial" w:eastAsia="Arial" w:hAnsi="Arial"/>
          <w:sz w:val="16"/>
          <w:szCs w:val="16"/>
          <w:color w:val="auto"/>
        </w:rPr>
        <w:t>50% likelihood) that the fair value is less than carrying amount, then a quantitative test is performed. SJW Group’s goodwill is primarily associated with the recent merger with CTWS on October 9, 2019. SJW Group performed an impairment analysis as of October 1, 2021. The qualitative assessment found no indicators of impairment and therefore did not perform the quantitative impairment test. No impairments occurred during 2021, 2020 or 2019.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Group’s financial condition and results of operations are influenced by a variety of factors including the following:</w:t>
      </w:r>
    </w:p>
    <w:p>
      <w:pPr>
        <w:spacing w:after="0" w:line="117" w:lineRule="exact"/>
        <w:rPr>
          <w:sz w:val="20"/>
          <w:szCs w:val="20"/>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utility regulation;</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Infrastructure investment;</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environmental, health and safety standards;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expenses;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growth;</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Water usage per customer;</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seasonality and sources of water supply; and</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Merger and acquisition activities, if 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Utility Regulation</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Water Utility Services is generally subject to economic regulation by the Regulators overseeing public utilities. Regulatory policies vary from state to state and may change over time. In addition, there may be regulatory lag between the time a capital investment is made, a consumption decrease occurs, or an operating expense increases and when those items are adjusted in utility rates.</w:t>
      </w:r>
    </w:p>
    <w:p>
      <w:pPr>
        <w:spacing w:after="0" w:line="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SJWC employs a forward-looking test year and has been authorized to use several mechanisms to mitigate risks faced due to regulatory lag and new and changing legislation, policies and regulation. These include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Rate recovery for the balances in these memorandum accounts is generally allowed in a subsequent general rate case. SJWC also maintains balancing accounts to track changes in purchased water, purchased power, groundwater extraction charges and pension costs for later rate recovery. Regulatory risk in California is mitigated by use of a forward-looking test year which allows the return on and return of utility plant on a forecasted basis as it is placed in service, and in some cases interim rate relief is allowed in the event of regulatory lag.</w:t>
      </w:r>
    </w:p>
    <w:p>
      <w:pPr>
        <w:spacing w:after="0" w:line="5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Pursuant to Connecticut regulations, Connecticut Water employs a historical test year. To address regulatory risk due to regulatory lag and changing legislation policies and regulations, rate cases may be filed as necessary in Connecticut. Additionally, to mitigate regulatory lag for pipeline replacement and conservation related projects, the Connecticut State Legislature has approved WICA that allows for a surcharge to be added to customer bills semi-annually for certain eligible pre-approved projects. Further to mitigate risks from variations in revenues from changes in customer usage, the Connecticut State Legislature has approved a WRA to provide for recovery of the company’s authorized revenues.</w:t>
      </w:r>
    </w:p>
    <w:p>
      <w:pPr>
        <w:spacing w:after="0" w:line="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Pursuant to Texas regulation, CLWSC employs a historical test year. To address regulatory risk due to regulatory lag and changing legislation policies and regulations, rate cases may be filed as necessary in Texas, provided there is no current rate case outstanding. Further, rate cases may not be filed more frequently than once every 12 months.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Maine regulations, Maine Water employs a historical test year. To address regulatory risk due to regulatory lag and changing legislation policies and regulations, rate cases may be filed as necessary in Maine. Additionally, to mitigate regulatory lag for all infrastructure replacements (except meters), the Maine State Legislature has approved of WISC that allows for a surcharge to be added to customer bills semi-annually for certain pre-approved projects.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water utility business is capital-intensive. In 2021 and 2020, company-funded capital improvements were $233,933 and $195,323, respectively,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additions to, or replacements of, property, plant and equipment for our Water Utility Services. We plan to spend approximately $222,823 in 2022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$1,311,271 over the next five years for capital improvements, subject to CPUC, PURA, PUCT, and MPUC approval. SJW Group funds these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a variety of sources, including earnings received from operations, debt and equity financing, and other borrowings. SJW Group relies upon lines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to fund capital expenditures in the short term and has historically issued long-term debt to refinance our short-term debt. While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5" w:name="page36"/>
    <w:bookmarkEnd w:id="35"/>
    <w:p>
      <w:pPr>
        <w:ind w:right="520"/>
        <w:spacing w:after="0" w:line="277" w:lineRule="auto"/>
        <w:rPr>
          <w:sz w:val="20"/>
          <w:szCs w:val="20"/>
          <w:color w:val="auto"/>
        </w:rPr>
      </w:pPr>
      <w:r>
        <w:rPr>
          <w:rFonts w:ascii="Arial" w:cs="Arial" w:eastAsia="Arial" w:hAnsi="Arial"/>
          <w:sz w:val="18"/>
          <w:szCs w:val="18"/>
          <w:color w:val="auto"/>
        </w:rPr>
        <w:t>our ability to obtain financing will continue to be a key risk, we believe that based on our 2021 activities, we will have access to the external funding sources necessary to implement our on-going capital investment programs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Environmental, Health and Safety Standards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Water Utility Services’ operations are subject to water quality and pollution control regulations issued by the EPA and environmental laws and regulations administered by the respective states and local regulatory agencies. Under the federal Safe Drinking Water Act, Water Utility Services is subject to regulation by the EPA of the quality of water it sells and treatment techniques it uses to make the water potable. The EPA promulgates nationally applicable standards, including maximum contaminant levels for drinking water. Water Utility Services has implemented monitoring activities and installed specific water treatment improvements enabling it to comply with existing maximum contaminant levels and plan for compliance with future drinking water regulations. However, the EPA and the respective state agencies have continuing authority to issue additional regulations under the Safe Drinking Water Act. Water Utility Services incur substantial costs associated with compliance with environmental, health and safety and water quality regulation to which our water services are subject.</w:t>
      </w:r>
    </w:p>
    <w:p>
      <w:pPr>
        <w:spacing w:after="0" w:line="8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Environmental, health and safety and water quality regulations are complex and change frequently, and the overall trend has been that they have become more stringent over time. It is possible that new or more stringent environmental standards and water quality regulations could be imposed that will increase Water Utility Services’ water quality compliance costs, hamper Water Utility Services’ available water supplies, and increase future capital expenditures. Future drinking water regulations may require increased monitoring, additional treatment of underground water supplies, fluoridation of all supplies, more stringent performance standards for treatment plants and procedures to further reduce levels of disinfection by-products. In the past, Water Utility Services have generally been able to recover expenses associated with compliance related to environmental, health and safety standards, but future recoveries could be affected by regulatory lag and the corresponding uncertainties surrounding rate recovery.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Water Utility Services’ operations require significant production inputs which result in substantial production expenses. These expenses include power, which is used to operate pumps and other equipment, purchased water and groundwater extraction charges. For 2021, production expenses accounted for approximately 50% of our total operating expenses. Price increases associated with these production inputs would adversely impact our results of operations until rate relief is granted.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Growth</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Customer growth in our water Water Utility Services’ is driven by: (i) organic population growth within our authorized service areas and (ii) the addition of new customers to our regulated customer base by acquiring regulated water systems adjacent to or near our existing service territories. During 2021, we had cash outflows of $23,587 for business acquisitions and water rights which we believe will allow SJW Group to expand our regulated customer base, including the recent expanded customer base in Texas as a result of the Kendall West Utility and Bandera East Utility acquisition. Before entering new regulated markets, we evaluate the regulatory environment to ensure that we will have the opportunity to achieve an appropriate rate of return on our investment while maintaining our high standards for quality, reliability and compliance with environmental, health and safety and water quality standards.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Usage Per Customer</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Fluctuations in customer demand for water could be due to seasonality, restrictions of use, weather or lifestyle choices, all of which could affect Water Utility Services’ results of operations. SJWC residential usage decreased 11.4% from 2020 to 2021 and increased 13.3% from 2019 to 2020. SJWC business usage decreased 2.7% and increased 1.4% from 2020 to 2021 and from 2019 to 2020, respectively. In addition, 2021 residential and business usage was lower by 0.09% and 5.25%, respectively, than the amount authorized in our 2019-2021 general rate case. Residential usage and business usage in 2020 was 12.75% higher and 2.57% lower, respectively, than the amount authorized in our 2019-2021 general rate case. CLWSC residential and business usage decreased 8.5% from 2020 to 2021 and increased 13.6% from 2019 to 2020. CTWS residential usage decreased 4.5% and business usage increased</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0.9% from 2020 to 2021 With the availability of the WRA in Connecticut that allows for recovery of authorized revenues, decreases in consumption year to year do not present the same financial risk as in our other water utility services utilities.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 Conditions, Seasonality and Sources of Water Supply</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ability to meet the existing and future water demands of our customers depends on an adequate supply of water. Drought, governmental restrictions, overuse of sources of water, the protection of threatened species or habitats or other factors may limit the availability of ground and surface water. Also, customer usage of water is affected by weather conditions, in particular during the warmer months. Our water systems experience higher demand in the summer due to the warmer temperatures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ind w:right="40"/>
        <w:spacing w:after="0" w:line="259" w:lineRule="auto"/>
        <w:rPr>
          <w:sz w:val="20"/>
          <w:szCs w:val="20"/>
          <w:color w:val="auto"/>
        </w:rPr>
      </w:pPr>
      <w:r>
        <w:rPr>
          <w:rFonts w:ascii="Arial" w:cs="Arial" w:eastAsia="Arial" w:hAnsi="Arial"/>
          <w:sz w:val="18"/>
          <w:szCs w:val="18"/>
          <w:color w:val="auto"/>
        </w:rPr>
        <w:t>increased usage by customers for outside irrigation of lawns and landscaping. In periods of drought, if customers are encouraged or required to conserve water due to a shortage of supply or restriction of use, revenue tends to be lower. Water use restrictions may be imposed at a regional or state level and may affect our service areas regardless of our readiness to meet unrestricted customer demands. Similarly, in unusually wet periods, water supply tends to be higher and customer demand tends to be lower, again resulting in lower revenues.</w:t>
      </w:r>
    </w:p>
    <w:p>
      <w:pPr>
        <w:spacing w:after="0" w:line="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SJWC believes that its various sources of water supply, which consists of groundwater from wells, surface water from watershed run-off and diversion, reclaimed water, and purchased imported water, will be sufficient to meet customer demand for 2022. In addition, SJWC actively works with Valley Water to address California’s long-term water supply challenges by continuing to educate customers on responsible water use practices and to conduct long-range water supply planning. Connecticut Water and Maine Water believes that they will be able to meet customer demand for 2022 with their existing water supply which consists of groundwater from wells, surface water in reservoirs and purchased water treated by neighboring water utilities. CLWSC believes that it will be able to meet customer demand for 2022 with their water supply which consists of groundwater from wells and purchased treated and raw water from the GBRA.</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Among other things, 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5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3">
        <w:r>
          <w:rPr>
            <w:rFonts w:ascii="Arial" w:cs="Arial" w:eastAsia="Arial" w:hAnsi="Arial"/>
            <w:sz w:val="18"/>
            <w:szCs w:val="18"/>
            <w:u w:val="single" w:color="auto"/>
            <w:color w:val="0000FF"/>
          </w:rPr>
          <w:t>Item 1</w:t>
        </w:r>
      </w:hyperlink>
      <w:r>
        <w:rPr>
          <w:rFonts w:ascii="Arial" w:cs="Arial" w:eastAsia="Arial" w:hAnsi="Arial"/>
          <w:sz w:val="18"/>
          <w:szCs w:val="18"/>
          <w:color w:val="auto"/>
        </w:rPr>
        <w:t>, “Business” for a discussion of SJW Group’s general business and regulatory activities.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SJW Group’s consolidated net income for the year ended December 31, 2021 was $60,478, compared to $61,515 for the same period in 2020. This represents a decrease of $1,037 or 2%, from 2020. The decrease in net income was primarily due to an increase in administrative and general expenses as a result of increased insurance costs and higher employee compensation, an increase in depreciation expense due to assets placed in service in 2020, an increase in maintenance expenses due to an increase in leak repairs, an increase in production costs due to higher average per unit costs for purchased water, groundwater extraction, energy charges, and a decrease in available surface water at SJWC, and an impairment of long-lived asset for a customer care and billing implementation project no longer being pursued by CLWSC. These increases were partially offset by an increase in revenue due to cumulative water rate increases and net recognition of certain balancing and memorandum accounts, offset by a decrease in usage. In addition, the sale of real estate investments and nonutility properties generated a pre-tax gain of $8,421 and the sale of Texas Water Alliance generated a $3,000 pre-tax gain.</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ind w:right="10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The COVID-19 pandemic has had significant impact on the global economy. Financial impacts experienced by SJW Group due to the COVID-19 pandemic include higher uncollectible accounts receivables and increased costs from COVID-19 related prevention activities. The regulators in the states SJW Group operates have approved mechanisms to either record a regulatory asset or track in a memorandum account expenses and savings related to COVID-19. SJWC and CLWSC have determined that future recovery of the amount related to COVID-19 activities is probable and have recognized the related regulatory assets. Probability criteria have not yet been met for CTWS. If a state regulator disagrees with the calculation of recorded COVID-19 account balances, we may be required to make adjustments that could adversely affect our results of operations. SJW Group continues to monitor COVID-19 developments affecting our business, employees and suppliers and will take additional precautions as management believes is necessary. See </w:t>
      </w:r>
      <w:hyperlink w:anchor="page16">
        <w:r>
          <w:rPr>
            <w:rFonts w:ascii="Arial" w:cs="Arial" w:eastAsia="Arial" w:hAnsi="Arial"/>
            <w:sz w:val="17"/>
            <w:szCs w:val="17"/>
            <w:u w:val="single" w:color="auto"/>
            <w:color w:val="0000FF"/>
          </w:rPr>
          <w:t>Item 1A</w:t>
        </w:r>
      </w:hyperlink>
      <w:r>
        <w:rPr>
          <w:rFonts w:ascii="Arial" w:cs="Arial" w:eastAsia="Arial" w:hAnsi="Arial"/>
          <w:sz w:val="17"/>
          <w:szCs w:val="17"/>
          <w:color w:val="auto"/>
        </w:rPr>
        <w:t xml:space="preserve">, “Risk Factors” and </w:t>
      </w:r>
      <w:hyperlink w:anchor="page42">
        <w:r>
          <w:rPr>
            <w:rFonts w:ascii="Arial" w:cs="Arial" w:eastAsia="Arial" w:hAnsi="Arial"/>
            <w:sz w:val="17"/>
            <w:szCs w:val="17"/>
            <w:u w:val="single" w:color="auto"/>
            <w:color w:val="0000FF"/>
          </w:rPr>
          <w:t>Item 7</w:t>
        </w:r>
      </w:hyperlink>
      <w:r>
        <w:rPr>
          <w:rFonts w:ascii="Arial" w:cs="Arial" w:eastAsia="Arial" w:hAnsi="Arial"/>
          <w:sz w:val="17"/>
          <w:szCs w:val="17"/>
          <w:color w:val="auto"/>
        </w:rPr>
        <w:t>, “Liquidity and Capital Resources” for further discussion.</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Operating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 by segment was as follows: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Revenue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28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558,994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Services</w:t>
            </w:r>
          </w:p>
        </w:tc>
        <w:tc>
          <w:tcPr>
            <w:tcW w:w="28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573,686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564,526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37</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35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89"/>
              </w:rPr>
              <w:t>2021 vs. 2020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1"/>
              </w:rPr>
              <w:t>2020 vs. 2019</w:t>
            </w:r>
          </w:p>
        </w:tc>
        <w:tc>
          <w:tcPr>
            <w:tcW w:w="720" w:type="dxa"/>
            <w:vAlign w:val="bottom"/>
          </w:tcPr>
          <w:p>
            <w:pPr>
              <w:spacing w:after="0"/>
              <w:rPr>
                <w:sz w:val="14"/>
                <w:szCs w:val="14"/>
                <w:color w:val="auto"/>
              </w:rPr>
            </w:pPr>
          </w:p>
        </w:tc>
      </w:tr>
      <w:tr>
        <w:trPr>
          <w:trHeight w:val="188"/>
        </w:trPr>
        <w:tc>
          <w:tcPr>
            <w:tcW w:w="46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152"/>
              <w:spacing w:after="0"/>
              <w:rPr>
                <w:sz w:val="20"/>
                <w:szCs w:val="20"/>
                <w:color w:val="auto"/>
              </w:rPr>
            </w:pPr>
            <w:r>
              <w:rPr>
                <w:rFonts w:ascii="Arial" w:cs="Arial" w:eastAsia="Arial" w:hAnsi="Arial"/>
                <w:sz w:val="14"/>
                <w:szCs w:val="14"/>
                <w:b w:val="1"/>
                <w:bCs w:val="1"/>
                <w:color w:val="auto"/>
                <w:w w:val="88"/>
              </w:rPr>
              <w:t>Increase/(decrease)</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172"/>
              <w:spacing w:after="0"/>
              <w:rPr>
                <w:sz w:val="20"/>
                <w:szCs w:val="20"/>
                <w:color w:val="auto"/>
              </w:rPr>
            </w:pPr>
            <w:r>
              <w:rPr>
                <w:rFonts w:ascii="Arial" w:cs="Arial" w:eastAsia="Arial" w:hAnsi="Arial"/>
                <w:sz w:val="14"/>
                <w:szCs w:val="14"/>
                <w:b w:val="1"/>
                <w:bCs w:val="1"/>
                <w:color w:val="auto"/>
                <w:w w:val="90"/>
              </w:rPr>
              <w:t>Increase/(decrease)</w:t>
            </w:r>
          </w:p>
        </w:tc>
        <w:tc>
          <w:tcPr>
            <w:tcW w:w="720" w:type="dxa"/>
            <w:vAlign w:val="bottom"/>
            <w:tcBorders>
              <w:bottom w:val="single" w:sz="8" w:color="auto"/>
            </w:tcBorders>
          </w:tcPr>
          <w:p>
            <w:pPr>
              <w:spacing w:after="0"/>
              <w:rPr>
                <w:sz w:val="16"/>
                <w:szCs w:val="16"/>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Consumption changes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(24,702)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111,183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customers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Rate increases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25,179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rate credits</w:t>
            </w:r>
          </w:p>
        </w:tc>
        <w:tc>
          <w:tcPr>
            <w:tcW w:w="46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Texas winter storm customer credits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204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Balancing and memorandum accounts: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660" w:type="dxa"/>
            <w:vAlign w:val="bottom"/>
          </w:tcPr>
          <w:p>
            <w:pPr>
              <w:ind w:left="380"/>
              <w:spacing w:after="0"/>
              <w:rPr>
                <w:sz w:val="20"/>
                <w:szCs w:val="20"/>
                <w:color w:val="auto"/>
              </w:rPr>
            </w:pPr>
            <w:r>
              <w:rPr>
                <w:rFonts w:ascii="Arial" w:cs="Arial" w:eastAsia="Arial" w:hAnsi="Arial"/>
                <w:sz w:val="18"/>
                <w:szCs w:val="18"/>
                <w:color w:val="auto"/>
              </w:rPr>
              <w:t>Cost of capital memorandum account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Water Conservation Memorandum Account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Tax Act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Other regulatory mechanisms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204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Real Estate Services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46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2021 vs.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revenue increase consists of $9,313 from Water Utility Services offset by a $153 decrease from Real Estate Services.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revenue increase for Water Utility Services is primarily due to an increase in authorized rates which resulted in $25,179 of additional revenue, a net increase in revenue recognized from certain balancing and memorandum accounts of $3,941, an increase due to new customers of $2,896, and an increase in other regulatory mechanisms of $2,491, partially offset by a decrease in revenue of $24,702 due to lower usage and a decrease of $839 from the winter storm credits in Texas.</w:t>
      </w:r>
    </w:p>
    <w:p>
      <w:pPr>
        <w:spacing w:after="0" w:line="11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2020 vs.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revenue increase consists of $143,909 from Water Utility Services and $135 from Real Estate Services.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revenue increase for Water Utility Services is primarily due to an increase of $111,183 due to higher customer usage primarily due to the acquisition of CTWS in October 2019. In addition, we experienced an increase in authorized rates which resulted in $12,234 of additional revenue and an increase from customer rate credits of $4,964 related to a CTWS merger commitment and as a result of our billing settlement with the CPUC. Also, in 2019, we wrote off the 2018 and 2019 WCMA balances as we determined these amounts were no longer probable of recovery. No similar write-off occurred in 2020.</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Water Utility Services’ Operating Revenue and Customer 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operating revenues and number of customers by customer group of Water Utility Services: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Operating Revenue by Customer Group</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and business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487,675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384,448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2,514</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authorities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17,892</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45,968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45,376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18,157</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Balancing and memorandum accounts and other regulatory mechanisms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r>
      <w:tr>
        <w:trPr>
          <w:trHeight w:val="223"/>
        </w:trPr>
        <w:tc>
          <w:tcPr>
            <w:tcW w:w="64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568,307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558,994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415,085</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Number of Customers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and business</w:t>
            </w:r>
          </w:p>
        </w:tc>
        <w:tc>
          <w:tcPr>
            <w:tcW w:w="2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372,641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370,074</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authorities</w:t>
            </w:r>
          </w:p>
        </w:tc>
        <w:tc>
          <w:tcPr>
            <w:tcW w:w="2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2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394,284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389,293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386,607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580"/>
              <w:spacing w:after="0"/>
              <w:rPr>
                <w:sz w:val="20"/>
                <w:szCs w:val="20"/>
                <w:color w:val="auto"/>
              </w:rPr>
            </w:pPr>
            <w:r>
              <w:rPr>
                <w:rFonts w:ascii="Arial" w:cs="Arial" w:eastAsia="Arial" w:hAnsi="Arial"/>
                <w:sz w:val="18"/>
                <w:szCs w:val="18"/>
                <w:b w:val="1"/>
                <w:bCs w:val="1"/>
                <w:color w:val="auto"/>
              </w:rPr>
              <w:t>Operating Expense</w:t>
            </w:r>
          </w:p>
        </w:tc>
        <w:tc>
          <w:tcPr>
            <w:tcW w:w="2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14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8"/>
                <w:szCs w:val="18"/>
                <w:color w:val="auto"/>
              </w:rPr>
              <w:t>Operating expense by segment was as follows:</w:t>
            </w: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4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Operating Expense</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140" w:type="dxa"/>
            <w:vAlign w:val="bottom"/>
            <w:tcBorders>
              <w:bottom w:val="single" w:sz="8" w:color="CCEEFF"/>
            </w:tcBorders>
          </w:tcPr>
          <w:p>
            <w:pPr>
              <w:spacing w:after="0"/>
              <w:rPr>
                <w:sz w:val="24"/>
                <w:szCs w:val="24"/>
                <w:color w:val="auto"/>
              </w:rPr>
            </w:pPr>
          </w:p>
        </w:tc>
        <w:tc>
          <w:tcPr>
            <w:tcW w:w="2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22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438,318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334,963</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Real Estate Services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3,510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24,289</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462,527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446,856</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363,003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consolidated operating expenses was due to the following factors: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40" w:type="dxa"/>
            <w:vAlign w:val="bottom"/>
            <w:gridSpan w:val="3"/>
          </w:tcPr>
          <w:p>
            <w:pPr>
              <w:jc w:val="center"/>
              <w:ind w:left="132"/>
              <w:spacing w:after="0"/>
              <w:rPr>
                <w:sz w:val="20"/>
                <w:szCs w:val="20"/>
                <w:color w:val="auto"/>
              </w:rPr>
            </w:pPr>
            <w:r>
              <w:rPr>
                <w:rFonts w:ascii="Arial" w:cs="Arial" w:eastAsia="Arial" w:hAnsi="Arial"/>
                <w:sz w:val="14"/>
                <w:szCs w:val="14"/>
                <w:b w:val="1"/>
                <w:bCs w:val="1"/>
                <w:color w:val="auto"/>
                <w:w w:val="91"/>
              </w:rPr>
              <w:t>2021 vs. 2020</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4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91"/>
              </w:rPr>
              <w:t>2020 vs. 2019</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132"/>
              <w:spacing w:after="0"/>
              <w:rPr>
                <w:sz w:val="20"/>
                <w:szCs w:val="20"/>
                <w:color w:val="auto"/>
              </w:rPr>
            </w:pPr>
            <w:r>
              <w:rPr>
                <w:rFonts w:ascii="Arial" w:cs="Arial" w:eastAsia="Arial" w:hAnsi="Arial"/>
                <w:sz w:val="14"/>
                <w:szCs w:val="14"/>
                <w:b w:val="1"/>
                <w:bCs w:val="1"/>
                <w:color w:val="auto"/>
                <w:w w:val="90"/>
              </w:rPr>
              <w:t>Increase/(decrease)</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172"/>
              <w:spacing w:after="0"/>
              <w:rPr>
                <w:sz w:val="20"/>
                <w:szCs w:val="20"/>
                <w:color w:val="auto"/>
              </w:rPr>
            </w:pPr>
            <w:r>
              <w:rPr>
                <w:rFonts w:ascii="Arial" w:cs="Arial" w:eastAsia="Arial" w:hAnsi="Arial"/>
                <w:sz w:val="14"/>
                <w:szCs w:val="14"/>
                <w:b w:val="1"/>
                <w:bCs w:val="1"/>
                <w:color w:val="auto"/>
                <w:w w:val="90"/>
              </w:rPr>
              <w:t>Increase/(decrease)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production expenses: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Change in surface water supply</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18,992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usage and new customers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75"/>
        </w:trPr>
        <w:tc>
          <w:tcPr>
            <w:tcW w:w="4640" w:type="dxa"/>
            <w:vAlign w:val="bottom"/>
          </w:tcPr>
          <w:p>
            <w:pPr>
              <w:ind w:left="140"/>
              <w:spacing w:after="0" w:line="176" w:lineRule="exact"/>
              <w:rPr>
                <w:sz w:val="20"/>
                <w:szCs w:val="20"/>
                <w:color w:val="auto"/>
              </w:rPr>
            </w:pPr>
            <w:r>
              <w:rPr>
                <w:rFonts w:ascii="Arial" w:cs="Arial" w:eastAsia="Arial" w:hAnsi="Arial"/>
                <w:sz w:val="18"/>
                <w:szCs w:val="18"/>
                <w:color w:val="auto"/>
                <w:w w:val="98"/>
              </w:rPr>
              <w:t>Purchased water and groundwater extraction charge and</w:t>
            </w:r>
          </w:p>
        </w:tc>
        <w:tc>
          <w:tcPr>
            <w:tcW w:w="4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11,626</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energy price increase</w:t>
            </w:r>
          </w:p>
        </w:tc>
        <w:tc>
          <w:tcPr>
            <w:tcW w:w="4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and memorandum account cost recovery</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water production expenses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general</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4640" w:type="dxa"/>
            <w:vAlign w:val="bottom"/>
          </w:tcPr>
          <w:p>
            <w:pPr>
              <w:ind w:left="160"/>
              <w:spacing w:after="0"/>
              <w:rPr>
                <w:sz w:val="20"/>
                <w:szCs w:val="20"/>
                <w:color w:val="auto"/>
              </w:rPr>
            </w:pPr>
            <w:r>
              <w:rPr>
                <w:rFonts w:ascii="Arial" w:cs="Arial" w:eastAsia="Arial" w:hAnsi="Arial"/>
                <w:sz w:val="18"/>
                <w:szCs w:val="18"/>
                <w:color w:val="auto"/>
              </w:rPr>
              <w:t>Balance and memorandum account cost recovery</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640" w:type="dxa"/>
            <w:vAlign w:val="bottom"/>
          </w:tcPr>
          <w:p>
            <w:pPr>
              <w:ind w:left="160"/>
              <w:spacing w:after="0"/>
              <w:rPr>
                <w:sz w:val="20"/>
                <w:szCs w:val="20"/>
                <w:color w:val="auto"/>
              </w:rPr>
            </w:pPr>
            <w:r>
              <w:rPr>
                <w:rFonts w:ascii="Arial" w:cs="Arial" w:eastAsia="Arial" w:hAnsi="Arial"/>
                <w:sz w:val="18"/>
                <w:szCs w:val="18"/>
                <w:color w:val="auto"/>
              </w:rPr>
              <w:t>Balance and memorandum account cost recovery</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204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 and other non-income taxes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23,687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related expenses</w:t>
            </w:r>
          </w:p>
        </w:tc>
        <w:tc>
          <w:tcPr>
            <w:tcW w:w="48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Impairment of long lived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19"/>
                <w:szCs w:val="19"/>
                <w:color w:val="auto"/>
              </w:rPr>
            </w:pPr>
          </w:p>
        </w:tc>
        <w:tc>
          <w:tcPr>
            <w:tcW w:w="204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nonutility property</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83,853</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Sources of Water Supply</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Valley Water under the terms of a master contract with Valley Water expiring in 2051. Surface water, which is the least expensive water supply, is sourced from SJWC’s 6,500 acre of watershed in the Santa Cruz mountains. Changes and variations in quantities from each of these sources affect the overall mix of the water supply, thereby affecting the cost of the water supply. In addition, the water rates for purchased water and the groundwater extraction charge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ind w:right="620"/>
        <w:spacing w:after="0" w:line="277" w:lineRule="auto"/>
        <w:rPr>
          <w:sz w:val="20"/>
          <w:szCs w:val="20"/>
          <w:color w:val="auto"/>
        </w:rPr>
      </w:pPr>
      <w:r>
        <w:rPr>
          <w:rFonts w:ascii="Arial" w:cs="Arial" w:eastAsia="Arial" w:hAnsi="Arial"/>
          <w:sz w:val="18"/>
          <w:szCs w:val="18"/>
          <w:color w:val="auto"/>
        </w:rPr>
        <w:t>may be increased by Valley Water at any time. If an increase occurs, then SJWC would file an advice letter with the CPUC seeking authorization to increase revenues to offset the rate increase.</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Connecticut Water’s infrastructure consists of 65 noncontiguous water systems in the State of Connecticut. These systems, in total, consist of approximately 1,800 miles of water main and reservoir storage capacity of 2.4 billion gallons. The safe, dependable yield from our 235 active wells and 18 surface water supplies is approximately 65 million gallons per day. Water sources vary among the individual systems, but overall approximately 80% of the total dependable yield comes from surface water supplies and 20% from wells.</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CLWSC’s water supply consists of groundwater from wells and purchased treated and raw water from the GBRA. CLWSC has long-term agreements with the GBRA, which expire in 2037, 2040, 2044 and 2050. The agreements, which are take-or-pay contracts, provide CLWSC with an aggregate of 7,650 acre-feet of water per year from Canyon Lake at prices that may be adjusted periodically by GBRA. CLWSC also has raw water supply agreements with the LCRA and WTPUA expiring in 2059 and 2046, respectively, to provide for 250 acre-feet of water per year from Lake Austin and the Colorado River, respectively, at prices that may be adjusted periodically by the agencies.</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Maine Water’s infrastructure consists of 12 noncontiguous water systems in the State of Maine. These systems, in total, consists of approximately 600 miles of water main and reservoir storage capacity of 7.0 billion gallons. The safe, dependable yield from our 14 active wells and 7 surface water supplies is approximately 120 million gallons per day. Water sources vary among the individual systems, but overall approximately 90% of the total dependable yield comes from surface water supplies and 10% from wells.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sources of water supply for water utility services: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Source of Water Supply</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(million gallons) (MG)</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water</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Groundwater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21,229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21,248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water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Reclaimed water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53,604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Average water production expense per MG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4,488</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4,212</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water supply by source excluding reclaimed water by state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Purchased Water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Groundwater</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Surface Water</w:t>
            </w:r>
          </w:p>
        </w:tc>
        <w:tc>
          <w:tcPr>
            <w:tcW w:w="900" w:type="dxa"/>
            <w:vAlign w:val="bottom"/>
            <w:tcBorders>
              <w:bottom w:val="single" w:sz="8" w:color="auto"/>
            </w:tcBorders>
          </w:tcPr>
          <w:p>
            <w:pPr>
              <w:spacing w:after="0"/>
              <w:rPr>
                <w:sz w:val="16"/>
                <w:szCs w:val="16"/>
                <w:color w:val="auto"/>
              </w:rPr>
            </w:pPr>
          </w:p>
        </w:tc>
      </w:tr>
      <w:tr>
        <w:trPr>
          <w:trHeight w:val="187"/>
        </w:trPr>
        <w:tc>
          <w:tcPr>
            <w:tcW w:w="228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51"/>
        </w:trPr>
        <w:tc>
          <w:tcPr>
            <w:tcW w:w="228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900" w:type="dxa"/>
            <w:vAlign w:val="bottom"/>
          </w:tcPr>
          <w:p>
            <w:pPr>
              <w:jc w:val="right"/>
              <w:spacing w:after="0"/>
              <w:rPr>
                <w:sz w:val="20"/>
                <w:szCs w:val="20"/>
                <w:color w:val="auto"/>
              </w:rPr>
            </w:pPr>
            <w:r>
              <w:rPr>
                <w:rFonts w:ascii="Arial" w:cs="Arial" w:eastAsia="Arial" w:hAnsi="Arial"/>
                <w:sz w:val="18"/>
                <w:szCs w:val="18"/>
                <w:color w:val="auto"/>
              </w:rPr>
              <w:t>50 %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Maine</w:t>
            </w:r>
          </w:p>
        </w:tc>
        <w:tc>
          <w:tcPr>
            <w:tcW w:w="900" w:type="dxa"/>
            <w:vAlign w:val="bottom"/>
          </w:tcPr>
          <w:p>
            <w:pPr>
              <w:jc w:val="right"/>
              <w:spacing w:after="0"/>
              <w:rPr>
                <w:sz w:val="20"/>
                <w:szCs w:val="20"/>
                <w:color w:val="auto"/>
              </w:rPr>
            </w:pPr>
            <w:r>
              <w:rPr>
                <w:rFonts w:ascii="Arial" w:cs="Arial" w:eastAsia="Arial" w:hAnsi="Arial"/>
                <w:sz w:val="18"/>
                <w:szCs w:val="18"/>
                <w:color w:val="auto"/>
              </w:rPr>
              <w:t>2 %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Water production in 2021 for water utility services decreased 2,563 million gallons from 2020. Water production in 2020 for water utility services increased 11,388 million gallons from 2019 primarily due to a full year of CTWS operations in 2020. The changes are primarily attributable to changes in consumption by customers and are consistent with the changes in the related water production expenses.</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contract water rates for SJWC are determined by Valley Water. These rates are adjusted periodically and coincide with Valley Water’s fiscal year, which ends on June 30. The contract water rate for Valley Water’s fiscal years 2022, 2021 and 2020 was $5.0, $4.5 and $4.5 per million gallons, respectively. The contractual cost of the groundwater extraction charge for water pumped from the ground basin was $4.6, $4.2 and $4.2 per million gallons for Valley Water’s fiscal years 2022, 2021 and 2020, respectively. SJWC’s unaccounted-for water for 2021 and 2020 approximated 7.8% and 6.5%, respectively, as a percentage of production. The unaccounted-for water estimate is based on the results of past experience and the impact of flows through the system, partially offset by SJWC’s main replacements and water loss reduction programs.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0" w:name="page41"/>
    <w:bookmarkEnd w:id="40"/>
    <w:p>
      <w:pPr>
        <w:ind w:right="20"/>
        <w:spacing w:after="0" w:line="253" w:lineRule="auto"/>
        <w:rPr>
          <w:sz w:val="20"/>
          <w:szCs w:val="20"/>
          <w:color w:val="auto"/>
        </w:rPr>
      </w:pPr>
      <w:r>
        <w:rPr>
          <w:rFonts w:ascii="Arial" w:cs="Arial" w:eastAsia="Arial" w:hAnsi="Arial"/>
          <w:sz w:val="18"/>
          <w:szCs w:val="18"/>
          <w:color w:val="auto"/>
        </w:rPr>
        <w:t>Connecticut Water has an agreement with the South Central Connecticut Regional Water Authority (“RWA”) to purchase water from RWA. The agreement was signed in April 2006 and became effective upon the receipt of all regulatory approvals in 2008 and will remain in effect for a minimum of fifty years upon becoming effective. Connecticut Water will pay RWA $75 per year as part of a capacity agreement, for a total of 14 years, starting on the effective date of the agreement and sunsetting in 2022. In addition, Connecticut Water is able, but under no obligation, to purchase up to one million gallons of water per day at the then current wholesale rates per the agreement, $2.621 per million gallons as of December 31, 2021. Connecticut Water has an agreement with The Metropolitan District (“MDC”) to purchase water from MDC to serve the Unionville system. The agreement became effective on October 6, 2000 and has a term of fifty years beginning May 19, 2003, the date the water supply facilities related to the agreement were placed in service. Connecticut Water has agreed to purchase 283 million gallons of water annually from MDC at the published retail rate, $4.05 per hundred cubic feet as of December 31, 2021.</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Maine Water has an agreement with the Kennebec Water District for potable water service. The agreement has been in place for 20 years and was extended on November 7, 2020 for a new term of up to 20 years. Maine Water guarantees a minimum consumption of 50 million gallons of water annually. Water sales to Maine Water are billed at a wholesale discount of $0.20 per hundred cubic feet of water below Kennebec Water District's tariffed rates. The current tariff rate was $1.51 per hundred cubic feet as of December 31, 2021.</w:t>
      </w:r>
    </w:p>
    <w:p>
      <w:pPr>
        <w:spacing w:after="0" w:line="7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CTWS’s unaccounted-for water for the period ending December 31, 2021 was approximately 14.3% as a percentage of total production. The unaccounted-for water estimate is based on the results of past experience and the impact of flows through CTWS’s systems, unadjusted for any required system flushing, partially offset by WICA and Water Infrastructure Surcharge (“WISC”) main replacement programs and lost water reduction initiatives.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various components of operating expenses are discussed below.</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Water production expenses</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2021 vs. 2020</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Water production expenses increased $11,626 in higher per unit costs paid for purchased water, groundwater extraction and energy charges, $3,897 as a result of decreased availability of California surface water in 2021 compared to 2020, and $1,302 due to changes in water production balancing and memorandum accounts, offset by a decrease of $13,534 due to a decrease in customer usage.</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2020 vs. 2019</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Water production expenses increased $33,864 due to an increase in customer usage including increases due to the October 2019 acquisition of CTWS, $18,992 as a result of decreased availability of California surface water in 2020 compared to 2019, and $588 in higher per unit costs paid for purchased water, groundwater extraction and energy charges, offset by a decrease of $3,421 due to changes in water production balancing and memorandum accounts. Valley Water did not increase the unit price of purchased water and groundwater extraction fees for their fiscal year beginning July 1, 2020.</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Administrative and General Expense</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Administrative and general expenses include payroll related to administrative and general functions, all employee benefits charged to expense accounts, insurance expenses, legal fees, regulatory utility commissions’ expenses, expenses associated with being a public company, and general corporate expenses.</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2021 vs. 2020</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Administrative and general expense increased $7,591 in 2021, or 2%, in comparison to 2020. The increase consisted primarily of $1,928 in group health insurance costs, $1,542 increase in compensation, $1,229 increase in insurance expense, $1,108 increase in uncollectible accounts due to a credit recorded in 2020 for the Current Expected Credit Loss adoption, $1,104 increase in contracted work, and $703 increase in rate case expenses.</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2020 vs.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Administrative and general expense increased $13,440 in 2020, or 4%, in comparison to 2019. The increase consisted primarily of $17,793 due to the addition of CTWS’s operations, partially offset by a decrease of $4,520 due to integration costs incurred in 2019 related to the merger that did not recur in 2020.</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Maintenance Expense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Maintenance expense increased $3,873 in 2021, or 17%, in comparison to 2020, and increased $1,653 in 2020, or less than 1%, in comparison to 2019. The increase in 2021 was primarily due to increases of $2,402 in contract, repairs and maintenance,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ind w:right="200"/>
        <w:spacing w:after="0" w:line="259" w:lineRule="auto"/>
        <w:rPr>
          <w:sz w:val="20"/>
          <w:szCs w:val="20"/>
          <w:color w:val="auto"/>
        </w:rPr>
      </w:pPr>
      <w:r>
        <w:rPr>
          <w:rFonts w:ascii="Arial" w:cs="Arial" w:eastAsia="Arial" w:hAnsi="Arial"/>
          <w:sz w:val="18"/>
          <w:szCs w:val="18"/>
          <w:color w:val="auto"/>
        </w:rPr>
        <w:t>materials expense as a result of increased leaks, $1,298 due to a favorable change in the probability assessment of regulatory recovery of a hydro-turbine generator project reserve established in a prior year, and $408 increase in compensation. The increase in 2020 consisted primarily of $3,639 due to the addition of CTWS’s operations, offset by a decrease of $1,745 in SJWC primarily due to a change in the probability assessment of regulatory recovery of the hydro-turbine generator project.</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Property Taxes and Other Non-income Taxes</w:t>
      </w:r>
    </w:p>
    <w:p>
      <w:pPr>
        <w:spacing w:after="0" w:line="12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Property taxes and other non-income taxes for 2021 and 2020 increased $1,078 and $10,818 from the prior years, respectively. The increase in 2021 was primarily a result of increased utility plant. The increase in 2020 was primarily due to the addition of $10,603 related to CTWS’s operations. SJW Group anticipates increases in 2022 for property taxes and other non-income taxes due to increases in utility plant.</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Depreciation and amortization expense increased $5,121 in 2021, or 1%, in comparison to 2020, and increased $23,687 in 2020, or 6%, in comparison to 2019. The increases were primarily due to increases in utility plant. In addition, the increase in 2020 also included $16,380 due to the the addition of CTWS’s operations. SJW Group anticipates increases in 2022 for depreciation expense due to increases in utility plant.</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Impairment of long-lived asset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 increased $2,211 in 2021 due to the write-off of a customer care and billing system implementation in Texas.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Sale of nonutility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Sale of nonutility properties increased $7,494 in 2021 primarily due to the sales of multiple vacant land properties located in California.</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Income and Expense</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change in other (expense) income in 2021 compared to 2020 was primarily due to a $3,000 pre-tax gain on sale from the release of a holdback amount by GBRA for the sale of TWA recorded in 2017 and $1,704 decrease in pension non-service cost due to an increase on the return of pension assets and an increase in the discount rate.</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change in other (expense) income in 2020 compared to 2019 was primarily due to an increase in interest on long-term debt as a result of the issuance of SJW Group’s Series 2019A, 2019B, 2019C and 2020 notes. In addition, interest income decreased due to the use of previously invested money market funds for the merger with CTWS. The new CTWS operations generated an additional increase of $5,144 in expense.</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SJW Group’s consolidated weighted-average cost of long-term debt, including the mortgages and the amortization of debt issuance costs, was 4.1%, 4.3% and 4.4% for the years ended December 31, 2021 and 2020 and 2019.</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Income tax expense for 2021 was $8,369, compared to $8,380 in 2020. The effective consolidated income tax rate was 12% for 2021, 12% for 2020 and 26% for 2019. The effective income tax rate decreased from 2019 due to flow-through deductions and the absence of the write-off of non-deductible merger costs in 2020 and 2021.</w:t>
      </w:r>
    </w:p>
    <w:p>
      <w:pPr>
        <w:spacing w:after="0" w:line="76"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Please refer to </w:t>
      </w:r>
      <w:hyperlink w:anchor="page71">
        <w:r>
          <w:rPr>
            <w:rFonts w:ascii="Arial" w:cs="Arial" w:eastAsia="Arial" w:hAnsi="Arial"/>
            <w:sz w:val="17"/>
            <w:szCs w:val="17"/>
            <w:u w:val="single" w:color="auto"/>
            <w:color w:val="0000FF"/>
          </w:rPr>
          <w:t>Note 7</w:t>
        </w:r>
      </w:hyperlink>
      <w:r>
        <w:rPr>
          <w:rFonts w:ascii="Arial" w:cs="Arial" w:eastAsia="Arial" w:hAnsi="Arial"/>
          <w:sz w:val="17"/>
          <w:szCs w:val="17"/>
          <w:color w:val="auto"/>
        </w:rPr>
        <w:t>, “Income Taxes,” of Notes to Consolidated Financial Statements for a reconciliation of actual to expected income tax expense.</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Comprehensive (Loss) Income</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change in other comprehensive income in 2021 and 2020 was primarily due to the change in the benefit obligation for Connecticut Water’s supplemental executive retirement agreements as a result of a change in the discount rate.</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Water Utility Services’ business derives the majority of its revenue directly from residential and business customers. Water Utility Services bills the majority of its customers on a bi-monthly basis. Payments from customers are impacted by the general economic conditions in the areas where SJW Group operates. Payment delinquencies are mitigated by service interruptions due to non-payment prior to the COVID-19 pandemic. In California, the current state executive order suspending water service disconnections due to non-payment by customers expired December 31, 2021. However, the CPUC directed that regulated water utilities continue to suspend customer disconnections until February 1, 2022. There are currently no such orders effective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2" w:name="page43"/>
    <w:bookmarkEnd w:id="42"/>
    <w:p>
      <w:pPr>
        <w:spacing w:after="0" w:line="271" w:lineRule="auto"/>
        <w:rPr>
          <w:sz w:val="20"/>
          <w:szCs w:val="20"/>
          <w:color w:val="auto"/>
        </w:rPr>
      </w:pPr>
      <w:r>
        <w:rPr>
          <w:rFonts w:ascii="Arial" w:cs="Arial" w:eastAsia="Arial" w:hAnsi="Arial"/>
          <w:sz w:val="17"/>
          <w:szCs w:val="17"/>
          <w:color w:val="auto"/>
        </w:rPr>
        <w:t>in the other states where we operate. There is no guarantee that the Regulators will extend or reinstate such orders. As of December 31, 2021, the change in allowance for doubtful accounts was primarily due to adjustments made for the effect of COVID-19 on our customers. Impacts to allowance for doubtful accounts related to COVID-19 are being recorded for future recovery through the rate-making process. On February 3, 2022, SJWC received $9,757 through the State of California Water and Wastewater Arrearages Payment Program to relieve outstanding payment delinquencies for customers accounts greater that 60-days past due as of June 30, 2021. Write-offs for uncollectible accounts remain less than 1% of total revenue consistent with prior year. Management believes that the accounts receivable aging will continue to deteriorate throughout the duration of the COVID-19 pandemic as long as the moratoriums on water service disconnections for non-payment continue in California. There is no guarantee that such recovery will be approved by the respective state regulatory utility commissions.</w:t>
      </w:r>
    </w:p>
    <w:p>
      <w:pPr>
        <w:spacing w:after="0" w:line="70" w:lineRule="exact"/>
        <w:rPr>
          <w:sz w:val="20"/>
          <w:szCs w:val="20"/>
          <w:color w:val="auto"/>
        </w:rPr>
      </w:pPr>
    </w:p>
    <w:p>
      <w:pPr>
        <w:ind w:right="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Funds collected from Water Utility Services’ customers are used to pay for water production expenses, in addition to costs associated with general operations. Funds were also generated from borrowings. In 2021, SJW Group and its subsidiaries obtained $247,000 in funds from new long-term debt. From these amounts, SJW Group funded its 2021 capital expenditure programs refinanced certain short and long-term borrowings, and funded working capital. See </w:t>
      </w:r>
      <w:hyperlink w:anchor="page68">
        <w:r>
          <w:rPr>
            <w:rFonts w:ascii="Arial" w:cs="Arial" w:eastAsia="Arial" w:hAnsi="Arial"/>
            <w:sz w:val="18"/>
            <w:szCs w:val="18"/>
            <w:u w:val="single" w:color="auto"/>
            <w:color w:val="0000FF"/>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Consolidated Financial Statements” for discussion on the debt financing activities of SJW Group. In addition, SJW Group paid cash dividends of approximately $40,137 during the year ended December 31, 2021.</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2021 activities, we will have access to the external funding sources necessary to implement our on-going capital investment programs in the future. The current Standard &amp; Poor’s Rating Service assigned company rating for SJW Group is an A-, with a stable outlook, for SJWC is an A, with a stable outlook, and for Connecticut Water is an A- with a stable outlook.</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2021, the common dividends declared and paid on SJW Group’s common stock represented 66% of net income. Dividends have been paid on SJW Group’s and its predecessor’s common stock for 313 consecutive quarters and the annual dividend amount has increased in each of the last 54 years. While historically SJW Group has generally paid dividends equal to approximately 50% to 60% of its net income, SJW Group cannot guarantee that this trend will continue in the future.</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Flow from Operations</w:t>
      </w:r>
    </w:p>
    <w:p>
      <w:pPr>
        <w:spacing w:after="0" w:line="12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2021, SJW Group generated cash flow from operations of approximately $130,040 compared to $104,051 in 2020 and $130,005 in 2019. Cash flow from operations is primarily generated by net income from revenue producing activities, adjusted for non-cash expenses for depreciation and amortization, deferred income taxes, share-based compensation, allowance for equity funds used during construction, gains on the sale of assets, and other changes in working capital items. Cash flow from operations increased in 2021 by approximately $26,000. The increase was primarily due to a combination of the following factors: (1) increase in collections of previously billed and accrued receivables by $13,000, (2) an increase in general working capital and net income adjusted for non-cash items increase by $6,800, (3) payments of previously invoiced and accrued payables or amounts, decreased by $5,200, and</w:t>
      </w:r>
    </w:p>
    <w:p>
      <w:pPr>
        <w:spacing w:after="0" w:line="4" w:lineRule="exact"/>
        <w:rPr>
          <w:sz w:val="20"/>
          <w:szCs w:val="20"/>
          <w:color w:val="auto"/>
        </w:rPr>
      </w:pPr>
    </w:p>
    <w:p>
      <w:pPr>
        <w:ind w:right="80" w:firstLine="8"/>
        <w:spacing w:after="0" w:line="290"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$5,000 up-front service concession payment that occurred in the previous year, offset by (5) an increase in accrued groundwater extraction charges, purchased water and power of $4,000. Cash flow from operations decreased in 2020 by approximately $25,900. The decrease was primarily due to a combination of the following factors: (1) a decrease in collections of the balancing and memorandum accounts by $45,300, (2) a decrease in collections of previously billed and accrued receivables by $15,000, (3) a decrease in the other noncurrent assets and noncurrent liabilities of $6,700 primarily from an increase in payments for executive and board deferrals for retirees and deferred tax changes, and (4) an up-front payment of $5,000 for renewal of the Cupertino service concession agreement, offset by (5) general working capital and net income, adjusted for non-cash items which increased by $46,100.</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Flow from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2021, SJW Group used approximately $234,000 of cash for Company funded capital expenditures, $23,600 for SJWTX, Inc.’s acquisition of Kendall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West Utility and Bandera East Utility, $17,100 for developer funded capital expenditures, $2,800 in utility plant retirement costs, and $800 for real estate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related to leasehold improvement additions for the properties located in Knoxville, Tennessee. These uses were offset by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$18,200 from the sale of Texas Water Alliance, real estate investments and nonutility properties. In 2020, SJW Group used approximately $195,300 of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Company funded capital expenditures, $17,100 for developer funded capital expenditures, $2,600 in utility plant retirement costs, and $400 for real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estate investments related to leasehold improvement additions for the properties located in Knoxville, Tennessee. These uses were offset by cash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$1,200 from the sale of real estate investments and utility property.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43" w:name="page44"/>
    <w:bookmarkEnd w:id="43"/>
    <w:p>
      <w:pPr>
        <w:ind w:right="740"/>
        <w:spacing w:after="0" w:line="277" w:lineRule="auto"/>
        <w:rPr>
          <w:sz w:val="20"/>
          <w:szCs w:val="20"/>
          <w:color w:val="auto"/>
        </w:rPr>
      </w:pPr>
      <w:r>
        <w:rPr>
          <w:rFonts w:ascii="Arial" w:cs="Arial" w:eastAsia="Arial" w:hAnsi="Arial"/>
          <w:sz w:val="18"/>
          <w:szCs w:val="18"/>
          <w:color w:val="auto"/>
        </w:rPr>
        <w:t>Water Utility Services budgeted capital expenditures for 2022, excluding capital expenditures financed by customer contributions and advances is estimated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93"/>
              </w:rPr>
              <w:t>Budgeted Capital</w:t>
            </w:r>
          </w:p>
        </w:tc>
        <w:tc>
          <w:tcPr>
            <w:tcW w:w="800" w:type="dxa"/>
            <w:vAlign w:val="bottom"/>
          </w:tcPr>
          <w:p>
            <w:pPr>
              <w:spacing w:after="0"/>
              <w:rPr>
                <w:sz w:val="14"/>
                <w:szCs w:val="14"/>
                <w:color w:val="auto"/>
              </w:rPr>
            </w:pPr>
          </w:p>
        </w:tc>
      </w:tr>
      <w:tr>
        <w:trPr>
          <w:trHeight w:val="135"/>
        </w:trPr>
        <w:tc>
          <w:tcPr>
            <w:tcW w:w="7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0" w:type="dxa"/>
            <w:vAlign w:val="bottom"/>
            <w:gridSpan w:val="3"/>
          </w:tcPr>
          <w:p>
            <w:pPr>
              <w:jc w:val="center"/>
              <w:ind w:left="215"/>
              <w:spacing w:after="0" w:line="135" w:lineRule="exact"/>
              <w:rPr>
                <w:sz w:val="20"/>
                <w:szCs w:val="20"/>
                <w:color w:val="auto"/>
              </w:rPr>
            </w:pPr>
            <w:r>
              <w:rPr>
                <w:rFonts w:ascii="Arial" w:cs="Arial" w:eastAsia="Arial" w:hAnsi="Arial"/>
                <w:sz w:val="14"/>
                <w:szCs w:val="14"/>
                <w:b w:val="1"/>
                <w:bCs w:val="1"/>
                <w:color w:val="auto"/>
                <w:w w:val="92"/>
              </w:rPr>
              <w:t>Expenditures</w:t>
            </w:r>
          </w:p>
        </w:tc>
        <w:tc>
          <w:tcPr>
            <w:tcW w:w="800" w:type="dxa"/>
            <w:vAlign w:val="bottom"/>
          </w:tcPr>
          <w:p>
            <w:pPr>
              <w:spacing w:after="0"/>
              <w:rPr>
                <w:sz w:val="11"/>
                <w:szCs w:val="11"/>
                <w:color w:val="auto"/>
              </w:rPr>
            </w:pPr>
          </w:p>
        </w:tc>
      </w:tr>
      <w:tr>
        <w:trPr>
          <w:trHeight w:val="188"/>
        </w:trPr>
        <w:tc>
          <w:tcPr>
            <w:tcW w:w="794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215"/>
              <w:spacing w:after="0"/>
              <w:rPr>
                <w:sz w:val="20"/>
                <w:szCs w:val="20"/>
                <w:color w:val="auto"/>
              </w:rPr>
            </w:pPr>
            <w:r>
              <w:rPr>
                <w:rFonts w:ascii="Arial" w:cs="Arial" w:eastAsia="Arial" w:hAnsi="Arial"/>
                <w:sz w:val="14"/>
                <w:szCs w:val="14"/>
                <w:b w:val="1"/>
                <w:bCs w:val="1"/>
                <w:color w:val="auto"/>
                <w:w w:val="96"/>
              </w:rPr>
              <w:t>2022</w:t>
            </w:r>
          </w:p>
        </w:tc>
        <w:tc>
          <w:tcPr>
            <w:tcW w:w="800" w:type="dxa"/>
            <w:vAlign w:val="bottom"/>
            <w:tcBorders>
              <w:bottom w:val="single" w:sz="8" w:color="auto"/>
            </w:tcBorders>
          </w:tcPr>
          <w:p>
            <w:pPr>
              <w:spacing w:after="0"/>
              <w:rPr>
                <w:sz w:val="16"/>
                <w:szCs w:val="16"/>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treatment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Wastewater treatment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 of supply</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Reservoirs and tanks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15,165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 stations and equipment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Equipment and other</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25,465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3"/>
        </w:trPr>
        <w:tc>
          <w:tcPr>
            <w:tcW w:w="79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222,823</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7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2022 capital expenditures budget is concentrated in main replacements. Included in the distribution system budgeted capital expenditures of $128,592 is approximately $101,526 that is planned to be spent to replace Water Utility Services’ pipes and mains.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Water Utility Services’ capital expenditures are incurred in connection with normal upgrading and expansion of existing facilities and to comply with environmental regulations. Over the next five years, Water Utility Services expects to incur approximately $1,311,271 in capital expenditures. A significant portion of this amount is subject to future approval from the Regulators. Capital expenditures have the effect of increasing utility plant rate base on which Water Utility Services earns a return. Water Utility Services’ actual capital expenditures may vary from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56"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Flow from Financing Activities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2021, increased by approximately $31,300 from the same period in the prior year, primarily as a result of increase in cash proceeds from long-term debt issued in current year, cash proceeds from issuances of common stock, and increase in cash receipts of advances and contributions in aid of construction, partially offset by an decrease in the amount of net borrowings on our lines of credit and an increase in payments for dividends. SJW Group’s cash management policy includes the issuance of long-term debt to pay down borrowings on our lines of credit. As such, during years when long-term borrowings are high, borrowings on our line of credit tend to be low and when long-term borrowings are low, borrowings on our line of credit tend to be high.</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SJWC, CTWS and SJWTX, Inc. have unsecured bank lines of credit totaling $260,000 as of December 31, 2021. Drawdowns on our lines of credit are restricted by our funded debt not exceeding a percent of total capitalization as defined in our debt covenants. SJW Group expects to periodically draw down on its lines of credit as dictated by our funding needs and subsequently repay such borrowings with cash from operations and issuance of long-term debt or equity. See also “Sources of Capital” below.</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Sources of Capital</w:t>
      </w:r>
    </w:p>
    <w:p>
      <w:pPr>
        <w:spacing w:after="0" w:line="121" w:lineRule="exact"/>
        <w:rPr>
          <w:sz w:val="20"/>
          <w:szCs w:val="20"/>
          <w:color w:val="auto"/>
        </w:rPr>
      </w:pPr>
    </w:p>
    <w:p>
      <w:pPr>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SJW Group’s regulated operations ability to finance future construction programs and sustain dividend payments depends on its ability to maintain or increase internally generated funds and obtain external financing through the issuance of new long-term debt or issuance of equity. The level of future earnings and the related cash flow from operations is dependent, in large part, on the timing and outcome of regulatory proceedings. SJW Group’s regulated operations financing activity is designed to achieve capital structures consistent with regulatory guidelines in the locations where the companies operate. See current authorized capital structures in </w:t>
      </w:r>
      <w:hyperlink w:anchor="page3">
        <w:r>
          <w:rPr>
            <w:rFonts w:ascii="Arial" w:cs="Arial" w:eastAsia="Arial" w:hAnsi="Arial"/>
            <w:sz w:val="17"/>
            <w:szCs w:val="17"/>
            <w:u w:val="single" w:color="auto"/>
            <w:color w:val="0000FF"/>
          </w:rPr>
          <w:t>Item 1</w:t>
        </w:r>
      </w:hyperlink>
      <w:r>
        <w:rPr>
          <w:rFonts w:ascii="Arial" w:cs="Arial" w:eastAsia="Arial" w:hAnsi="Arial"/>
          <w:sz w:val="17"/>
          <w:szCs w:val="17"/>
          <w:color w:val="auto"/>
        </w:rPr>
        <w:t>, “Business” under “Regulation and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Short-term Financing Arrangements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SJW Group and its subsidiaries have unsecured line of credit agreements where borrowings are used to refinance existing debt, for working capital, and for general corporate purposes. A summary of the line of credit agreements as of December 31, 2021, and 2020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8"/>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Maturity Date</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Line Limit</w:t>
            </w: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 Outstanding</w:t>
            </w: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Amounts Outstanding</w:t>
            </w: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SJWC credit agreement (a)</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CTWS credit agreement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 14, 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22,996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52,004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55,094</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CTWS credit agreement</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May 15, 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SJWTX, Inc. credit agreement (b)</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 31, 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175,094</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Credit agreement also provides for a letter of credit sublimit of $15,000.</w:t>
      </w:r>
    </w:p>
    <w:p>
      <w:pPr>
        <w:spacing w:after="0" w:line="1" w:lineRule="exact"/>
        <w:rPr>
          <w:rFonts w:ascii="Arial" w:cs="Arial" w:eastAsia="Arial" w:hAnsi="Arial"/>
          <w:sz w:val="14"/>
          <w:szCs w:val="14"/>
          <w:color w:val="auto"/>
        </w:rPr>
      </w:pPr>
    </w:p>
    <w:p>
      <w:pPr>
        <w:ind w:left="640" w:hanging="632"/>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Credit agreement also provides for a letter of credit sublimit of $1,000.</w:t>
      </w:r>
    </w:p>
    <w:p>
      <w:pPr>
        <w:spacing w:after="0" w:line="10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April 23, 2021, SJWC closed its $140,000 line of credit agreement which was set to mature on June 1, 2021, and entered into a new $140,000 credit agreement (“SJWC Credit Agreement”) with JPMorgan Chase Bank, N.A., as the lender (the “Lender”). The SJWC Credit Agreement provides an unsecured credit facility with a letter of credit sublimit of $15,000. Proceeds of borrowings under the SJWC Credit Agreement may be used to refinance existing debt, for working capital, and for general corporate purposes. The new SJWC Credit Agreement has a maturity date of December 31, 2023. The line of credit bears interest at variable rates.</w:t>
      </w:r>
    </w:p>
    <w:p>
      <w:pPr>
        <w:spacing w:after="0" w:line="8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Also on April 23, 2021, SJW Group, as guarantor, and CLWSC closed its $5,000 line of credit agreement which was set to mature on June 1, 2021, and entered into a new $5,000 credit agreement (“SJWTX Credit Agreement”) with the Lender. The SJWTX Credit Agreement provides an unsecured credit facility with a letter of credit sublimit of $1,000. The new SJWTX Credit Agreement has a maturity date of December 31, 2023.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Cost of borrowing on the lines of credit averaged 1.32% and 1.78% as of December 31, 2021 and 2020, respectively.</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December 31, 2021, SJW Group and its subsidiaries were in compliance with all covenants on their lines of credit.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Long-term Financing Arrangements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 Group and its subsidiaries long-term debt activities are for purposes of refinancing short-term borrowings, funding capital expenditures and working capital, and repayments of maturing long-term debt. The following table summarizes the long-term debt issuances and repayments for the year ended December 31,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Issuance (Repayment)</w:t>
            </w: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Activity Date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r>
      <w:tr>
        <w:trPr>
          <w:trHeight w:val="216"/>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SJW Group:</w:t>
            </w: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Senior Note, Series A, 4.35%</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2021</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June 2021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SJWC:</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Senior Note, Series N, 3.30%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2021</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June 2051</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Note, Series O, 3.00%</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December 2021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2051</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CTWS:</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term loan, 4.09%</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2027</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Bank term loan, 4.15%</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w:t>
            </w:r>
          </w:p>
        </w:tc>
        <w:tc>
          <w:tcPr>
            <w:tcW w:w="16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August 2037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 Water:</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2021A Senior Note, 3.07%</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2021</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June 2051</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2021B Senior Note, 3.10%</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December 2021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2051</w:t>
            </w: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Connecticut Innovations Revenue Bonds, 5.00%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December 2021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2021</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SJWTX, Inc.:</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Bank term loan, 4.01%</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May 2021</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March 2041</w:t>
            </w: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term loan, 4.11%</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December 2021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2041</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Maine Water:</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 term loan, 3.89%</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2041</w:t>
            </w: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Senior Note, Series G, 3.89%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December 2021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December 2024</w:t>
            </w: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revolving fund loans, various series, 0.00%-2.58%</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2022-2041</w:t>
            </w:r>
          </w:p>
        </w:tc>
      </w:tr>
      <w:tr>
        <w:trPr>
          <w:trHeight w:val="223"/>
        </w:trPr>
        <w:tc>
          <w:tcPr>
            <w:tcW w:w="648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170,887</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December 31, 2021, SJW Group and its subsidiaries were in compliance with all covenants related to its long-term debt agreements.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March 8, 2021, SJW Group entered into an underwriting agreement with J.P. Morgan Securities LLC, as the representative of the several underwriters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named therein (the “Underwriters”), which provided for the issuance and sale by SJW Group to the Underwriters 1,030,000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 value $0.001 per share, in an underwritten public offering (the “Offering”). The shares in the Offering were sold at a public offering price of $59.00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SJW Group also granted the Underwriters an option to purchase up to 154,500 additional shares of common stock, which was exercised in full.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Offering closed on March 11, 2021, and the offering of option shares closed on March 16, 2021. SJW Group received net proceeds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$66,775 from the Offering and the sale of option shares, after deducting the underwriting discounts and commissions and offering expenses. SJW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the proceeds from the offerings to pay down a bank line of credit agreement, dated as of June 1, 2016, between SJWC and JPMorgan Chase Bank,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 and for general corporate purposes, which included, among other things, financing infrastructure improvements and other capital expenditures,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repayment of debt or other corporate obligations and working capital.</w:t>
      </w:r>
    </w:p>
    <w:p>
      <w:pPr>
        <w:spacing w:after="0" w:line="10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November 17, 2021, SJW Group entered into an equity distribution agreement (the “Equity Distribution Agreement”) with J.P. Morgan Securities LLC, Janney Montgomery Scott LLC, RBC Capital Markets, LLC and Wells Fargo Securities, LLC (each a “Sales Agent” and, collectively, the “Sales Agents”), pursuant to which the Company may offer and sell shares of its common stock, $0.001 par value per share (the “Shares”), from time to time in “at-the-market” offerings, having an aggregate gross sales price of up to $100,000. Pursuant to the Equity Distribution Agreement, the Shares may be offered and sold through the Sales Agents in transactions that are deemed to be “at-the-market” offerings as defined in Rule 415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ind w:right="60"/>
        <w:spacing w:after="0" w:line="272" w:lineRule="auto"/>
        <w:rPr>
          <w:sz w:val="20"/>
          <w:szCs w:val="20"/>
          <w:color w:val="auto"/>
        </w:rPr>
      </w:pPr>
      <w:r>
        <w:rPr>
          <w:rFonts w:ascii="Arial" w:cs="Arial" w:eastAsia="Arial" w:hAnsi="Arial"/>
          <w:sz w:val="17"/>
          <w:szCs w:val="17"/>
          <w:color w:val="auto"/>
        </w:rPr>
        <w:t>of 1933, as amended, including sales by means of ordinary brokers’ transactions on the New York Stock Exchange or otherwise at market prices prevailing at the time of sale, at prices related to the prevailing market prices or at negotiated prices, in block transactions, or as otherwise agreed upon by the Company and the Sales Agents. Proceeds from the sale of the shares under the Equity Distribution Agreement can be used in the financing of acquisitions, including the acquisition of the Kendall West and Bandera East utilities in Texas, infrastructure improvements and other capital expenditures, repayment of debt or other corporate obligations, and working capital over the term of the Equity Distribution Agreement as such needs arise. SJW Group issued and sold a total of 355,115 shares of common stock with a weighted average price of $70.40 per share and received approximately $24,253 in net proceeds under the Equity Distribution Agreement during the year ended December 31, 2021.</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Off-Balance Sheet Arrangement/Contractual Obligations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SJW Group has no significant contractual obligations not fully recorded on its Consolidated Balance Sheet or not fully disclosed in the Notes to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SJW Group’s contractual obligations and commitments as of December 31, 2021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Contractual Obligations Due in</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Less than</w:t>
            </w:r>
          </w:p>
        </w:tc>
        <w:tc>
          <w:tcPr>
            <w:tcW w:w="1140" w:type="dxa"/>
            <w:vAlign w:val="bottom"/>
          </w:tcPr>
          <w:p>
            <w:pPr>
              <w:jc w:val="right"/>
              <w:ind w:right="374"/>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5"/>
                <w:szCs w:val="15"/>
                <w:color w:val="auto"/>
              </w:rPr>
            </w:pPr>
          </w:p>
        </w:tc>
        <w:tc>
          <w:tcPr>
            <w:tcW w:w="1140" w:type="dxa"/>
            <w:vAlign w:val="bottom"/>
          </w:tcPr>
          <w:p>
            <w:pPr>
              <w:jc w:val="right"/>
              <w:ind w:right="373"/>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5"/>
                <w:szCs w:val="15"/>
                <w:color w:val="auto"/>
              </w:rPr>
            </w:pPr>
          </w:p>
        </w:tc>
        <w:tc>
          <w:tcPr>
            <w:tcW w:w="1120" w:type="dxa"/>
            <w:vAlign w:val="bottom"/>
          </w:tcPr>
          <w:p>
            <w:pPr>
              <w:jc w:val="right"/>
              <w:ind w:right="313"/>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1 Year</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1120" w:type="dxa"/>
            <w:vAlign w:val="bottom"/>
          </w:tcPr>
          <w:p>
            <w:pPr>
              <w:jc w:val="right"/>
              <w:ind w:right="25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Water Utility Services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607,700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Bank term loans, Water Utility Services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175,590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151,295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for construction, SJWC (1)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49,582</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line="176" w:lineRule="exact"/>
              <w:rPr>
                <w:sz w:val="20"/>
                <w:szCs w:val="20"/>
                <w:color w:val="auto"/>
              </w:rPr>
            </w:pPr>
            <w:r>
              <w:rPr>
                <w:rFonts w:ascii="Arial" w:cs="Arial" w:eastAsia="Arial" w:hAnsi="Arial"/>
                <w:sz w:val="18"/>
                <w:szCs w:val="18"/>
                <w:color w:val="auto"/>
                <w:w w:val="98"/>
              </w:rPr>
              <w:t>California Pollution Control Financing Authority Revenue Bonds,</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SJWC</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 Innovations Revenue Bonds, Connecticut Water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State revolving fund loans, Maine Water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17,264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SJW Group</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term loans, CTWS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cash obligation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1,588,815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1,453,063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interest on contractual obligations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931,511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60,017</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114,257</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109,242</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647,995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right="100" w:firstLine="8"/>
        <w:spacing w:after="0" w:line="255" w:lineRule="auto"/>
        <w:tabs>
          <w:tab w:leader="none" w:pos="2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of December 31, 2021, advances for construction was $130,693 of which $36,388 was related to non-refundable advances for construction and $28,445 was related to advances which are refundable based on service connections made.</w:t>
      </w:r>
    </w:p>
    <w:p>
      <w:pPr>
        <w:spacing w:after="0" w:line="82" w:lineRule="exact"/>
        <w:rPr>
          <w:sz w:val="20"/>
          <w:szCs w:val="20"/>
          <w:color w:val="auto"/>
        </w:rPr>
      </w:pPr>
    </w:p>
    <w:p>
      <w:pPr>
        <w:ind w:right="1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 regards to uncertain tax positions, we are unable to predict the timing of tax settlements as tax audits can involve complex issues and the resolution of those issues may span multiple years, particularly if subject to negotiation or litigation. For further discussion on uncertain tax positions, please see </w:t>
      </w:r>
      <w:hyperlink w:anchor="page71">
        <w:r>
          <w:rPr>
            <w:rFonts w:ascii="Arial" w:cs="Arial" w:eastAsia="Arial" w:hAnsi="Arial"/>
            <w:sz w:val="18"/>
            <w:szCs w:val="18"/>
            <w:u w:val="single" w:color="auto"/>
            <w:color w:val="0000FF"/>
          </w:rPr>
          <w:t>Note 7</w:t>
        </w:r>
      </w:hyperlink>
      <w:r>
        <w:rPr>
          <w:rFonts w:ascii="Arial" w:cs="Arial" w:eastAsia="Arial" w:hAnsi="Arial"/>
          <w:sz w:val="18"/>
          <w:szCs w:val="18"/>
          <w:color w:val="auto"/>
        </w:rPr>
        <w:t xml:space="preserve"> of “Notes to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Water Supply Agreements</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6"/>
          <w:szCs w:val="16"/>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2021, 2020 and 2019, SJWC purchased from Valley Water 19,365 million gallons ($91,938), 21,269 million gallons ($96,212)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21,862 million gallons ($96,285), respectively, of contract water. On June 24, 2021, Valley Water Board of Directors approved treated water deliveries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reflecting the contractual delivery schedule reduced by 23% through June 30, 2022. Effective February 1, 2022, the treated water contract delivery schedule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increase by 10%, and Valley Water will evaluate supply conditions and adjust the delivery schedules as appropriate. Based on current prices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estimated deliveries, SJWC is committed to purchase from Valley Water a minimum of 90% of the reduced delivery schedule, or 18,756 million gallons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($92,902) of water at the current contract water rate of $5.0 per million gallons in the year ending December 31, 2022. Additionally, SJWC purchases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water from Valley Water on an “as needed” basis if the water supply is available. The contract water rates for SJWC are determined by Valley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Water. These rates are adjusted periodically and coincide with Valley Water’s fiscal year, which ends on June 30. The contract water rate for Valley Water’s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years 2022, 2021 and 2020 was $5.0, $4.5 and $4.5 per million gallons, respectively. The contractual cost of the groundwater extraction charge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water pumped from the ground basin was $4.6, $4.2 and $4.2 per million gallons for Valley Water’s fiscal years 2022, 2021 and 2020, respectively.</w:t>
      </w:r>
    </w:p>
    <w:p>
      <w:pPr>
        <w:spacing w:after="0" w:line="1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SJWC also pumps water from the local groundwater basin. There are no delivery schedules or contractual obligations associated with the purchase of groundwater. Valley Water determines the groundwater extraction charge and it is applied on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per unit basis. In addition to the Valley Water groundwater extraction charge, SJWC also incurs power costs to pump the groundwater from the basin.</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Connecticut Water has an agreement with the RWA to purchase water. The agreement was signed in April 2006 and became effective upon the receipt of all regulatory approvals in 2008 and will remain in effect for a minimum of fifty years upon becoming effective. Connecticut Water will pay RWA $75 per year as part of a capacity agreement, for a total of 14 years, starting on the effective date of the agreement. In addition, Connecticut Water has the option, but is under no obligation, to purchase up to one million gallons of water per day at the then current wholesale rates per the agreement ($2.6 per million gallons as of December 31, 2021). Connecticut Water has an agreement with the MDC to purchase water from MDC to serve the Unionville system. The agreement became effective on October 6, 2000 and has a term of fifty years beginning May 19, 2003, the date the water supply facilities related to the agreement were placed in service. Connecticut Water has agreed to purchase 283 million gallons of water annually from MDC. The rate charged by the MDC at December 31, 2021 were $4.05 per hundred cubic feet.</w:t>
      </w:r>
    </w:p>
    <w:p>
      <w:pPr>
        <w:spacing w:after="0" w:line="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Maine Water has an agreement with the Kennebec Water District for potable water service. The agreement has been in place for 20 years and was extended on November 7, 2020 for a new term of up to 20 years. Maine Water guarantees a minimum consumption of 50 million gallons of water annually. Water sales to Maine Water are billed at a wholesale discount of $0.20 per hundred cubic feet of water below Kennebec Water District's tariffed rates. The current tariff rate wa</w:t>
      </w:r>
      <w:r>
        <w:rPr>
          <w:rFonts w:ascii="Arial" w:cs="Arial" w:eastAsia="Arial" w:hAnsi="Arial"/>
          <w:sz w:val="19"/>
          <w:szCs w:val="19"/>
          <w:color w:val="auto"/>
        </w:rPr>
        <w:t>s</w:t>
      </w:r>
      <w:r>
        <w:rPr>
          <w:rFonts w:ascii="Arial" w:cs="Arial" w:eastAsia="Arial" w:hAnsi="Arial"/>
          <w:sz w:val="18"/>
          <w:szCs w:val="18"/>
          <w:color w:val="auto"/>
        </w:rPr>
        <w:t xml:space="preserve"> $1.51 per hundred cubic feet as of December 31, 2021.</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CLWSC has long-term contracts with the GBRA. The agreements expire in 2037, 2040, 2044 and 2050. The agreements, which are take-or-pay contracts, provide CLWSC with 7,650 acre-feet per year of water supply from Canyon Lake. The water rate may be adjusted by GBRA at any time, provided GBRA gives CLWSC a 60-day written notice on the proposed adjustment. CLWSC also has raw water supply agreements with the LCRA and WTPUA expiring in 2059 and 2046, respectively, for 250 acre-feet of water per each agreement per year from Lake Austin and the Colorado River, respectively, at prices that may be adjusted periodically by the agencies.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Benefit Arrangements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SJWC and CTWS sponsor noncontributory defined benefit pension plans and provide health care and life insurance benefits for retired employees. In 2021, SJWC and CTWS contributed $13,147 and $669 to the pension plans and other postretirement benefit plans, respectively. In 2022, SJWC and CTWS expect to make required and discretionary cash contributions of up to $8,820 to the pension plans and other postretirement benefit plans. The amount of required contributions for years thereafter is not actuarially determinable.</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SJWC’s other benefit obligations include employees’ and directors’ postretirement benefits, an Executive Supplemental Retirement Plan, Cash Balance Executive Supplemental Retirement Plan, Special Deferral Election Plan and Deferral Election Program for non-employee directors. Under these benefit plans, SJWC is committed to pay approximately $498 annually to former officers and directors. Future payments may fluctuate depending on the life span of the retirees and as current officers and executives retire.</w:t>
      </w:r>
    </w:p>
    <w:p>
      <w:pPr>
        <w:spacing w:after="0" w:line="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CTWS’s other benefit obligations include employees’ postretirement benefits, supplemental executive retirement agreements and deferred compensation agreements and plan. Future payments may fluctuate depending on the contribution rates of employees into the deferred compensation plan and the life span of the retirees and as current officers and executives retire. Under these benefit plans, CTWS is committed to pay approximately $846 annually to former officers and directors.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Recently Adopted Accounting Policies and New Accounting Pronouncements</w:t>
      </w:r>
    </w:p>
    <w:p>
      <w:pPr>
        <w:spacing w:after="0" w:line="121" w:lineRule="exact"/>
        <w:rPr>
          <w:sz w:val="20"/>
          <w:szCs w:val="20"/>
          <w:color w:val="auto"/>
        </w:rPr>
      </w:pPr>
    </w:p>
    <w:p>
      <w:pPr>
        <w:ind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8">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Consolidated Financial Statements” for a discussion of recently adopted accounting policies and new accounting pronouncements for the year ended December 31, 2021.</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SJWC and Connecticut Water sponsor noncontributory pension plans for its employees. Pension costs and the funded status of the plans are affected by a number of factors including the discount rate, mortality rates of plan participants, investment returns on plan assets, and pension reform legislation.</w:t>
      </w:r>
    </w:p>
    <w:p>
      <w:pPr>
        <w:spacing w:after="0" w:line="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8" w:name="page49"/>
    <w:bookmarkEnd w:id="48"/>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SJW Group: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have audited the accompanying consolidated balance sheets of SJW Group and subsidiaries (the “Company”) as of December 31, 2021 and 2020, the related consolidated statements of comprehensive income, changes in stockholders’ equity, and cash flows, for each of the two years in the period ended December 31, 2021, and the related notes and the schedules listed in the Index at Item 15 (collectively referred to as the “financial statements”). We have also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COSO.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9" w:name="page50"/>
    <w:bookmarkEnd w:id="49"/>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76" w:lineRule="exact"/>
        <w:rPr>
          <w:sz w:val="20"/>
          <w:szCs w:val="20"/>
          <w:color w:val="auto"/>
        </w:rPr>
      </w:pPr>
    </w:p>
    <w:p>
      <w:pPr>
        <w:ind w:right="3500"/>
        <w:spacing w:after="0" w:line="377" w:lineRule="auto"/>
        <w:rPr>
          <w:sz w:val="20"/>
          <w:szCs w:val="20"/>
          <w:color w:val="auto"/>
        </w:rPr>
      </w:pPr>
      <w:r>
        <w:rPr>
          <w:rFonts w:ascii="Arial" w:cs="Arial" w:eastAsia="Arial" w:hAnsi="Arial"/>
          <w:sz w:val="18"/>
          <w:szCs w:val="18"/>
          <w:b w:val="1"/>
          <w:bCs w:val="1"/>
          <w:color w:val="auto"/>
        </w:rPr>
        <w:t xml:space="preserve">Impact of Rate Regulation on the Financial Statements — Refer to Note 3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is subject to rate regulation by state utility regulatory agencies (the “Commissions”), which have jurisdiction with respect to the rates of the Company’s water and wastewater services.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depreciable utility plant; regulatory assets and liabilities; operating revenues; operation and maintenance expense; and depreciation expense.</w:t>
      </w:r>
    </w:p>
    <w:p>
      <w:pPr>
        <w:spacing w:after="0" w:line="6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Commissions establish rates for the purpose of permitting the recovery of the cost of service and a return on investment. The Company’s rates are subject to regulatory ratemaking processes. The Company records deferred costs and credits on the balance sheet as regulatory assets and liabilities when it is probable that these costs and credits will be recognized in the ratemaking process in a period different from when the costs and credits are incurred. Accounting for such costs and credits is based on management’s judgment and prior historical ratemaking practices, and it occurs when management determines that it is probable that these costs and credits will be recognized in the future revenue of the Company through the ratemaking process.</w:t>
      </w:r>
    </w:p>
    <w:p>
      <w:pPr>
        <w:spacing w:after="0" w:line="5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identified the impact of rate regulation as a critical audit matter due to the significant judgments that underlie the Company’s financial statement line items and disclosure impacted by rate regulation and the high degree of subjectivity involved in assessing the impact of regulatory decisions on the financial statements. Management judgments include assessing the probability of (1) recovery in future rates of incurred costs and (2) the requirement to refund amounts to customers. Given that management’s accounting judgements are based on consideration of evidence, such as regulatory rules and decisions, past practice, and other facts and circumstances, and uncertain outcome of future regulatory decisions, auditing these judgements required specialized knowledge of accounting for rate regulation and the rate setting process due its inherent complexities and pervasive impact on the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audit procedures related to the consideration of evidence, such as regulatory rules and decisions, past practices, and other facts and circumstances, and the uncertain outcome of future regulatory decisions, that may impact the Company’s financial statement line items and disclosures impacted by rate regulation, among others:</w:t>
      </w:r>
    </w:p>
    <w:p>
      <w:pPr>
        <w:spacing w:after="0" w:line="76" w:lineRule="exact"/>
        <w:rPr>
          <w:sz w:val="20"/>
          <w:szCs w:val="20"/>
          <w:color w:val="auto"/>
        </w:rPr>
      </w:pPr>
    </w:p>
    <w:p>
      <w:pPr>
        <w:ind w:left="660" w:right="6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initial recognition of amounts as utility plant and regulatory assets or liabilities and the evaluation of the probability of (1) the recovery in future rates of costs incurred as utility plant and deferred as regulatory assets, and (2) a refund or a future reduction in rates that should be reported as regulatory liabilities. We also tested the effectiveness of management’s controls over the monitoring and evaluation of regulatory developments that may affect the probability of recovering costs in future rates or of a future reduction in rates.</w:t>
      </w:r>
    </w:p>
    <w:p>
      <w:pPr>
        <w:spacing w:after="0" w:line="79"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read regulatory orders issued by the Commissions to the Company, regulatory statutes, interpretations, procedural memorandums, filings made by interveners, and other publicly available information to evaluate management’s determination of the accounting impacts of any new or revised regulatory decisions and their impact on measurement of related regulatory assets and liabilities.</w:t>
      </w:r>
    </w:p>
    <w:p>
      <w:pPr>
        <w:spacing w:after="0" w:line="57" w:lineRule="exact"/>
        <w:rPr>
          <w:rFonts w:ascii="Arial" w:cs="Arial" w:eastAsia="Arial" w:hAnsi="Arial"/>
          <w:sz w:val="17"/>
          <w:szCs w:val="17"/>
          <w:color w:val="auto"/>
        </w:rPr>
      </w:pPr>
    </w:p>
    <w:p>
      <w:pPr>
        <w:ind w:left="660" w:right="6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obtained supporting documentation from management regarding the evidence, such as regulatory rules and decisions, past practices, and other facts and circumstances, used in the measurement of regulatory assets and liabilities for compliance with the related orders. We reconciled the underlying data or inputs used in the measurement to rate decisions approved by the Commissions and tested the mathematical accuracy of the calculations.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50" w:name="page51"/>
    <w:bookmarkEnd w:id="50"/>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evaluated the Company’s disclosures related to the impacts of rate regulation, including the balances recorded, and regulatory developments, were appropriate and consistent with the information obtained in our procedures.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24" w:right="519" w:bottom="1440" w:gutter="0" w:footer="0" w:header="0"/>
        </w:sectPr>
      </w:pPr>
    </w:p>
    <w:bookmarkStart w:id="51" w:name="page52"/>
    <w:bookmarkEnd w:id="51"/>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SJW Group: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audited the accompanying consolidated statements of comprehensive income, changes in stockholders’ equity, and cash flows of SJW Group and subsidiaries (the “Company”) for the year ended December 31, 2019, and the related notes and financial statement schedules listed in the Index at Item 15 (collectively, the consolidated financial statements). In our opinion, the consolidated financial statements present fairly, in all material respects, the results of its operations and its cash flows for the years ended December 31, 2019, in conformity with U.S. generally accepted accounting principles.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1933 to 2020.</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 except for Schedule I, as to which the date is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Utility plant: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36,845</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Depreciable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3,381,908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3,198,060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3,633,615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3,380,048</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1,136,116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1,045,136</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2,497,499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2,334,912</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Real estate investments and nonutilty properties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58,129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60" w:type="dxa"/>
            <w:vAlign w:val="bottom"/>
          </w:tcPr>
          <w:p>
            <w:pPr>
              <w:ind w:left="360"/>
              <w:spacing w:after="0" w:line="176" w:lineRule="exact"/>
              <w:rPr>
                <w:sz w:val="20"/>
                <w:szCs w:val="20"/>
                <w:color w:val="auto"/>
              </w:rPr>
            </w:pPr>
            <w:r>
              <w:rPr>
                <w:rFonts w:ascii="Arial" w:cs="Arial" w:eastAsia="Arial" w:hAnsi="Arial"/>
                <w:sz w:val="18"/>
                <w:szCs w:val="18"/>
                <w:color w:val="auto"/>
              </w:rPr>
              <w:t>Customers, net of allowances for uncollectible accounts of $4,600 and $3,891 in 2021 and 2020,</w:t>
            </w:r>
          </w:p>
        </w:tc>
        <w:tc>
          <w:tcPr>
            <w:tcW w:w="3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53,699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utility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44,950</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Current regulatory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regulatory assets,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156,482</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628,144</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805,876</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3,492,395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Capitalization and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Capitalization: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40" w:type="dxa"/>
            <w:vAlign w:val="bottom"/>
          </w:tcPr>
          <w:p>
            <w:pPr>
              <w:ind w:left="360"/>
              <w:spacing w:after="0" w:line="176" w:lineRule="exact"/>
              <w:rPr>
                <w:sz w:val="20"/>
                <w:szCs w:val="20"/>
                <w:color w:val="auto"/>
              </w:rPr>
            </w:pPr>
            <w:r>
              <w:rPr>
                <w:rFonts w:ascii="Arial" w:cs="Arial" w:eastAsia="Arial" w:hAnsi="Arial"/>
                <w:sz w:val="18"/>
                <w:szCs w:val="18"/>
                <w:color w:val="auto"/>
                <w:w w:val="89"/>
              </w:rPr>
              <w:t>Common stock, $0.001 par value; authorized 70,000,000 shares in 2021 and 2020; issued and outstanding</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30,181,348 shares in 2021 and 28,556,605 shares in 2020</w:t>
            </w:r>
          </w:p>
        </w:tc>
        <w:tc>
          <w:tcPr>
            <w:tcW w:w="3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428,260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408,037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1,034,519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917,160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1,492,935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1,287,580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2,527,454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2,204,740</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Lines of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62,996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175,094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76,241</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Accrued groundwater extraction charges, purchased water and power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19,184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payroll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203,271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350,795</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200,451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191,415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Advances for construction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125,027</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Contributions in aid of construction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316,479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296,105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 benefit plans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121,597</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3,492,395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3,311,465</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(in thousands, except share and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573,686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564,526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420,482</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Operating expense: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Purchased water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98,231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100,723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99,118</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Power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Groundwater extraction charges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75,866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71,359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43,917</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production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25,291</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Total production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229,083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225,792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175,769</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and general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66,301</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22,158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taxes and other non-income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94,400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89,279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65,592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nonutility properties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Impairment of long-lived asset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Merger related expenses</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operating expense</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462,527</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446,856</w:t>
            </w:r>
          </w:p>
        </w:tc>
        <w:tc>
          <w:tcPr>
            <w:tcW w:w="12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363,003</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57,479</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long-term debt, mortgage and other interest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Pension non-service cost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Texas Water Alliance (“TWA”)</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Gain on sale of real estate investments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on money market fund</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32,081</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before noncontrolling interest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23,627</w:t>
            </w:r>
          </w:p>
        </w:tc>
        <w:tc>
          <w:tcPr>
            <w:tcW w:w="0" w:type="dxa"/>
            <w:vAlign w:val="bottom"/>
          </w:tcPr>
          <w:p>
            <w:pPr>
              <w:spacing w:after="0"/>
              <w:rPr>
                <w:sz w:val="1"/>
                <w:szCs w:val="1"/>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Less net income attributable to the noncontrolling interest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SJW Group net income</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60,478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23,403</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Unrealized gain (loss) on investment, net of taxes of $68 in 2021, $247 in 2020 and</w:t>
            </w: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$43 in 2019</w:t>
            </w: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140"/>
              <w:spacing w:after="0" w:line="176" w:lineRule="exact"/>
              <w:rPr>
                <w:sz w:val="20"/>
                <w:szCs w:val="20"/>
                <w:color w:val="auto"/>
              </w:rPr>
            </w:pPr>
            <w:r>
              <w:rPr>
                <w:rFonts w:ascii="Arial" w:cs="Arial" w:eastAsia="Arial" w:hAnsi="Arial"/>
                <w:sz w:val="18"/>
                <w:szCs w:val="18"/>
                <w:color w:val="auto"/>
                <w:w w:val="91"/>
              </w:rPr>
              <w:t>Adjustment to pension benefit plans, net of taxes of $264 in 2021, $(324) in 2020 and</w:t>
            </w: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$22 in 2019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SJW Group 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60,325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SJW Group 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29,601,284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28,521,900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28,443,052</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29,735,533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28,694,986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28,562,546</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16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Additional</w:t>
            </w: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Other</w:t>
            </w: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2"/>
            <w:vMerge w:val="continue"/>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380" w:type="dxa"/>
            <w:vAlign w:val="bottom"/>
            <w:gridSpan w:val="2"/>
            <w:vMerge w:val="continue"/>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Earnings</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28,404,316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495,366</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393,918</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889,312</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23,403</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23,627</w:t>
            </w: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Cumulative effect of change in accounting</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principle, net of tax effect of $33</w:t>
            </w: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Distribution to noncontrolling interest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Unrealized income on investment, net of tax</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$43</w:t>
            </w: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rPr>
              <w:t>Adjustment to pension benefit plans, net of</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taxes of $22</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w w:val="92"/>
              </w:rPr>
              <w:t>Share-based compensation related to business</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6,384</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6,384</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combination</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Issuance of restricted and deferred 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Employee stock purchase plan</w:t>
            </w:r>
          </w:p>
        </w:tc>
        <w:tc>
          <w:tcPr>
            <w:tcW w:w="960" w:type="dxa"/>
            <w:vAlign w:val="bottom"/>
          </w:tcPr>
          <w:p>
            <w:pPr>
              <w:jc w:val="right"/>
              <w:spacing w:after="0"/>
              <w:rPr>
                <w:sz w:val="20"/>
                <w:szCs w:val="20"/>
                <w:color w:val="auto"/>
              </w:rPr>
            </w:pPr>
            <w:r>
              <w:rPr>
                <w:rFonts w:ascii="Arial" w:cs="Arial" w:eastAsia="Arial" w:hAnsi="Arial"/>
                <w:sz w:val="14"/>
                <w:szCs w:val="14"/>
                <w:color w:val="auto"/>
              </w:rPr>
              <w:t>30,283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issued, net of costs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Dividends paid ($1.20 per share)</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(34,134)</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(34,134)</w:t>
            </w:r>
          </w:p>
        </w:tc>
        <w:tc>
          <w:tcPr>
            <w:tcW w:w="0" w:type="dxa"/>
            <w:vAlign w:val="bottom"/>
          </w:tcPr>
          <w:p>
            <w:pPr>
              <w:spacing w:after="0"/>
              <w:rPr>
                <w:sz w:val="1"/>
                <w:szCs w:val="1"/>
                <w:color w:val="auto"/>
              </w:rPr>
            </w:pPr>
          </w:p>
        </w:tc>
      </w:tr>
      <w:tr>
        <w:trPr>
          <w:trHeight w:val="18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2019</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28,456,508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506,639</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383,191</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889,984</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61,515</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61,515</w:t>
            </w: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Unrealized loss on investment, net of tax</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$247</w:t>
            </w: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rPr>
              <w:t>Adjustment to pension benefit plans, net of</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taxes of $(324)</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w w:val="94"/>
              </w:rPr>
              <w:t>Issuance of restricted and deferred stock units</w:t>
            </w:r>
          </w:p>
        </w:tc>
        <w:tc>
          <w:tcPr>
            <w:tcW w:w="960" w:type="dxa"/>
            <w:vAlign w:val="bottom"/>
          </w:tcPr>
          <w:p>
            <w:pPr>
              <w:jc w:val="right"/>
              <w:spacing w:after="0"/>
              <w:rPr>
                <w:sz w:val="20"/>
                <w:szCs w:val="20"/>
                <w:color w:val="auto"/>
              </w:rPr>
            </w:pPr>
            <w:r>
              <w:rPr>
                <w:rFonts w:ascii="Arial" w:cs="Arial" w:eastAsia="Arial" w:hAnsi="Arial"/>
                <w:sz w:val="14"/>
                <w:szCs w:val="14"/>
                <w:color w:val="auto"/>
              </w:rPr>
              <w:t>68,347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(1,864)</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purchase plan</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Dividends paid ($1.28 per share)</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(36,509)</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(36,509)</w:t>
            </w:r>
          </w:p>
        </w:tc>
        <w:tc>
          <w:tcPr>
            <w:tcW w:w="0" w:type="dxa"/>
            <w:vAlign w:val="bottom"/>
          </w:tcPr>
          <w:p>
            <w:pPr>
              <w:spacing w:after="0"/>
              <w:rPr>
                <w:sz w:val="1"/>
                <w:szCs w:val="1"/>
                <w:color w:val="auto"/>
              </w:rPr>
            </w:pPr>
          </w:p>
        </w:tc>
      </w:tr>
      <w:tr>
        <w:trPr>
          <w:trHeight w:val="18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28,556,605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510,158</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408,037</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917,160</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60,478</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60,478</w:t>
            </w:r>
          </w:p>
        </w:tc>
        <w:tc>
          <w:tcPr>
            <w:tcW w:w="0" w:type="dxa"/>
            <w:vAlign w:val="bottom"/>
          </w:tcPr>
          <w:p>
            <w:pPr>
              <w:spacing w:after="0"/>
              <w:rPr>
                <w:sz w:val="1"/>
                <w:szCs w:val="1"/>
                <w:color w:val="auto"/>
              </w:rPr>
            </w:pPr>
          </w:p>
        </w:tc>
      </w:tr>
      <w:tr>
        <w:trPr>
          <w:trHeight w:val="138"/>
        </w:trPr>
        <w:tc>
          <w:tcPr>
            <w:tcW w:w="28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Unrealized gain on investment, net of tax</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$68</w:t>
            </w:r>
          </w:p>
        </w:tc>
        <w:tc>
          <w:tcPr>
            <w:tcW w:w="10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Arial" w:cs="Arial" w:eastAsia="Arial" w:hAnsi="Arial"/>
                <w:sz w:val="14"/>
                <w:szCs w:val="14"/>
                <w:color w:val="auto"/>
              </w:rPr>
              <w:t>Adjustment to pension benefit plans, net of</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taxes of $264</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4,128</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w w:val="94"/>
              </w:rPr>
              <w:t>Issuance of restricted and deferred stock units</w:t>
            </w:r>
          </w:p>
        </w:tc>
        <w:tc>
          <w:tcPr>
            <w:tcW w:w="960" w:type="dxa"/>
            <w:vAlign w:val="bottom"/>
          </w:tcPr>
          <w:p>
            <w:pPr>
              <w:jc w:val="right"/>
              <w:spacing w:after="0"/>
              <w:rPr>
                <w:sz w:val="20"/>
                <w:szCs w:val="20"/>
                <w:color w:val="auto"/>
              </w:rPr>
            </w:pPr>
            <w:r>
              <w:rPr>
                <w:rFonts w:ascii="Arial" w:cs="Arial" w:eastAsia="Arial" w:hAnsi="Arial"/>
                <w:sz w:val="14"/>
                <w:szCs w:val="14"/>
                <w:color w:val="auto"/>
              </w:rPr>
              <w:t>49,824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stock purchase plan</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35,304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86"/>
        </w:trPr>
        <w:tc>
          <w:tcPr>
            <w:tcW w:w="2860" w:type="dxa"/>
            <w:vAlign w:val="bottom"/>
          </w:tcPr>
          <w:p>
            <w:pPr>
              <w:ind w:left="140"/>
              <w:spacing w:after="0"/>
              <w:rPr>
                <w:sz w:val="20"/>
                <w:szCs w:val="20"/>
                <w:color w:val="auto"/>
              </w:rPr>
            </w:pPr>
            <w:r>
              <w:rPr>
                <w:rFonts w:ascii="Arial" w:cs="Arial" w:eastAsia="Arial" w:hAnsi="Arial"/>
                <w:sz w:val="14"/>
                <w:szCs w:val="14"/>
                <w:color w:val="auto"/>
              </w:rPr>
              <w:t>Common stock issuance, net of costs</w:t>
            </w:r>
          </w:p>
        </w:tc>
        <w:tc>
          <w:tcPr>
            <w:tcW w:w="960" w:type="dxa"/>
            <w:vAlign w:val="bottom"/>
          </w:tcPr>
          <w:p>
            <w:pPr>
              <w:jc w:val="right"/>
              <w:spacing w:after="0"/>
              <w:rPr>
                <w:sz w:val="20"/>
                <w:szCs w:val="20"/>
                <w:color w:val="auto"/>
              </w:rPr>
            </w:pPr>
            <w:r>
              <w:rPr>
                <w:rFonts w:ascii="Arial" w:cs="Arial" w:eastAsia="Arial" w:hAnsi="Arial"/>
                <w:sz w:val="14"/>
                <w:szCs w:val="14"/>
                <w:color w:val="auto"/>
              </w:rPr>
              <w:t>1,539,615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91,028</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91,029</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 ($1.36 per share)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(40,137)</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(40,137)</w:t>
            </w:r>
          </w:p>
        </w:tc>
        <w:tc>
          <w:tcPr>
            <w:tcW w:w="0" w:type="dxa"/>
            <w:vAlign w:val="bottom"/>
          </w:tcPr>
          <w:p>
            <w:pPr>
              <w:spacing w:after="0"/>
              <w:rPr>
                <w:sz w:val="1"/>
                <w:szCs w:val="1"/>
                <w:color w:val="auto"/>
              </w:rPr>
            </w:pPr>
          </w:p>
        </w:tc>
      </w:tr>
      <w:tr>
        <w:trPr>
          <w:trHeight w:val="17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Balances, December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30,181,348</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606,392</w:t>
            </w:r>
          </w:p>
        </w:tc>
        <w:tc>
          <w:tcPr>
            <w:tcW w:w="1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428,260</w:t>
            </w:r>
          </w:p>
        </w:tc>
        <w:tc>
          <w:tcPr>
            <w:tcW w:w="10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1,034,519</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Net income before noncontrolling interest</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60,478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61,515</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23,627</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96,474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91,622</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68,489</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(5,497)</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Share-based compensation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4,246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3,553</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3,406</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sale of TWA, real estate investments and nonutility properties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Allowance for equity funds used during construction</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long-lived asset</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2,211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 net of acquired assets and liabilities: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and accrued unbilled utility revenue</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(18,918)</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w:t>
            </w: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Accounts payable and other current liabilities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4,843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1,946</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groundwater extraction charges, purchased water and power</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Tax receivable and accrued taxes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(6,416)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(3,557)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(6,044)</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Postretirement benefits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35"/>
        </w:trPr>
        <w:tc>
          <w:tcPr>
            <w:tcW w:w="6400" w:type="dxa"/>
            <w:vAlign w:val="bottom"/>
          </w:tcPr>
          <w:p>
            <w:pPr>
              <w:ind w:left="360"/>
              <w:spacing w:after="0" w:line="135" w:lineRule="exact"/>
              <w:rPr>
                <w:sz w:val="20"/>
                <w:szCs w:val="20"/>
                <w:color w:val="auto"/>
              </w:rPr>
            </w:pPr>
            <w:r>
              <w:rPr>
                <w:rFonts w:ascii="Arial" w:cs="Arial" w:eastAsia="Arial" w:hAnsi="Arial"/>
                <w:sz w:val="14"/>
                <w:szCs w:val="14"/>
                <w:color w:val="auto"/>
                <w:w w:val="97"/>
              </w:rPr>
              <w:t>Regulatory assets and liabilities excluding income tax temporary differences, net and postretirement</w:t>
            </w:r>
          </w:p>
        </w:tc>
        <w:tc>
          <w:tcPr>
            <w:tcW w:w="9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(14,629)</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(14,459)</w:t>
            </w:r>
          </w:p>
        </w:tc>
        <w:tc>
          <w:tcPr>
            <w:tcW w:w="12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30,838</w:t>
            </w: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benefits</w:t>
            </w:r>
          </w:p>
        </w:tc>
        <w:tc>
          <w:tcPr>
            <w:tcW w:w="9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Up-front service concession payment</w:t>
            </w:r>
          </w:p>
        </w:tc>
        <w:tc>
          <w:tcPr>
            <w:tcW w:w="9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1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Other noncurrent assets and noncurrent liabilities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13,381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changes, net</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(2,413)</w:t>
            </w:r>
          </w:p>
        </w:tc>
        <w:tc>
          <w:tcPr>
            <w:tcW w:w="12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7,469</w:t>
            </w:r>
          </w:p>
        </w:tc>
        <w:tc>
          <w:tcPr>
            <w:tcW w:w="0" w:type="dxa"/>
            <w:vAlign w:val="bottom"/>
          </w:tcPr>
          <w:p>
            <w:pPr>
              <w:spacing w:after="0"/>
              <w:rPr>
                <w:sz w:val="1"/>
                <w:szCs w:val="1"/>
                <w:color w:val="auto"/>
              </w:rPr>
            </w:pPr>
          </w:p>
        </w:tc>
      </w:tr>
      <w:tr>
        <w:trPr>
          <w:trHeight w:val="17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9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130,040</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104,051</w:t>
            </w:r>
          </w:p>
        </w:tc>
        <w:tc>
          <w:tcPr>
            <w:tcW w:w="1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130,005</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Additions to utility plant:</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Company-funded</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(233,933)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(195,323)</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(164,325)</w:t>
            </w:r>
          </w:p>
        </w:tc>
        <w:tc>
          <w:tcPr>
            <w:tcW w:w="0" w:type="dxa"/>
            <w:vAlign w:val="bottom"/>
          </w:tcPr>
          <w:p>
            <w:pPr>
              <w:spacing w:after="0"/>
              <w:rPr>
                <w:sz w:val="1"/>
                <w:szCs w:val="1"/>
                <w:color w:val="auto"/>
              </w:rPr>
            </w:pPr>
          </w:p>
        </w:tc>
      </w:tr>
      <w:tr>
        <w:trPr>
          <w:trHeight w:val="186"/>
        </w:trPr>
        <w:tc>
          <w:tcPr>
            <w:tcW w:w="6400" w:type="dxa"/>
            <w:vAlign w:val="bottom"/>
          </w:tcPr>
          <w:p>
            <w:pPr>
              <w:ind w:left="360"/>
              <w:spacing w:after="0"/>
              <w:rPr>
                <w:sz w:val="20"/>
                <w:szCs w:val="20"/>
                <w:color w:val="auto"/>
              </w:rPr>
            </w:pPr>
            <w:r>
              <w:rPr>
                <w:rFonts w:ascii="Arial" w:cs="Arial" w:eastAsia="Arial" w:hAnsi="Arial"/>
                <w:sz w:val="14"/>
                <w:szCs w:val="14"/>
                <w:color w:val="auto"/>
              </w:rPr>
              <w:t>Contributions in aid of construction</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(17,096)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(17,096)</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(13,563)</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to real estate investment</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Payments for business/asset acquisitions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(23,587)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(835,465)</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to retire utility plant, net of salvage</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(5,026)</w:t>
            </w: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TWA, real estate investments and nonutility properties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18,228</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8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(259,995)</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(214,259)</w:t>
            </w:r>
          </w:p>
        </w:tc>
        <w:tc>
          <w:tcPr>
            <w:tcW w:w="12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(1,017,771)</w:t>
            </w: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Borrowings from lines of credit</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96,625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276,174</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105,349</w:t>
            </w: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Repayments of lines of credit</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(208,722)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(218,289)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(192,055)</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247,000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590,000</w:t>
            </w: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Long-term borrowings held as restricted cash</w:t>
            </w:r>
          </w:p>
        </w:tc>
        <w:tc>
          <w:tcPr>
            <w:tcW w:w="920" w:type="dxa"/>
            <w:vAlign w:val="bottom"/>
          </w:tcPr>
          <w:p>
            <w:pPr>
              <w:spacing w:after="0"/>
              <w:rPr>
                <w:sz w:val="16"/>
                <w:szCs w:val="16"/>
                <w:color w:val="auto"/>
              </w:rPr>
            </w:pPr>
          </w:p>
        </w:tc>
        <w:tc>
          <w:tcPr>
            <w:tcW w:w="1640" w:type="dxa"/>
            <w:vAlign w:val="bottom"/>
            <w:gridSpan w:val="3"/>
          </w:tcPr>
          <w:p>
            <w:pPr>
              <w:jc w:val="right"/>
              <w:ind w:right="1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long-term borrowings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(40,137)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(36,509)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(34,134)</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Receipts of advances and contributions in aid of construction</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26,438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23,874</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18,904</w:t>
            </w: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Refunds of advances for construction</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(2,767)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net of issuance costs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91,028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changes, net</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86"/>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132,805</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101,533</w:t>
            </w:r>
          </w:p>
        </w:tc>
        <w:tc>
          <w:tcPr>
            <w:tcW w:w="12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484,988</w:t>
            </w:r>
          </w:p>
        </w:tc>
        <w:tc>
          <w:tcPr>
            <w:tcW w:w="0" w:type="dxa"/>
            <w:vAlign w:val="bottom"/>
          </w:tcPr>
          <w:p>
            <w:pPr>
              <w:spacing w:after="0"/>
              <w:rPr>
                <w:sz w:val="1"/>
                <w:szCs w:val="1"/>
                <w:color w:val="auto"/>
              </w:rPr>
            </w:pPr>
          </w:p>
        </w:tc>
      </w:tr>
      <w:tr>
        <w:trPr>
          <w:trHeight w:val="179"/>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Net change in cash, cash equivalents and restricted cash</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2,850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(8,675)</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(402,778)</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beginning of year</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9,269</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17,944</w:t>
            </w:r>
          </w:p>
        </w:tc>
        <w:tc>
          <w:tcPr>
            <w:tcW w:w="12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420,722</w:t>
            </w:r>
          </w:p>
        </w:tc>
        <w:tc>
          <w:tcPr>
            <w:tcW w:w="0" w:type="dxa"/>
            <w:vAlign w:val="bottom"/>
          </w:tcPr>
          <w:p>
            <w:pPr>
              <w:spacing w:after="0"/>
              <w:rPr>
                <w:sz w:val="1"/>
                <w:szCs w:val="1"/>
                <w:color w:val="auto"/>
              </w:rPr>
            </w:pPr>
          </w:p>
        </w:tc>
      </w:tr>
      <w:tr>
        <w:trPr>
          <w:trHeight w:val="179"/>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year</w:t>
            </w:r>
          </w:p>
        </w:tc>
        <w:tc>
          <w:tcPr>
            <w:tcW w:w="9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12,119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9,269</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17,944</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Less restricted cash, end of year</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2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79"/>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year</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10,908</w:t>
            </w: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5,269</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12,944</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Cash paid during the year for:</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58,175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59,955</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32,138</w:t>
            </w: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8,466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10,380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16,448</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400" w:type="dxa"/>
            <w:vAlign w:val="bottom"/>
          </w:tcPr>
          <w:p>
            <w:pPr>
              <w:ind w:left="140"/>
              <w:spacing w:after="0"/>
              <w:rPr>
                <w:sz w:val="20"/>
                <w:szCs w:val="20"/>
                <w:color w:val="auto"/>
              </w:rPr>
            </w:pPr>
            <w:r>
              <w:rPr>
                <w:rFonts w:ascii="Arial" w:cs="Arial" w:eastAsia="Arial" w:hAnsi="Arial"/>
                <w:sz w:val="14"/>
                <w:szCs w:val="14"/>
                <w:color w:val="auto"/>
              </w:rPr>
              <w:t>(Decrease) Increase in accrued payables for construction costs capitalized</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(5,436)</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92"/>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property installed by developers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9,779</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Operations</w:t>
      </w:r>
    </w:p>
    <w:p>
      <w:pPr>
        <w:spacing w:after="0" w:line="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and include the accounts of SJW Group, its wholly owned subsidiaries, and two variable interest entities in which two SJW Group subsidiaries are the primary beneficiaries. The accounting policies of SJW Group’s subsidiaries comply with the applicable uniform system of accounts prescribed by the respective regulators. All intercompany transactions and balances have been eliminated in consolidation. The accounting policies of SJW Group’s subsidiaries comply with the applicable uniform system of accounts prescribed by the respective regulators and conform to generally accepted accounting principles for rate-regulated public utilities. SJW Group’s subsidiaries are as follows: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San Jose Water Company (“SJWC”), is a regulated California water utility providing water service to approximately 231,000 connections that serve approximately one million people in the greater metropolitan San Jose area. Approximately 92% of SJWC’s revenues are derived from the sale of water to residential and business customers.</w:t>
      </w:r>
    </w:p>
    <w:p>
      <w:pPr>
        <w:spacing w:after="0" w:line="76" w:lineRule="exact"/>
        <w:rPr>
          <w:sz w:val="20"/>
          <w:szCs w:val="20"/>
          <w:color w:val="auto"/>
        </w:rPr>
      </w:pPr>
    </w:p>
    <w:p>
      <w:pPr>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SJWNE, LLC is a special purpose entity holding company for SJW Group’s investment in Connecticut Water Service, Inc. Connecticut Water Service, Inc., headquartered in Connecticut, is a holding company for water utilities companies providing water service to approximately 140,000 connections that serve a population of approximately 456,000 people in 81 municipalities throughout Connecticut and Maine and more than 3,000 wastewater connections in Southbury, Connecticut. Connecticut Water Service, Inc. and its subsidiaries (“CTWS”) became a wholly-owned subsidiary of SJWNE LLC which is a wholly-owned subsidiary of SJW Group (see, </w:t>
      </w:r>
      <w:hyperlink w:anchor="page83">
        <w:r>
          <w:rPr>
            <w:rFonts w:ascii="Arial" w:cs="Arial" w:eastAsia="Arial" w:hAnsi="Arial"/>
            <w:sz w:val="17"/>
            <w:szCs w:val="17"/>
            <w:u w:val="single" w:color="auto"/>
            <w:color w:val="3051F2"/>
          </w:rPr>
          <w:t>Note 14</w:t>
        </w:r>
      </w:hyperlink>
      <w:r>
        <w:rPr>
          <w:rFonts w:ascii="Arial" w:cs="Arial" w:eastAsia="Arial" w:hAnsi="Arial"/>
          <w:sz w:val="17"/>
          <w:szCs w:val="17"/>
          <w:color w:val="auto"/>
        </w:rPr>
        <w:t>, “Business Combinations”) in 2019. The subsidiaries held by Connecticut Water Service, Inc. that provide utility water services are The Connecticut Water Company (“Connecticut Water”) and The Maine Water Company (“Maine Water”). The remaining two subsidiaries are Chester Realty, Inc., a real estate company in Connecticut, and New England Water Utility Services, Inc. (“NEWUS”), which provides contract water and sewer operations and other water related services.</w:t>
      </w:r>
    </w:p>
    <w:p>
      <w:pPr>
        <w:spacing w:after="0" w:line="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SJWTX, Inc. is doing business as Canyon Lake Water Service Company (“CLWSC”). CLWSC is a public utility in the business of providing water service to approximately 24,000 service connections that serve a population of approximately 70,000 people. CLWSC’s service area comprises more than 266 square miles in the southern region of the Texas Hill Country in Bandera, Blanco, Comal, Hays, Kendall, Medina and Travis counties, the growing region between San Antonio and Austin, Texas. On December 17, 2021, CLWSC completed its acquisition of Kendall West Utility and Bandera East Utility, companies that provide water services, including wastewater and recycled water services, in Kendall, Bandera and Medina counties which are located in south central Texas. Kendall West Utility and Bandera East Utility, together, added approximately 5,000 people through 1,600 service connections in a service area approximately 19 square miles to CLWSC’s operations. SJWTX, Inc. has a 25% interest in Acequia Water Supply Corporation. Acequia has been determined to be a variable interest entity within the scope of ASC Topic 810 with SJWTX, Inc. as the primary beneficiary. As a result, Acequia has been consolidated with SJWTX, Inc. SJWTX, Inc is undergoing a corporate reorganization to separate regulated operations from non-tariffed activities. In November 2021, SJWTX Holdings, Inc. (“SJWTX Holdings”) and Texas Water Operation Services LLC (“TWOS”) were formed for the purpose of effecting a corporate reorganization of our water services organization in Texas. TWOS was created for non-tariffed operations and is wholly-owned by SJWTX Holdings. SJWTX Holdings is a wholly-owned subsidiary of SJW Group, incorporated to hold the investments in SJWTX, Inc. and TWOS. In addition, in 2022, SJWTX Holdings intends to create a new subsidiary to hold future wholesale water supply assets.</w:t>
      </w:r>
    </w:p>
    <w:p>
      <w:pPr>
        <w:spacing w:after="0" w:line="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SJW Land Company owns a commercial property and undeveloped real estate property in the states of California and Tennessee and owns and operates commercial properties in the state of Tennessee.</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8" w:name="page59"/>
    <w:bookmarkEnd w:id="58"/>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“Simplifying the Accounting for Income Taxes”, which simplifies the accounting for income taxes, eliminates certain exceptions within Topic 740, “Income Taxes”, and clarifies certain aspects of the current guidance to promote consistency among reporting entities. ASU 2019-12 was effective for SJW Group in the first quarter of fiscal year 2021. The adoption of ASU 2019-12 did not have a material impact on the consolidated financial statements.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Depreciable Utility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depreciable plant and equipment as of December 31, 2021 and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567,904</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Transmission and distribution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1,802,008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1,699,953</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buildings and other structures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981,615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930,203</w:t>
            </w: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Total depreciable plant and equipment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3,381,908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3,198,060</w:t>
            </w: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remaining service lives of groups of assets. The estimated service lives of depreciable plant and equipment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Useful Lives</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35 years</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Transmission and distribution plant</w:t>
            </w:r>
          </w:p>
        </w:tc>
        <w:tc>
          <w:tcPr>
            <w:tcW w:w="1520" w:type="dxa"/>
            <w:vAlign w:val="bottom"/>
          </w:tcPr>
          <w:p>
            <w:pPr>
              <w:jc w:val="right"/>
              <w:spacing w:after="0"/>
              <w:rPr>
                <w:sz w:val="20"/>
                <w:szCs w:val="20"/>
                <w:color w:val="auto"/>
              </w:rPr>
            </w:pPr>
            <w:r>
              <w:rPr>
                <w:rFonts w:ascii="Arial" w:cs="Arial" w:eastAsia="Arial" w:hAnsi="Arial"/>
                <w:sz w:val="18"/>
                <w:szCs w:val="18"/>
                <w:color w:val="auto"/>
              </w:rPr>
              <w:t>35 to 75 years</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buildings and other structures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to 50 years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the years 2021, 2020 and 2019, depreciation expense as a percent of the beginning of the year balance of depreciable plant was approximately 3.2%,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 and 3.8%, respectively. Depreciation expense for utility plant for the years ended December 31, 2021, 2020 and 2019 was $91,906, $86,823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$63,785, respectively. The cost of utility plant retired, including retirement costs (less salvage), is charged to accumulated depreciation and no gain or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recognized.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accrued payables for additions to depreciable utility plant were $20,579 and $24,571, respectively.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Allowance For Funds Used During Construction (“AFUDC”)</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AFUDC represents the capitalized costs of borrowed funds or a return on equity funds used to finance utility plant under construction and is capitalized as part of construction work in progress. AFUDC is recorded to the extent approved by the respective states’ utility regulators and is recovered through water rates as the utility plant depreciates. The amount of interest capitalized in 2021, 2020 and 2019 was $4,422, $4,133 and $4,323, respectively. Interest on long-term debt is presented net of amounts capitalized on the Consolidated Statement of Comprehensive Income. The amount of equity funds capitalized in 2021, 2020 and 2019 was $1,926, $1,249 and $198, respectively, reflected in “Other, net” on the Consolidated Statement of Comprehensive Income. Prior to the merger with CTWS on October 9, 2019, SJW Group did not have AFUDC for equity funds.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Intangible assets are recorded at cost and are amortized using the straight-line method over the estimated useful life of the asset, ranging from 5 to 70 years (see </w:t>
      </w:r>
      <w:hyperlink w:anchor="page73">
        <w:r>
          <w:rPr>
            <w:rFonts w:ascii="Arial" w:cs="Arial" w:eastAsia="Arial" w:hAnsi="Arial"/>
            <w:sz w:val="18"/>
            <w:szCs w:val="18"/>
            <w:u w:val="single" w:color="auto"/>
            <w:color w:val="0000FF"/>
          </w:rPr>
          <w:t>Note 8</w:t>
        </w:r>
      </w:hyperlink>
      <w:r>
        <w:rPr>
          <w:rFonts w:ascii="Arial" w:cs="Arial" w:eastAsia="Arial" w:hAnsi="Arial"/>
          <w:sz w:val="18"/>
          <w:szCs w:val="18"/>
          <w:color w:val="auto"/>
        </w:rPr>
        <w:t>, “Utility Plant Intangible Assets”).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9" w:name="page60"/>
    <w:bookmarkEnd w:id="59"/>
    <w:p>
      <w:pPr>
        <w:ind w:left="580"/>
        <w:spacing w:after="0"/>
        <w:rPr>
          <w:sz w:val="20"/>
          <w:szCs w:val="20"/>
          <w:color w:val="auto"/>
        </w:rPr>
      </w:pPr>
      <w:r>
        <w:rPr>
          <w:rFonts w:ascii="Arial" w:cs="Arial" w:eastAsia="Arial" w:hAnsi="Arial"/>
          <w:sz w:val="18"/>
          <w:szCs w:val="18"/>
          <w:b w:val="1"/>
          <w:bCs w:val="1"/>
          <w:color w:val="auto"/>
        </w:rPr>
        <w:t>Real Estate Investments and Nonutility Properties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Real estate investments and nonutility properties are recorded at cost and consist primarily of land and buildings. Net gains and losses from the sale of real estate investments and nonutility properties are recorded as a component of other (expense) income and operating expense, respectively, in the Consolidated Statements of Comprehensive Income. Nonutility property is property that is neither used nor useful in providing water utility services to customers and is excluded from rate base for rate-setting purposes. SJWC recognizes gain/loss on disposition of nonutility property in accordance with California Public Utilities Commission (“CPUC”) Code Section 790, whereby the net proceeds are reinvested back into property that is useful in providing water utility services to customers. CTWS and CLWSC do not have regulatory restrictions on the use of proceeds from the sale of nonutility property. There is no depreciation associated with Water Utility Services nonutility property as it is all undeveloped land.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real estate investments and nonutility properties as of December 31, 2021 and 2020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12,615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14,168</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Buildings and improvements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45,017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43,961</w:t>
            </w:r>
          </w:p>
        </w:tc>
      </w:tr>
      <w:tr>
        <w:trPr>
          <w:trHeight w:val="248"/>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real estate investments and nonutility properties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57,632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on buildings and improvements for real estate investments is computed using the straight-line method over the estimated useful lives of the assets, ranging from 7 to 39 years.</w:t>
      </w:r>
    </w:p>
    <w:p>
      <w:pPr>
        <w:spacing w:after="0" w:line="6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 former wholly owned subsidiary of SJW Group, Texas Water Alliance Limited was sold to Guadalupe-Blanco River Authority (“GBRA”) in 2017. The sales agreement with GBRA included a holdback amount of $3,000 to be paid to SJW Group on June 30, 2021, subject to reduction under certain conditions. SJW Group received the holdback amount without reduction from the GBRA on June 29, 2021 and recognized a pre-tax gain on sale of $3,000.</w:t>
      </w:r>
    </w:p>
    <w:p>
      <w:pPr>
        <w:spacing w:after="0" w:line="4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October 29, 2021, San Jose Water sold two nonutility properties located in San Jose, California for $13,150. SJW Group recognized a pre-tax gain on the sale of nonutility properties of $7,230, after selling expenses of $277 for one of the properties sold, and a gain of $5,442 was deferred on the other nonutility property pending CPUC review. On February 15, 2022, the CPUC review was completed and the deferred gain will be recognized in the first quarter of 2022.</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Also, on October 29, 2021, SJW Land sold undeveloped land located in San Jose, California for $2,600. SJW Group recognized a pre-tax gain on the sale of real estate investments of $927, after selling expenses of $121.</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September 28, 2020, SJWC sold six nonutility properties located in Los Gatos, California for $1,075. SJW Group recognized a pre-tax gain on the sale of real estate investments of $1,048, after selling expenses of $22.</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Real estate investments include $58,330 and $57,273 as of December 31, 2021 and 2020, respectively, of assets that are leased or available for lease. The following schedule shows the future minimum rental payments to be received from third parties under operating leases that have remaining noncancelable lease terms in excess of one year as of December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4"/>
                <w:szCs w:val="14"/>
                <w:color w:val="auto"/>
              </w:rPr>
            </w:pPr>
          </w:p>
        </w:tc>
        <w:tc>
          <w:tcPr>
            <w:tcW w:w="13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Rental Revenue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r>
      <w:tr>
        <w:trPr>
          <w:trHeight w:val="230"/>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4,230</w:t>
            </w: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29"/>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2,912</w:t>
            </w:r>
          </w:p>
        </w:tc>
      </w:tr>
      <w:tr>
        <w:trPr>
          <w:trHeight w:val="230"/>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r>
      <w:tr>
        <w:trPr>
          <w:trHeight w:val="230"/>
        </w:trPr>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4,753</w:t>
            </w:r>
          </w:p>
        </w:tc>
      </w:tr>
    </w:tbl>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SJW Group applies the provisions of Accounting Standards Codification (“ASC”) Topic 805—“Business Combinations” for the purchase accounting related to business acquisitions. Topic 805 requires SJW Group to recognize separately from goodwill the assets acquired and the liabilities assumed at the acquisition date fair values. Goodwill as of the acquisition date is measured as the excess of consideration transferred over the net of the acquisition date fair values of the assets acquired and the liabilities assumed. While SJW Group uses best available estimates and assumptions to accurately value assets acquired and liabilities assumed at the acquisition date, such estimates are inherently uncertain and subject to refinement. As a result, during the one year measurement period from the acquisition date, we record adjustments to the assets acquired and liabilities assumed with the corresponding offset to goodwill. Upon the conclusion of the measurement period or final determination of the values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ind w:right="1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of assets acquired or liabilities assumed, whichever comes first, any subsequent adjustments are recorded to our Consolidated Statements of Comprehensive Income. Accounting for business combinations requires SJW Group to make significant estimates and assumptions, especially at the acquisition date, including estimates for intangible assets, contractual obligations assumed and pre-acquisition contingencies. Although SJW Group believes that the assumptions and estimates we make are reasonable and appropriate, they are based in part on historical experience and information obtained from the acquired company’s management and are inherently uncertain. Events and circumstances may occur that may affect the accuracy or validity of such assumptions, estimates or actual results. The purchase price allocation process requires management to make significant estimates and assumptions with respect to intangible assets. Although SJW Group believes the assumptions and estimates made are reasonable, they are based in part on historical experience, market conditions and information obtained from management of the acquired companies and are inherently uncertain. Examples of critical estimates in valuing certain of the intangible assets we have acquired include, but are not limited to: future expected cash flows from services; historical and expected customer attrition rates and anticipated growth in revenue from acquired customers; the expected use of the acquired assets; and discount rates. See </w:t>
      </w:r>
      <w:hyperlink w:anchor="page83">
        <w:r>
          <w:rPr>
            <w:rFonts w:ascii="Arial" w:cs="Arial" w:eastAsia="Arial" w:hAnsi="Arial"/>
            <w:sz w:val="17"/>
            <w:szCs w:val="17"/>
            <w:u w:val="single" w:color="auto"/>
            <w:color w:val="0000FF"/>
          </w:rPr>
          <w:t>Note 14</w:t>
        </w:r>
      </w:hyperlink>
      <w:r>
        <w:rPr>
          <w:rFonts w:ascii="Arial" w:cs="Arial" w:eastAsia="Arial" w:hAnsi="Arial"/>
          <w:sz w:val="17"/>
          <w:szCs w:val="17"/>
          <w:color w:val="auto"/>
        </w:rPr>
        <w:t>, “Business Combinations” for further discussion.</w:t>
      </w:r>
    </w:p>
    <w:p>
      <w:pPr>
        <w:spacing w:after="0" w:line="1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Impairment of Long-Lived Assets and Goodwill</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accordance with the requirements of FASB ASC Topic 360—“Property, Plant and Equipment,” the long-lived assets of SJW Group are reviewed for impairment when changes in circumstances or events require adjustments to the carrying values of the assets. When such changes in circumstances or events occur, the company assesses recoverability by determining whether the carrying value of such assets will be recovered through the undiscounted expected future cash flows. To the extent an impairment exists, the asset is written down to its estimated fair value with a corresponding charge to operations in the period in which the impairment is identified. Long-lived assets consist primarily of utility plant in service, goodwill, regulatory assets, real estate investments and intangible assets.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and other relevant Company-specific events. If SJW Group determines that as a result of the qualitative assessment it is more likely than not (&gt; 50% likelihood) that the fair value is less than carrying amount, then a quantitative test is performed. During the year ended December 31, 2021, SJW Group determined that an implementation project for a customer care billing system at CLWSC will no longer be pursued and accordingly wrote-off $2,211 of accumulated costs for the project that were previously recorded as construction in progress on the consolidated balance sheets. No impairments occurred during 2020 and 2019.</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Goodwill represents the excess of the purchase price paid over the estimated fair value of the assets acquired and liabilities assumed in the acquisition of a business. Goodwill is not amortized but is tested for impairment annually on October 1st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 SJW Group’s goodwill is primarily associated with the recent merger with CTWS in 2019. As of October 1, 2021, SJW Group performed a qualitative assessment and found no indicators of impairment and therefore did not perform the quantitative impairment test. No goodwill impairments occurred during 2021, 2020 or 2019.</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Cash and cash equivalents primarily consist of cash on deposit with banks with maturities of three months or less from the date of purchase. Restricted funds consist of proceeds from state revolving fund bond issuances to Maine Water of $4,000 on December 23, 2020, for capital expenditures. Proceeds are held by a trustee for the bonds and as funding conditions are met, funds are released. As of December 31, 2021, $2,789 of the proceeds from the December 23, 2020, bond were released by the trustee, and a balance of $1,211 remains. No bond issuances of this nature took place during 2021.</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Financial Instruments and Investments</w:t>
      </w:r>
    </w:p>
    <w:p>
      <w:pPr>
        <w:spacing w:after="0" w:line="121" w:lineRule="exact"/>
        <w:rPr>
          <w:sz w:val="20"/>
          <w:szCs w:val="20"/>
          <w:color w:val="auto"/>
        </w:rPr>
      </w:pPr>
    </w:p>
    <w:p>
      <w:pPr>
        <w:ind w:right="40"/>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The following instruments are not measured at fair value on the company’s consolidated balance sheets but require disclosure of fair values: cash and cash equivalents, accounts receivable and accounts payable. The estimated fair value of such instruments approximates their carrying value as reported on the consolidated balance sheets. The fair value of such financial instruments are determined using the income approach based on the present value of estimated future cash flows. The fair value of these instruments would be categorized as Level 2 in the fair value hierarchy, with the exception of cash and cash equivalents, which would be categorized as Level 1. The fair value of long-term debt is discussed in </w:t>
      </w:r>
      <w:hyperlink w:anchor="page68">
        <w:r>
          <w:rPr>
            <w:rFonts w:ascii="Arial" w:cs="Arial" w:eastAsia="Arial" w:hAnsi="Arial"/>
            <w:sz w:val="18"/>
            <w:szCs w:val="18"/>
            <w:u w:val="single" w:color="auto"/>
            <w:color w:val="0000FF"/>
          </w:rPr>
          <w:t>Note 6</w:t>
        </w:r>
      </w:hyperlink>
      <w:r>
        <w:rPr>
          <w:rFonts w:ascii="Arial" w:cs="Arial" w:eastAsia="Arial" w:hAnsi="Arial"/>
          <w:sz w:val="18"/>
          <w:szCs w:val="18"/>
          <w:color w:val="auto"/>
        </w:rPr>
        <w:t xml:space="preserve">, “Long-Term Debt” and pension plan assets in </w:t>
      </w:r>
      <w:hyperlink w:anchor="page74">
        <w:r>
          <w:rPr>
            <w:rFonts w:ascii="Arial" w:cs="Arial" w:eastAsia="Arial" w:hAnsi="Arial"/>
            <w:sz w:val="18"/>
            <w:szCs w:val="18"/>
            <w:u w:val="single" w:color="auto"/>
            <w:color w:val="0000FF"/>
          </w:rPr>
          <w:t>Note 11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“Benefit Plans”.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1" w:name="page62"/>
    <w:bookmarkEnd w:id="61"/>
    <w:p>
      <w:pPr>
        <w:ind w:right="6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SJW Group has investments in company owned life insurance which are valued at cash surrender value of the policies as reported by the insurer. The value of these contracts is based principally on a referenced pool of investment funds that actively redeem shares, are observable and measurable, and are presented in “Other investments” on SJW Group’s Consolidated Balance Sheets. As of December 31, 2021 and 2020, the value of the company owned life insurance was $8,026 and $8,026, respectively, of which $4,191 and $4,311, respectively, was related to assets to fund CTWS’ supplemental retirement plan agreements. See discussion on pension plans in </w:t>
      </w:r>
      <w:hyperlink w:anchor="page74">
        <w:r>
          <w:rPr>
            <w:rFonts w:ascii="Arial" w:cs="Arial" w:eastAsia="Arial" w:hAnsi="Arial"/>
            <w:sz w:val="17"/>
            <w:szCs w:val="17"/>
            <w:u w:val="single" w:color="auto"/>
            <w:color w:val="0000FF"/>
          </w:rPr>
          <w:t>Note 11</w:t>
        </w:r>
      </w:hyperlink>
      <w:r>
        <w:rPr>
          <w:rFonts w:ascii="Arial" w:cs="Arial" w:eastAsia="Arial" w:hAnsi="Arial"/>
          <w:sz w:val="17"/>
          <w:szCs w:val="17"/>
          <w:color w:val="auto"/>
        </w:rPr>
        <w:t>, “Benefit Plans”.</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Income taxes are accounted for using the asset and liability method. Deferred tax assets and liabilities are recognized for the effect of temporary differences between financial and tax reporting. Deferred tax assets and liabilities are measured using current tax rates in effect. The effect on deferred tax assets and liabilities of a change in tax rates is recognized in the period that includes the enactment date.</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the extent permitted by the regulators, investment tax credits resulting from utility plant additions are deferred and amortized over the estimated useful lives of the related property.</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Advances for Construction and Contributions in Aid of Construction</w:t>
      </w:r>
    </w:p>
    <w:p>
      <w:pPr>
        <w:spacing w:after="0" w:line="12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In California, advances for construction received after 1981 are primarily refunded ratably over 40 years. In Connecticut and Maine, advances for construction are refunded as services are connected to the main, over periods not exceeding 15 years and in Texas advances for construction are non-refundable. Estimated refunds for the next five years and thereafter are shown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Estimated Refunds</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3,548</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3,030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49,582</w:t>
            </w:r>
          </w:p>
        </w:tc>
      </w:tr>
    </w:tbl>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December 31, 2021, advances for construction were $130,693 of which $36,388 was related to non-refundable advances for construction and $28,445 was related to advances which are refunded based on service connections made. As of December 31, 2021 and 2020, the fair value of the advances for construction refunded ratably over 40 years is $51,067 and $50,391, respectively.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Contributions in aid of construction represent funds received from developers that are not refundable under applicable regulations. Depreciation applicable to utility plant constructed with these contributions is charged to contributions in aid of construction.</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Customer advances and contributions in aid of construction received subsequent to 1986 and prior to June 12, 1996, generally must be included in federal taxable income, except for CTWS. Taxes paid relating to advances and contributions are recorded as deferred tax assets for financial reporting purposes and are amortized over 40 years for advances and over the tax depreciable life of the related asset for contributions. Receipts subsequent to June 12, 1996, are generally exempt from federal taxable income, unless specifically prescribed under treasury regulations, including CTWS.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Advances and contributions received subsequent to 1991 and prior to 1997 are included in state taxable income, except for CTWS.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Asset Retirement Obligation</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SJW Group’s asset retirement obligation is recorded as a liability included in other non-current liabilities. It reflects principally the retirement costs of wells and other anticipated clean-up costs, which by law, must be remediated upon retirement. Retirement costs have historically been recovered through rates at the time of retirement. As a result, a regulatory asset is also recorded.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As of December 31, 2021 and 2020, the asset retirement obligation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obligation</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4,511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4,619</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obligation, present value</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939</w:t>
            </w:r>
          </w:p>
        </w:tc>
      </w:tr>
    </w:tbl>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that the company has principally five categories of revenues.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first category is recognized in accordance with ASC Topic 606- “Revenue from Contracts with Customers” and represents metered revenue of Water Utility Services which includes billings to customers based on meter readings plus an estimate of water used between the customers’ last meter reading and the end of the accounting period. SJW Group satisfies its performance obligation upon delivery of water to the customer at which time the customer consumes the benefits provided by the company. The customer is typically billed on a quarterly or bi-monthly basis after water delivery has occurred. The customer is charged both a service charge which is based upon meter size and covers a portion of the fixed costs of furnishing water to the customer and a consumption charge based on actual water usage. Unbilled revenue from the last meter reading date to the end of the accounting period is estimated based on the most recent usage patterns, production records and the effective tariff rates. As the company has the right to bill for services that it has provided, SJW Group estimates the dollar value of deliveries during the unbilled period and recognizes the associated revenue. Actual results could differ from those estimates, which may result in an adjustment to revenue when billed in a subsequent period.</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second category is recognized in accordance with ASC Topic 980-605-25, “Alternative Revenue Programs”. Under Programs established by the CPUC and Public Utilities Regulatory Authority of Connecticut (“PURA”), allowing for automatic adjustment of future rates, the company recognizes revenue when it is objectively determinable, probable of recovery and expected to be collected within 24 months of the year-end in which the revenue is recognized. A reserve, based on an estimate of actual usage over the recovery period, is recorded for amounts SJW Group estimates will not be collected within the 24-month period. SJW Group’s alternative revenue programs include SJWC’s Water Conservation Memorandum Account (“WCMA”) and CTWS’s Water Rate Adjustment mechanism (“WRA”).</w:t>
      </w:r>
    </w:p>
    <w:p>
      <w:pPr>
        <w:spacing w:after="0" w:line="84" w:lineRule="exact"/>
        <w:rPr>
          <w:sz w:val="20"/>
          <w:szCs w:val="20"/>
          <w:color w:val="auto"/>
        </w:rPr>
      </w:pPr>
    </w:p>
    <w:p>
      <w:pPr>
        <w:ind w:left="660" w:right="40" w:hanging="328"/>
        <w:spacing w:after="0" w:line="25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WCMA allows SJWC to track lost revenue, net of related water costs, associated with reduced sales due to water conservation and associated calls for water use reductions. SJWC records the lost revenue captured in the WCMA balancing accounts. In 2021, with the declaration of a drought emergency and conservation mandates in California by Governor Gavin Newsom and Santa Clara Valley Water District (“Valley Water”), SJWC obtained approval to reestablish a WCMA effective July 20, 2021. For the year ended December 31, 2021, SJWC recognized $3,243 in lost revenues accumulated in the WCMA. In December 2019, CPUC denied SJWC’s request to recover the 2018 WCMA balance due to drought mandatory conservation mandates that ended in 2017. As a result of the decision, during the year ended December 31, 2019, SJWC wrote off a total balance of $9,386 related to 2018 lost revenue and $639 related to 2019 lost revenue that was recorded in the 2018 and 2019 WCMA accounts, respectively.</w:t>
      </w:r>
    </w:p>
    <w:p>
      <w:pPr>
        <w:spacing w:after="0" w:line="83" w:lineRule="exact"/>
        <w:rPr>
          <w:rFonts w:ascii="Arial" w:cs="Arial" w:eastAsia="Arial" w:hAnsi="Arial"/>
          <w:sz w:val="18"/>
          <w:szCs w:val="18"/>
          <w:color w:val="auto"/>
        </w:rPr>
      </w:pPr>
    </w:p>
    <w:p>
      <w:pPr>
        <w:ind w:left="660" w:hanging="328"/>
        <w:spacing w:after="0" w:line="279"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WRA allows Connecticut Water to mitigate risk associated with changes in demand. The WRA is used to reconcile actual water demands with the demands projected in the most recent general rate case and allows companies to implement a surcharge or surcredit as necessary to recover the revenues approved in the general rate case. The WRA allows the company to defer, as a regulatory asset or liability, the amount by which actual revenues deviate from the revenues allowed in the most recent general rate proceedings.</w:t>
      </w:r>
    </w:p>
    <w:p>
      <w:pPr>
        <w:spacing w:after="0" w:line="63"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third and fourth category represents the impact of other balancing and memorandum accounts and other regulatory mechanisms that are accounted for under FASB ASC Topic 980 - “Regulated Operations”. Balancing and memorandum accounts are recognized by SJWC when it is probable that future recovery of previously incurred costs or future refunds that are to be credited to customers will occur through the ratemaking process.</w:t>
      </w:r>
    </w:p>
    <w:p>
      <w:pPr>
        <w:spacing w:after="0" w:line="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last category, rental income, represents lease rental income. Tenants pay monthly in accordance with lease agreements and SJW Group recognizes the income ratably over the lease term as this is the most representative of the pattern in which the benefit is expected to be derived from SJW Group’s underlying asset.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Revenue from contracts with customers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559,568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549,270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447,720</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revenue programs,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(18,232)</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Other balancing and memorandum accounts,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(30,092)</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regulatory mechanisms,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15,689</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r>
      <w:tr>
        <w:trPr>
          <w:trHeight w:val="248"/>
        </w:trPr>
        <w:tc>
          <w:tcPr>
            <w:tcW w:w="6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573,686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420,482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Revenue also includes a surcharge collected from regulated customers that is paid to the CPUC. This surcharge is recorded both in operating revenues and administrative and general expenses. For the years ended December 31, 2021, 2020 and 2019, the surcharge was $5,691, $4,911 and $4,955, respectively.</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SJW Group calculates the fair value of service-based and performance-based restricted stock awards based on the grant date fair value of the company’s stock price reduced by the present value of the dividends expected to be declared on outstanding shares.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SJW Group utilizes the Monte Carlo valuation model, which requires the use of subjective assumptions, to compute the fair value of market-vesting restricted stock units.</w:t>
      </w:r>
    </w:p>
    <w:p>
      <w:pPr>
        <w:spacing w:after="0" w:line="62"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compensation cost for service-based restricted stock awards are charged to income on a straight-line basis over the requisite service period, which is the vesting period. For performance-based stock awards, compensation expense is charged to income on a straight-line basis over the requisite service period based on expected attainment of performance targets. Changes in the estimates of the expected attainment of performance targets will result in a change in the number of shares that are expected to vest which may cause a cumulative catch up for the amount of share-based compensation expense during each reporting period in which such estimates are altered. Forfeitures are accounted for as they occur.</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is calculated using income available to common stockholders, divided by the weighted average number of shares outstanding during the year. Diluted earnings per share is calculated using income available to common stockholders divided by the weighted average number of shares of common stock including both shares outstanding and shares potentially issuable in connection with deferred restricted common stock awards under SJW Group’s Long-Term Incentive Plan and shares potentially issuable under the Employee Stock Purchase Plans. Restricted common stock units of 16,347, 22,396 and 27,082 as of December 31, 2021, 2020 and 2019, respectively, were excluded from the dilutive earnings per share calculation as their effect would have been anti-dilutive.</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Regulatory Matters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Water Utility Services are subject to rate regulation based on cost recovery and meets the criteria of accounting guidance for rate-regulated operations, which considers the timing of the recognition of certain revenues and expenses. SJW Group’s consolidated financial statements reflect the effects of the rate-making process. The rate-making process is intended to provide revenues sufficient to recover normal operating expenses, provide funds for replacement of water infrastructure and produce a fair and reasonable return on stockholder common equity.</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Regulatory Assets, Net</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Water Utility Services recognizes regulatory assets and liabilities for amounts that are deemed probable of recovery from, or refund to, customers. Determining probability requires significant judgement by management and includes assessing evidence that may exist prior to regulatory authorization, including regulatory rules and decisions, historical ratemaking practices, and other facts and circumstances that would indicate that recovery or refund is probable.</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utility determines that it is no longer probable that regulatory assets would be recovered or reflected in future rates, or if the utility ceased to be subject to rate regulation, the regulatory assets would be charged against income in the period in which that determination was made. If regulatory accounting did not apply, the utility’s future financial results could become more volatile as compared to historical financial results due to the differences in the timing of expense or revenue recognition.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64" w:name="page65"/>
    <w:bookmarkEnd w:id="64"/>
    <w:p>
      <w:pPr>
        <w:ind w:right="560"/>
        <w:spacing w:after="0" w:line="277" w:lineRule="auto"/>
        <w:rPr>
          <w:sz w:val="20"/>
          <w:szCs w:val="20"/>
          <w:color w:val="auto"/>
        </w:rPr>
      </w:pPr>
      <w:r>
        <w:rPr>
          <w:rFonts w:ascii="Arial" w:cs="Arial" w:eastAsia="Arial" w:hAnsi="Arial"/>
          <w:sz w:val="18"/>
          <w:szCs w:val="18"/>
          <w:color w:val="auto"/>
        </w:rPr>
        <w:t>The company adjusts the related asset and liabilities for these items through its regulatory asset and liability accounts at year-end, except for certain postretirement benefit costs and balancing and memorandum accounts which are adjusted monthly.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Rate-regulated enterprises are required to charge a regulatory asset to earnings if and when it is determined that the asset is no longer probable of recovery. SJW Group continually evaluates the recoverability of regulatory assets by assessing whether the amortization of the balance over the remaining life can be recovered through expected and undiscounted future cash flows.</w:t>
      </w:r>
    </w:p>
    <w:p>
      <w:pPr>
        <w:spacing w:after="0" w:line="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SJW Group’s net regulatory assets not earning a return primarily included postretirement pensions and other medical benefits unfunded amounts, and business combinations debt premium, net. The total amount of net regulatory assets not earning a return at December 31, 2021 and 2020, either by interest on the regulatory asset/liability or as a component of rate base at the allowed rate of return was $84,887 and $119,236,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net are comprised of the following as of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Income tax temporary differences, net (a)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22,420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6,230</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pensions and other medical benefits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94,362</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Business combinations debt premium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19,937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22,479</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Balancing and memorandum accounts,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WRA (b)</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 (c)</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regulatory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154,621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158,230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regulatory asset,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regulatory assets, net, less current portion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151,992</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156,482</w:t>
            </w: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 expects to recover regulatory assets related to plant depreciation income tax temporary differences over the average lives of the plant assets of between 5 to 75 years.</w:t>
      </w:r>
    </w:p>
    <w:p>
      <w:pPr>
        <w:spacing w:after="0" w:line="12" w:lineRule="exact"/>
        <w:rPr>
          <w:rFonts w:ascii="Arial" w:cs="Arial" w:eastAsia="Arial" w:hAnsi="Arial"/>
          <w:sz w:val="13"/>
          <w:szCs w:val="13"/>
          <w:color w:val="auto"/>
        </w:rPr>
      </w:pPr>
    </w:p>
    <w:p>
      <w:pPr>
        <w:ind w:left="660" w:right="180" w:hanging="652"/>
        <w:spacing w:after="0" w:line="260" w:lineRule="auto"/>
        <w:tabs>
          <w:tab w:leader="none" w:pos="652" w:val="left"/>
        </w:tabs>
        <w:numPr>
          <w:ilvl w:val="0"/>
          <w:numId w:val="24"/>
        </w:numPr>
        <w:rPr>
          <w:rFonts w:ascii="Arial" w:cs="Arial" w:eastAsia="Arial" w:hAnsi="Arial"/>
          <w:sz w:val="13"/>
          <w:szCs w:val="13"/>
          <w:color w:val="auto"/>
        </w:rPr>
      </w:pPr>
      <w:r>
        <w:rPr>
          <w:rFonts w:ascii="Arial" w:cs="Arial" w:eastAsia="Arial" w:hAnsi="Arial"/>
          <w:sz w:val="13"/>
          <w:szCs w:val="13"/>
          <w:color w:val="auto"/>
        </w:rPr>
        <w:t>WRA is a Connecticut Water decoupling mechanism that qualifies as an alternative revenue program. It is used to reconcile actual water demands with the demands projected in the most recent general rate case and allows companies to implement a surcharge or surcredit as necessary to recover the revenues approved in the general rate case.</w:t>
      </w:r>
    </w:p>
    <w:p>
      <w:pPr>
        <w:ind w:left="660" w:hanging="652"/>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Other, net includes other regulatory mechanisms, accrued benefits for vacation, and asset retirement obligations that have not yet been passed through in rates.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Balancing and Memorandum Accounts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California, the CPUC has established a balancing account mechanism for the purpose of tracking the under-collection or over-collection associated with expense changes and the revenue authorized by the CPUC to offset those expense changes. 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w:t>
      </w:r>
    </w:p>
    <w:p>
      <w:pPr>
        <w:spacing w:after="0" w:line="6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All balancing accounts and memorandum-type accounts not included for recovery or refund in the current general rate case will be reviewed by the CPUC in SJWC’s next general rate case or at the time an individual account balance reaches a threshold of 2% of authorized revenue, whichever occurs first. As of December 31, 2021, the total balance in SJWC’s balancing and memorandum accounts combined, including interest, that has not been recorded into the financial statements was a net under-collection of $2,312.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65" w:name="page66"/>
    <w:bookmarkEnd w:id="65"/>
    <w:p>
      <w:pPr>
        <w:ind w:right="40"/>
        <w:spacing w:after="0" w:line="277" w:lineRule="auto"/>
        <w:rPr>
          <w:sz w:val="20"/>
          <w:szCs w:val="20"/>
          <w:color w:val="auto"/>
        </w:rPr>
      </w:pPr>
      <w:r>
        <w:rPr>
          <w:rFonts w:ascii="Arial" w:cs="Arial" w:eastAsia="Arial" w:hAnsi="Arial"/>
          <w:sz w:val="18"/>
          <w:szCs w:val="18"/>
          <w:color w:val="auto"/>
        </w:rPr>
        <w:t>SJWC met the recognition requirements for certain of its balancing and memorandum accounts and certain amounts subject to balancing and memorandum accounts and recorded regulatory assets, net,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For the year ended December 31, 2021</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Beginning Balance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Regulatory Asset</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Refunds (Collections)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Increase (Decrease)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accounts:</w:t>
            </w:r>
          </w:p>
        </w:tc>
        <w:tc>
          <w:tcPr>
            <w:tcW w:w="1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Monterey Water Revenue Adjustment Mechanism (“MWRAM”)</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12,077</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4,788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16,866</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WCMA (a)</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666</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Cost of capital memorandum accounts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(1,561)</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memorandum account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6"/>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w:t>
            </w:r>
          </w:p>
        </w:tc>
        <w:tc>
          <w:tcPr>
            <w:tcW w:w="1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 accounts</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10,043</w:t>
            </w:r>
          </w:p>
        </w:tc>
        <w:tc>
          <w:tcPr>
            <w:tcW w:w="16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8,779</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18,451</w:t>
            </w: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Cost-recovery accounts: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Water supply costs</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8,123</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10,545</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Pension</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3,478</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4,941</w:t>
            </w: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PRVMA (b)</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1,108</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CEMA (c)</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2,266</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3,245</w:t>
            </w: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445</w:t>
            </w:r>
          </w:p>
        </w:tc>
        <w:tc>
          <w:tcPr>
            <w:tcW w:w="16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8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cost-recovery accounts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15,420</w:t>
            </w:r>
          </w:p>
        </w:tc>
        <w:tc>
          <w:tcPr>
            <w:tcW w:w="1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4,865</w:t>
            </w: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19,883</w:t>
            </w: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25,463</w:t>
            </w: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13,644</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38,334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For the year ended December 31, 2020</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Beginning Balance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Regulatory Asset</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Refunds (Collections)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Increase (Decrease)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1540" w:type="dxa"/>
            <w:vAlign w:val="bottom"/>
          </w:tcPr>
          <w:p>
            <w:pPr>
              <w:ind w:left="5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7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accounts:</w:t>
            </w:r>
          </w:p>
        </w:tc>
        <w:tc>
          <w:tcPr>
            <w:tcW w:w="1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MWRAM</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7,015</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12,077</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WCMA</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Cost of capital memorandum accounts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(1,553)</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memorandum account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(6,643)</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6,978</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6"/>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w:t>
            </w:r>
          </w:p>
        </w:tc>
        <w:tc>
          <w:tcPr>
            <w:tcW w:w="1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 accounts</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w:t>
            </w:r>
          </w:p>
        </w:tc>
        <w:tc>
          <w:tcPr>
            <w:tcW w:w="16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9,467</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10,043</w:t>
            </w: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Cost-recovery accounts: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Water supply costs</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4,328</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3,828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8,123</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Pension</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2,449</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3,478</w:t>
            </w:r>
          </w:p>
        </w:tc>
        <w:tc>
          <w:tcPr>
            <w:tcW w:w="0" w:type="dxa"/>
            <w:vAlign w:val="bottom"/>
          </w:tcPr>
          <w:p>
            <w:pPr>
              <w:spacing w:after="0"/>
              <w:rPr>
                <w:sz w:val="1"/>
                <w:szCs w:val="1"/>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PRVMA (b)</w:t>
            </w:r>
          </w:p>
        </w:tc>
        <w:tc>
          <w:tcPr>
            <w:tcW w:w="14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CEMA (c)</w:t>
            </w:r>
          </w:p>
        </w:tc>
        <w:tc>
          <w:tcPr>
            <w:tcW w:w="1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w:t>
            </w:r>
          </w:p>
        </w:tc>
        <w:tc>
          <w:tcPr>
            <w:tcW w:w="1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186"/>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All others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w:t>
            </w:r>
          </w:p>
        </w:tc>
        <w:tc>
          <w:tcPr>
            <w:tcW w:w="1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8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cost-recovery accounts</w:t>
            </w: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7,223</w:t>
            </w:r>
          </w:p>
        </w:tc>
        <w:tc>
          <w:tcPr>
            <w:tcW w:w="16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8,324</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15,420</w:t>
            </w: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5,283</w:t>
            </w: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10,840</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25,463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40" w:hanging="652"/>
        <w:spacing w:after="0" w:line="221" w:lineRule="auto"/>
        <w:tabs>
          <w:tab w:leader="none" w:pos="657"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2021, with the declaration of a drought emergency and conservation mandates in California by Governor Gavin Newsom and Valley Water, SJWC obtained approval to reestablish a WCMA effective July 20, 2021. For the year ended December 31, 2021, SJWC recognized $3,243 in lost revenues accumulated in the WCMA.</w:t>
      </w:r>
    </w:p>
    <w:p>
      <w:pPr>
        <w:ind w:left="640" w:hanging="632"/>
        <w:spacing w:after="0"/>
        <w:tabs>
          <w:tab w:leader="none" w:pos="6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August 27, 2020, the Hydro Generation Research, Development and Demonstration Memorandum Account (“PRVMA”) costs of $1,219 were approved for recovery by the CPUC.</w:t>
      </w:r>
    </w:p>
    <w:p>
      <w:pPr>
        <w:ind w:left="660" w:right="140" w:hanging="652"/>
        <w:spacing w:after="0" w:line="245" w:lineRule="auto"/>
        <w:tabs>
          <w:tab w:leader="none" w:pos="657"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March 4, 2020, the California Governor declared a State of Emergency related to COVID-19. In response, the CPUC ordered its regulated water utilities to implement emergency customer protections in accordance with the Company’s Disaster Relief Customer Protections and Outreach Plan, including waiving reconnection deposits, offering payment arrangements, suspending water service disconnections due to non-payment and requiring water utilities to develop a transition plan regarding shutoffs and terminations with customers once the moratorium ends. The customer protections currently extend through February 1, 2022. As a result, CPUC authorized water utilities to activate a COVID-19 Catastrophic Event Memorandum Account (“CEMA") in order to track savings and costs related to SJWC’s response, which includes labor and materials, increases in bad debt from the suspension of shutoffs for non-payment, waived deposits and reconnection fees, and divergence from actual versus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jc w:val="both"/>
        <w:ind w:left="660" w:right="220"/>
        <w:spacing w:after="0" w:line="238" w:lineRule="auto"/>
        <w:rPr>
          <w:sz w:val="20"/>
          <w:szCs w:val="20"/>
          <w:color w:val="auto"/>
        </w:rPr>
      </w:pPr>
      <w:r>
        <w:rPr>
          <w:rFonts w:ascii="Arial" w:cs="Arial" w:eastAsia="Arial" w:hAnsi="Arial"/>
          <w:sz w:val="14"/>
          <w:szCs w:val="14"/>
          <w:color w:val="auto"/>
        </w:rPr>
        <w:t>usage. The CEMA was activated for SJWC through the filing of Advice Letter 546 on March 19, 2020. SJWC anticipates requesting recovery of the COVID-19 pandemic response costs in a future general rate case or other filings. SJWC has determined that future recovery of the account is probable and recognized a regulatory asset of $979 and $2,266 in the years ended December 31, 2021 and 2020, respectively.</w:t>
      </w: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Capitalization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SJW Group is authorized to issue 70,000,000 shares of common stock of $0.001 par value per share. At December 31, 2021 and 2020, 30,181,348 and 28,556,605, respectively, shares of common stock were issued and outstanding.</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2021 and 2020, 1,000,000 shares of preferred stock of $0.001 par value per share were authorized for SJW Group. At December 31, 2021 and 2020, no shares of preferred stock were issued or outstanding.</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On March 8, 2021, SJW Group entered into an underwriting agreement with J.P. Morgan Securities LLC, as the representative of the several underwriters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named therein (the “Underwriters”), which provided for the issuance and sale by SJW Group to the Underwriters 1,030,000 shares of common stock, par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$0.001 per share, in an underwritten public offering (the “Offering”). The shares in the Offering were sold at a public offering price of $59.00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 SJW Group also granted the Underwriters an option to purchase up to 154,500 additional shares of common stock, which was exercised in full.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Offering closed on March 11, 2021, and the offering of option shares closed on March 16, 2021. SJW Group received net proceeds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$66,775 from the Offering and the sale of option shares, after deducting the underwriting discounts and commissions and offering expenses. SJW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the proceeds from the offerings to pay down a bank line of credit agreement, dated as of June 1, 2016, between SJWC and JPMorgan Chase Bank,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 and for general corporate purposes, which included, among other things, financing infrastructure improvements and other capital expenditures,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repayment of debt or other corporate obligations and working capital.</w:t>
      </w:r>
    </w:p>
    <w:p>
      <w:pPr>
        <w:spacing w:after="0" w:line="10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November 17, 2021, SJW Group entered into an equity distribution agreement (the “Equity Distribution Agreement”) with J.P. Morgan Securities LLC, Janney Montgomery Scott LLC, RBC Capital Markets, LLC and Wells Fargo Securities, LLC (each a “Sales Agent” and, collectively, the “Sales Agents”), pursuant to which the Company may offer and sell shares of its common stock, $0.001 par value per share (the “Shares”), from time to time in “at-the-market” offerings, having an aggregate gross sales price of up to $100,000 (the “Offering”). Pursuant to the Equity Distribution Agreement, the Shares may be offered and sold through the Sales Agents in transactions that are deemed to be “at-the-market” offerings as defined in Rule 415 under the Securities Act of 1933, as amended, including sales by means of ordinary brokers’ transactions on the New York Stock Exchange or otherwise at market prices prevailing at the time of sale, at prices related to the prevailing market prices or at negotiated prices, in block transactions, or as otherwise agreed upon by the Company and the Sales Agents. Proceeds from the sale of the shares under the Equity Distribution Agreement can be used in the financing of acquisitions, including the acquisition of the Kendall West and Bandera East utilities in Texas, infrastructure improvements and other capital expenditures, repayment of debt or other corporate obligations, and working capital over the term of the Equity Distribution Agreement as such needs arise. SJW Group issued and sold a total of 355,115 shares of common stock with a weighted average price of $70.40 per share and received approximately $24,253 in net proceeds under the Equity Distribution Agreement during the year ended December 31, 2021.</w:t>
      </w:r>
    </w:p>
    <w:p>
      <w:pPr>
        <w:spacing w:after="0" w:line="2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Lines of Credit</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SJW Group and its subsidiaries have unsecured line of credit agreements where borrowings are used to refinance existing debt, for working capital, and for general corporate purposes. A summary of the line of agreements as of December 31, 2021 and 2020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88"/>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Maturity Date</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Line Limit</w:t>
            </w: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 Outstanding</w:t>
            </w: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Amounts Outstanding</w:t>
            </w: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SJWC credit agreement (a)</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2023</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CTWS credit agreement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 14, 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22,996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52,004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55,094</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CTWS credit agreement</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May 15, 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SJWTX, Inc. credit agreement (b)</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 31, 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175,094</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Credit agreement also provides for a letter of credit sublimit of $15,000.</w:t>
      </w:r>
    </w:p>
    <w:p>
      <w:pPr>
        <w:spacing w:after="0" w:line="1" w:lineRule="exact"/>
        <w:rPr>
          <w:rFonts w:ascii="Arial" w:cs="Arial" w:eastAsia="Arial" w:hAnsi="Arial"/>
          <w:sz w:val="14"/>
          <w:szCs w:val="14"/>
          <w:color w:val="auto"/>
        </w:rPr>
      </w:pPr>
    </w:p>
    <w:p>
      <w:pPr>
        <w:ind w:left="640" w:hanging="632"/>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Credit agreement also provides for a letter of credit sublimit of $1,000.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7" w:name="page68"/>
    <w:bookmarkEnd w:id="67"/>
    <w:p>
      <w:pPr>
        <w:ind w:right="100"/>
        <w:spacing w:after="0" w:line="257" w:lineRule="auto"/>
        <w:rPr>
          <w:sz w:val="20"/>
          <w:szCs w:val="20"/>
          <w:color w:val="auto"/>
        </w:rPr>
      </w:pPr>
      <w:r>
        <w:rPr>
          <w:rFonts w:ascii="Arial" w:cs="Arial" w:eastAsia="Arial" w:hAnsi="Arial"/>
          <w:sz w:val="18"/>
          <w:szCs w:val="18"/>
          <w:color w:val="auto"/>
        </w:rPr>
        <w:t>On April 23, 2021, SJWC closed its $140,000 line of credit agreement which was set to mature on June 1, 2021, and entered into a new $140,000 credit agreement (“SJWC Credit Agreement”) with JPMorgan Chase Bank, N.A., as the lender (the “Lender”). The SJWC Credit Agreement provides an unsecured credit facility with a letter of credit sublimit of $15,000. Proceeds of borrowings under the SJWC Credit Agreement may be used to refinance existing debt, for working capital, and for general corporate purposes. The new SJWC Credit Agreement has a maturity date of December 31, 2023. The line of credit bears interest at variable rates.</w:t>
      </w:r>
    </w:p>
    <w:p>
      <w:pPr>
        <w:spacing w:after="0" w:line="8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Also on April 23, 2021, SJW Group, as guarantor, and CLWSC closed its $5,000 line of credit agreement which was set to mature on June 1, 2021, and entered into a new $5,000 credit agreement (“SJWTX Credit Agreement”) with the Lender. The SJWTX Credit Agreement provides an unsecured credit facility with a letter of credit sublimit of $1,000. The new SJWTX Credit Agreement has a maturity date of December 31, 2023.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Cost of borrowing on the lines of credit averaged 1.32% and 1.78% as of December 31, 2021 and 2020, respectively.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The lines of credit also include certain customary financial covenants such as a funded debt to capitalization ratio and a minimum interest coverage ratio. As of December 31, 2021, SJW Group and its subsidiaries were in compliance with all covenants on the lines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24" w:right="4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Note 6.</w:t>
            </w:r>
          </w:p>
        </w:tc>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5820" w:type="dxa"/>
            <w:vAlign w:val="bottom"/>
            <w:gridSpan w:val="4"/>
          </w:tcPr>
          <w:p>
            <w:pPr>
              <w:spacing w:after="0"/>
              <w:rPr>
                <w:sz w:val="20"/>
                <w:szCs w:val="20"/>
                <w:color w:val="auto"/>
              </w:rPr>
            </w:pPr>
            <w:r>
              <w:rPr>
                <w:rFonts w:ascii="Arial" w:cs="Arial" w:eastAsia="Arial" w:hAnsi="Arial"/>
                <w:sz w:val="18"/>
                <w:szCs w:val="18"/>
                <w:color w:val="auto"/>
              </w:rPr>
              <w:t>Long-term debt as of December 31 was as follows: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4"/>
                <w:szCs w:val="14"/>
                <w:b w:val="1"/>
                <w:bCs w:val="1"/>
                <w:color w:val="auto"/>
              </w:rPr>
              <w:t>Rate</w:t>
            </w: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Maturity</w:t>
            </w:r>
          </w:p>
        </w:tc>
        <w:tc>
          <w:tcPr>
            <w:tcW w:w="260" w:type="dxa"/>
            <w:vAlign w:val="bottom"/>
          </w:tcPr>
          <w:p>
            <w:pPr>
              <w:spacing w:after="0"/>
              <w:rPr>
                <w:sz w:val="23"/>
                <w:szCs w:val="23"/>
                <w:color w:val="auto"/>
              </w:rPr>
            </w:pPr>
          </w:p>
        </w:tc>
        <w:tc>
          <w:tcPr>
            <w:tcW w:w="94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3"/>
                <w:szCs w:val="23"/>
                <w:color w:val="auto"/>
              </w:rPr>
            </w:pPr>
          </w:p>
        </w:tc>
        <w:tc>
          <w:tcPr>
            <w:tcW w:w="12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SJW Group Senior notes (a)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2.47% - 3.53%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2029 - 2039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w:t>
            </w:r>
          </w:p>
        </w:tc>
      </w:tr>
      <w:tr>
        <w:trPr>
          <w:trHeight w:val="230"/>
        </w:trPr>
        <w:tc>
          <w:tcPr>
            <w:tcW w:w="4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SJWC:</w:t>
            </w:r>
          </w:p>
        </w:tc>
        <w:tc>
          <w:tcPr>
            <w:tcW w:w="4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notes (a)</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 - 8.58%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2022 - 2051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320,000</w:t>
            </w:r>
          </w:p>
        </w:tc>
      </w:tr>
      <w:tr>
        <w:trPr>
          <w:trHeight w:val="229"/>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California Pollution Control Financing Authority Revenue Bonds</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4.75%, 5.10%</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2040, 2046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Total SJWC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440,000</w:t>
            </w:r>
          </w:p>
        </w:tc>
      </w:tr>
      <w:tr>
        <w:trPr>
          <w:trHeight w:val="223"/>
        </w:trPr>
        <w:tc>
          <w:tcPr>
            <w:tcW w:w="40" w:type="dxa"/>
            <w:vAlign w:val="bottom"/>
          </w:tcPr>
          <w:p>
            <w:pPr>
              <w:spacing w:after="0"/>
              <w:rPr>
                <w:sz w:val="19"/>
                <w:szCs w:val="19"/>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rPr>
              <w:t>CTWS bank term loans</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4.09%, 4.15%</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2027, 2037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20,351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22,169</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Connecticut Water:</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Connecticut Innovations Revenue Bonds, variable rate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2028 - 2029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22,050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22,050</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Connecticut Innovations Revenue Bonds, fixed rate</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w:t>
            </w:r>
          </w:p>
        </w:tc>
      </w:tr>
      <w:tr>
        <w:trPr>
          <w:trHeight w:val="229"/>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Senior notes (a)</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3.07% - 3.53%</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2037 - 2051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70,000</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 term loans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 - 4.75%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2022 - 2036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111,090</w:t>
            </w: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540"/>
              <w:spacing w:after="0"/>
              <w:rPr>
                <w:sz w:val="20"/>
                <w:szCs w:val="20"/>
                <w:color w:val="auto"/>
              </w:rPr>
            </w:pPr>
            <w:r>
              <w:rPr>
                <w:rFonts w:ascii="Arial" w:cs="Arial" w:eastAsia="Arial" w:hAnsi="Arial"/>
                <w:sz w:val="18"/>
                <w:szCs w:val="18"/>
                <w:color w:val="auto"/>
              </w:rPr>
              <w:t>Total Connecticut Water</w:t>
            </w: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303,140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225,400</w:t>
            </w:r>
          </w:p>
        </w:tc>
      </w:tr>
      <w:tr>
        <w:trPr>
          <w:trHeight w:val="209"/>
        </w:trPr>
        <w:tc>
          <w:tcPr>
            <w:tcW w:w="4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SJWTX, Inc.:</w:t>
            </w:r>
          </w:p>
        </w:tc>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w w:val="92"/>
              </w:rPr>
              <w:t>Senior note (a)</w:t>
            </w:r>
          </w:p>
        </w:tc>
        <w:tc>
          <w:tcPr>
            <w:tcW w:w="45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6.27%</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 term loans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4.01%, 4.11%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540"/>
              <w:spacing w:after="0"/>
              <w:rPr>
                <w:sz w:val="20"/>
                <w:szCs w:val="20"/>
                <w:color w:val="auto"/>
              </w:rPr>
            </w:pPr>
            <w:r>
              <w:rPr>
                <w:rFonts w:ascii="Arial" w:cs="Arial" w:eastAsia="Arial" w:hAnsi="Arial"/>
                <w:sz w:val="18"/>
                <w:szCs w:val="18"/>
                <w:color w:val="auto"/>
              </w:rPr>
              <w:t>Total SJWTX, Inc.</w:t>
            </w: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r>
      <w:tr>
        <w:trPr>
          <w:trHeight w:val="209"/>
        </w:trPr>
        <w:tc>
          <w:tcPr>
            <w:tcW w:w="40" w:type="dxa"/>
            <w:vAlign w:val="bottom"/>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Maine Water:</w:t>
            </w:r>
          </w:p>
        </w:tc>
        <w:tc>
          <w:tcPr>
            <w:tcW w:w="4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State revolving fund loans</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0.00% - 2.58%</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2022 - 2048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17,264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18,651</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First Mortgage Bond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8.95%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29"/>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Bank term loans</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3.89% - 5.51%</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2024 - 2043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Total Maine Water</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39,751</w:t>
            </w:r>
          </w:p>
        </w:tc>
      </w:tr>
      <w:tr>
        <w:trPr>
          <w:trHeight w:val="223"/>
        </w:trPr>
        <w:tc>
          <w:tcPr>
            <w:tcW w:w="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4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1,522,955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1,352,320</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Unamortized debt premium, net (b)</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22,479</w:t>
            </w:r>
          </w:p>
        </w:tc>
      </w:tr>
      <w:tr>
        <w:trPr>
          <w:trHeight w:val="229"/>
        </w:trPr>
        <w:tc>
          <w:tcPr>
            <w:tcW w:w="40" w:type="dxa"/>
            <w:vAlign w:val="bottom"/>
          </w:tcPr>
          <w:p>
            <w:pPr>
              <w:spacing w:after="0"/>
              <w:rPr>
                <w:sz w:val="19"/>
                <w:szCs w:val="19"/>
                <w:color w:val="auto"/>
              </w:rPr>
            </w:pPr>
          </w:p>
        </w:tc>
        <w:tc>
          <w:tcPr>
            <w:tcW w:w="5780" w:type="dxa"/>
            <w:vAlign w:val="bottom"/>
            <w:gridSpan w:val="3"/>
          </w:tcPr>
          <w:p>
            <w:pPr>
              <w:ind w:left="100"/>
              <w:spacing w:after="0"/>
              <w:rPr>
                <w:sz w:val="20"/>
                <w:szCs w:val="20"/>
                <w:color w:val="auto"/>
              </w:rPr>
            </w:pPr>
            <w:r>
              <w:rPr>
                <w:rFonts w:ascii="Arial" w:cs="Arial" w:eastAsia="Arial" w:hAnsi="Arial"/>
                <w:sz w:val="18"/>
                <w:szCs w:val="18"/>
                <w:color w:val="auto"/>
              </w:rPr>
              <w:t>Unamortized debt issuance costs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(10,978)</w:t>
            </w:r>
          </w:p>
        </w:tc>
      </w:tr>
      <w:tr>
        <w:trPr>
          <w:trHeight w:val="230"/>
        </w:trPr>
        <w:tc>
          <w:tcPr>
            <w:tcW w:w="40" w:type="dxa"/>
            <w:vAlign w:val="bottom"/>
          </w:tcPr>
          <w:p>
            <w:pPr>
              <w:spacing w:after="0"/>
              <w:rPr>
                <w:sz w:val="19"/>
                <w:szCs w:val="19"/>
                <w:color w:val="auto"/>
              </w:rPr>
            </w:pPr>
          </w:p>
        </w:tc>
        <w:tc>
          <w:tcPr>
            <w:tcW w:w="1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Current portion</w:t>
            </w:r>
          </w:p>
        </w:tc>
        <w:tc>
          <w:tcPr>
            <w:tcW w:w="45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(39,106)</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(76,241)</w:t>
            </w:r>
          </w:p>
        </w:tc>
      </w:tr>
      <w:tr>
        <w:trPr>
          <w:trHeight w:val="223"/>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Arial" w:cs="Arial" w:eastAsia="Arial" w:hAnsi="Arial"/>
                <w:sz w:val="18"/>
                <w:szCs w:val="18"/>
                <w:color w:val="auto"/>
              </w:rPr>
              <w:t>Total long-term debt, less current portion</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1,492,935</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1,287,580</w:t>
            </w:r>
          </w:p>
        </w:tc>
      </w:tr>
      <w:tr>
        <w:trPr>
          <w:trHeight w:val="21"/>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ind w:left="660" w:right="300" w:hanging="652"/>
        <w:spacing w:after="0" w:line="241" w:lineRule="auto"/>
        <w:tabs>
          <w:tab w:leader="none" w:pos="657"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Senior notes held by institutional investors are unsecured obligations of SJW Group, SJWC, Connecticut Water, SJWTX, Inc. and Maine Water and require interest-only payments until maturity. To minimize issuance costs, the companies’ debt has primarily been placed privately.</w:t>
      </w:r>
    </w:p>
    <w:p>
      <w:pPr>
        <w:ind w:left="640" w:hanging="632"/>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fair value adjustments recognized through purchase accounting for the completed merger with CTWS on October 9, 2019.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table of the consolidated company’s schedule of principal payments: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Year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2022</w:t>
            </w:r>
          </w:p>
        </w:tc>
        <w:tc>
          <w:tcPr>
            <w:tcW w:w="4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39,179</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48,983</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4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23,303</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1,403,482</w:t>
            </w:r>
          </w:p>
        </w:tc>
      </w:tr>
    </w:tbl>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estimated fair value of long-term debt as of December 31, 2021 and 2020 was approximately $1,651,825 and $1,570,727, respectively, and was determined using a discounted cash flow analysis, based on the current rates for similar financial instruments of the same duration and creditworthiness of the Company. The fair value of long-term debt would be categorized as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auto"/>
        </w:rPr>
        <w:t>SJW Group</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August 11, 2020, SJW Group entered into a note purchase agreement with the purchasers listed in the agreement, pursuant to which SJW Group sold an aggregate principal amount of $50,000 of its 2.47% Senior Notes, Series 2020, due August 1, 2030. The notes are unsecured obligations of the company. Interest is payable semi-annually in arrears on February 1st and August 1st of each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SJWC</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June 25, 2021, SJWC entered into a note purchase agreement with certain affiliates of New York Life Insurance (collectively the “Purchasers”), pursuant to which the company sold an aggregate principal amount of $50,000 of its 3.00% Senior Notes, Series N (“Series N Notes”) to the Purchasers. The Series N Notes are unsecured obligations of SJWC and are due on June 25, 2051. Interest is payable semi-annually in arrears on January 1st and July 1st of each year. The closing occurred simultaneously with the signing of the note purchase agreement.</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4, 2021, SJWC entered into a note purchase agreement with the purchasers listed in the agreement, pursuant to which the company sold an aggregate principal amount of $50,000 of its 3.00% Senior Notes, Series O (“Series O Notes”), due December 1, 2051. The Series O Notes are unsecured obligations of SJWC. Interest is payable semi-annually in arrears on June 1st and December 1st of each year. The closing of the note purchase agreement occurred on December 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Connecticut Water</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4, 2021, Connecticut Water entered into a note purchase agreement with certain affiliates of Metropolitan Life Insurance Company, New York Life Insurance Company, the Northwestern Mutual Life Insurance Company and Pacific Life Insurance Company, pursuant to which Connecticut Water sold on August 4, 2021, an aggregate principal amount of $50,000 of its 3.07% Senior Notes, Series 2021A, due 2051 (the “2021A Notes”) and on December 1, 2021, sold an aggregate principal amount of $50,000 of its 3.10% Senior Notes, Series 2021B, due 2051 (the “2021B Notes” and together with the 2021A Notes, the “CWC Notes”). The CWC Notes are unsecured obligations of Connecticut Water, with the 2021A Notes due on June 1, 2051, and the 2021B Notes due on December 1, 2051. Interest on the CWC Notes is payable semi-annually in arrears on June 1st and December 1st of each year. The proceeds from the sale of the CWC Notes will be used to repay outstanding short and/or long-term borrowings, to fund Connecticut Water’s capital expenditures, and/or for other general corporate purposes.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12, 2020, Connecticut Water entered into a note purchase agreement with NYL Investors, LLC as agent of the purchasers listed in the agreement, pursuant to which Connecticut Water sold on the same date an aggregate principal amount of $35,000 of its 3.51% Senior Notes, due March 12, 2050. The notes are unsecured obligations of Connecticut Water. Interest is payable semi-annually in arrears on March 12th and September 12th of each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SJWTX, Inc.</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May 13, 2021, CLWSC entered into a master credit agreement and promissory note with a commercial bank under which it entered into a borrowing agreement for an aggregate principal amount not to exceed $30,000, of which $20,000 was advanced at the closing date. The borrowing carries a fixed interest rate of 4.01% due on March 20, 2041. On December 1, 2021, the remaining aggregate principal amount of the promissory note, $10,000, was advanced to CLWSC at a fixed interest rate of 4.11%. The notes are unsecured obligations of CLWSC. Interest is payable quarterly in arrears on the 20th day of January, April, July and October of each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Maine Water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2, 2021, Maine Water entered into a credit agreement with a commercial bank, pursuant to an existing master loan agreement under which the commercial bank issued Maine Water a promissory note on the same date with an aggregate principal amount of $17,000 and a fixed interest rate of 3.89%, due March 1, 2041. The notes are unsecured obligations of Maine Water. Interest is payable quarterly in arrears on the 20th day of January, April, July and October of each year. Proceeds from the borrowing were received on March 18, 2021.</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23, 2020, Maine Water issued $4,000 of Series T First Mortgage Bonds to the Maine Municipal Bond Bank through the State Safe Drinking Water Revolving Loan Fund. The Series T bonds mature on October 1, 2041 and carry 1% interest. The Series T First Mortgage Bond covenants are the same as all other First Mortgage Bonds. The proceeds were used for pre-approved projects primarily related to preliminary engineering and design work of a water treatment plant in Maine’s Biddeford and Saco division.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Covenants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70" w:name="page71"/>
    <w:bookmarkEnd w:id="70"/>
    <w:p>
      <w:pPr>
        <w:ind w:right="120"/>
        <w:spacing w:after="0" w:line="263" w:lineRule="auto"/>
        <w:rPr>
          <w:sz w:val="20"/>
          <w:szCs w:val="20"/>
          <w:color w:val="auto"/>
        </w:rPr>
      </w:pPr>
      <w:r>
        <w:rPr>
          <w:rFonts w:ascii="Arial" w:cs="Arial" w:eastAsia="Arial" w:hAnsi="Arial"/>
          <w:sz w:val="18"/>
          <w:szCs w:val="18"/>
          <w:color w:val="auto"/>
        </w:rPr>
        <w:t>agreements contain customary representations and warranties and subject to customary events of default, which may result in outstanding notes becoming immediately due and payable. As of December 31, 2021, SJW Group and its subsidiaries were in compliance with all covenants related to its long-term debt agreements.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6360" w:type="dxa"/>
            <w:vAlign w:val="bottom"/>
            <w:gridSpan w:val="2"/>
          </w:tcPr>
          <w:p>
            <w:pPr>
              <w:jc w:val="right"/>
              <w:ind w:right="4910"/>
              <w:spacing w:after="0"/>
              <w:rPr>
                <w:sz w:val="20"/>
                <w:szCs w:val="20"/>
                <w:color w:val="auto"/>
              </w:rPr>
            </w:pPr>
            <w:r>
              <w:rPr>
                <w:rFonts w:ascii="Arial" w:cs="Arial" w:eastAsia="Arial" w:hAnsi="Arial"/>
                <w:sz w:val="18"/>
                <w:szCs w:val="18"/>
                <w:b w:val="1"/>
                <w:bCs w:val="1"/>
                <w:color w:val="auto"/>
              </w:rPr>
              <w:t>Income Taxes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7360" w:type="dxa"/>
            <w:vAlign w:val="bottom"/>
            <w:gridSpan w:val="3"/>
          </w:tcPr>
          <w:p>
            <w:pPr>
              <w:spacing w:after="0"/>
              <w:rPr>
                <w:sz w:val="20"/>
                <w:szCs w:val="20"/>
                <w:color w:val="auto"/>
              </w:rPr>
            </w:pPr>
            <w:r>
              <w:rPr>
                <w:rFonts w:ascii="Arial" w:cs="Arial" w:eastAsia="Arial" w:hAnsi="Arial"/>
                <w:sz w:val="18"/>
                <w:szCs w:val="18"/>
                <w:color w:val="auto"/>
              </w:rPr>
              <w:t>The components of income tax expense were: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5"/>
        </w:trPr>
        <w:tc>
          <w:tcPr>
            <w:tcW w:w="1000" w:type="dxa"/>
            <w:vAlign w:val="bottom"/>
          </w:tcPr>
          <w:p>
            <w:pPr>
              <w:spacing w:after="0"/>
              <w:rPr>
                <w:sz w:val="24"/>
                <w:szCs w:val="24"/>
                <w:color w:val="auto"/>
              </w:rPr>
            </w:pPr>
          </w:p>
        </w:tc>
        <w:tc>
          <w:tcPr>
            <w:tcW w:w="6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15"/>
        </w:trPr>
        <w:tc>
          <w:tcPr>
            <w:tcW w:w="1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1000" w:type="dxa"/>
            <w:vAlign w:val="bottom"/>
          </w:tcPr>
          <w:p>
            <w:pPr>
              <w:ind w:left="140"/>
              <w:spacing w:after="0"/>
              <w:rPr>
                <w:sz w:val="20"/>
                <w:szCs w:val="20"/>
                <w:color w:val="auto"/>
              </w:rPr>
            </w:pPr>
            <w:r>
              <w:rPr>
                <w:rFonts w:ascii="Arial" w:cs="Arial" w:eastAsia="Arial" w:hAnsi="Arial"/>
                <w:sz w:val="18"/>
                <w:szCs w:val="18"/>
                <w:color w:val="auto"/>
              </w:rPr>
              <w:t>Federal</w:t>
            </w:r>
          </w:p>
        </w:tc>
        <w:tc>
          <w:tcPr>
            <w:tcW w:w="63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7,577</w:t>
            </w:r>
          </w:p>
        </w:tc>
      </w:tr>
      <w:tr>
        <w:trPr>
          <w:trHeight w:val="230"/>
        </w:trPr>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5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Deferred:</w:t>
            </w:r>
          </w:p>
        </w:tc>
        <w:tc>
          <w:tcPr>
            <w:tcW w:w="5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5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r>
      <w:tr>
        <w:trPr>
          <w:trHeight w:val="230"/>
        </w:trPr>
        <w:tc>
          <w:tcPr>
            <w:tcW w:w="1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54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48"/>
        </w:trPr>
        <w:tc>
          <w:tcPr>
            <w:tcW w:w="100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reconciles income tax expense to the amount computed by applying the federal statutory rate to income before income taxes of $68,847, $69,895 and $32,081 in 2021, 2020 and 2019:</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9"/>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at federal statutory rate</w:t>
            </w:r>
          </w:p>
        </w:tc>
        <w:tc>
          <w:tcPr>
            <w:tcW w:w="920" w:type="dxa"/>
            <w:vAlign w:val="bottom"/>
            <w:tcBorders>
              <w:top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14,458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14,678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Increase (decrease) in taxes attributable to:</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taxes, net of federal income tax benefit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Uncertain tax positions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flow-through</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(8,573)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Capitalized merger costs</w:t>
            </w:r>
          </w:p>
        </w:tc>
        <w:tc>
          <w:tcPr>
            <w:tcW w:w="920" w:type="dxa"/>
            <w:vAlign w:val="bottom"/>
          </w:tcPr>
          <w:p>
            <w:pPr>
              <w:spacing w:after="0"/>
              <w:rPr>
                <w:sz w:val="19"/>
                <w:szCs w:val="19"/>
                <w:color w:val="auto"/>
              </w:rPr>
            </w:pPr>
          </w:p>
        </w:tc>
        <w:tc>
          <w:tcPr>
            <w:tcW w:w="1640" w:type="dxa"/>
            <w:vAlign w:val="bottom"/>
            <w:gridSpan w:val="3"/>
          </w:tcPr>
          <w:p>
            <w:pPr>
              <w:jc w:val="right"/>
              <w:ind w:right="1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reform - rate change impact on deferred taxes</w:t>
            </w:r>
          </w:p>
        </w:tc>
        <w:tc>
          <w:tcPr>
            <w:tcW w:w="9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Reversal of excess deferred taxes recognized in regulatory liability</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(3,295)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(2,912)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Pension flow-through</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items,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64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w:t>
            </w:r>
          </w:p>
        </w:tc>
      </w:tr>
      <w:tr>
        <w:trPr>
          <w:trHeight w:val="20"/>
        </w:trPr>
        <w:tc>
          <w:tcPr>
            <w:tcW w:w="6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components of the net deferred tax liability as of December 31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Borders>
              <w:bottom w:val="single" w:sz="8" w:color="BFE4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BFE4FF"/>
            </w:tcBorders>
          </w:tcPr>
          <w:p>
            <w:pPr>
              <w:spacing w:after="0"/>
              <w:rPr>
                <w:sz w:val="16"/>
                <w:szCs w:val="16"/>
                <w:color w:val="auto"/>
              </w:rPr>
            </w:pPr>
          </w:p>
        </w:tc>
        <w:tc>
          <w:tcPr>
            <w:tcW w:w="15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6"/>
        </w:trPr>
        <w:tc>
          <w:tcPr>
            <w:tcW w:w="8060" w:type="dxa"/>
            <w:vAlign w:val="bottom"/>
            <w:shd w:val="clear" w:color="auto" w:fill="BFE4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540" w:type="dxa"/>
            <w:vAlign w:val="bottom"/>
            <w:shd w:val="clear" w:color="auto" w:fill="BFE4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Advances and contributions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24,584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22,573</w:t>
            </w:r>
          </w:p>
        </w:tc>
      </w:tr>
      <w:tr>
        <w:trPr>
          <w:trHeight w:val="230"/>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Unamortized investment tax credit</w:t>
            </w: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Pensions, postretirement benefits and 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32,396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41,180</w:t>
            </w:r>
          </w:p>
        </w:tc>
      </w:tr>
      <w:tr>
        <w:trPr>
          <w:trHeight w:val="230"/>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Debt premium, net</w:t>
            </w: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5,579</w:t>
            </w:r>
          </w:p>
        </w:tc>
        <w:tc>
          <w:tcPr>
            <w:tcW w:w="10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6,290</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California franchise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29"/>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Net operating loss</w:t>
            </w:r>
          </w:p>
        </w:tc>
        <w:tc>
          <w:tcPr>
            <w:tcW w:w="360" w:type="dxa"/>
            <w:vAlign w:val="bottom"/>
            <w:shd w:val="clear" w:color="auto" w:fill="BFE4FF"/>
          </w:tcPr>
          <w:p>
            <w:pPr>
              <w:spacing w:after="0"/>
              <w:rPr>
                <w:sz w:val="19"/>
                <w:szCs w:val="19"/>
                <w:color w:val="auto"/>
              </w:rPr>
            </w:pPr>
          </w:p>
        </w:tc>
        <w:tc>
          <w:tcPr>
            <w:tcW w:w="1260" w:type="dxa"/>
            <w:vAlign w:val="bottom"/>
            <w:gridSpan w:val="2"/>
            <w:shd w:val="clear" w:color="auto" w:fill="BFE4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8060" w:type="dxa"/>
            <w:vAlign w:val="bottom"/>
            <w:tcBorders>
              <w:bottom w:val="single" w:sz="8" w:color="BFE4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BFE4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r>
      <w:tr>
        <w:trPr>
          <w:trHeight w:val="223"/>
        </w:trPr>
        <w:tc>
          <w:tcPr>
            <w:tcW w:w="806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BFE4FF"/>
          </w:tcPr>
          <w:p>
            <w:pPr>
              <w:spacing w:after="0"/>
              <w:rPr>
                <w:sz w:val="19"/>
                <w:szCs w:val="19"/>
                <w:color w:val="auto"/>
              </w:rPr>
            </w:pPr>
          </w:p>
        </w:tc>
        <w:tc>
          <w:tcPr>
            <w:tcW w:w="1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71,800</w:t>
            </w:r>
          </w:p>
        </w:tc>
        <w:tc>
          <w:tcPr>
            <w:tcW w:w="100" w:type="dxa"/>
            <w:vAlign w:val="bottom"/>
            <w:shd w:val="clear" w:color="auto" w:fill="BFE4FF"/>
          </w:tcPr>
          <w:p>
            <w:pPr>
              <w:spacing w:after="0"/>
              <w:rPr>
                <w:sz w:val="19"/>
                <w:szCs w:val="19"/>
                <w:color w:val="auto"/>
              </w:rPr>
            </w:pPr>
          </w:p>
        </w:tc>
        <w:tc>
          <w:tcPr>
            <w:tcW w:w="1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78,760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Utility plant</w:t>
            </w: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216,497</w:t>
            </w:r>
          </w:p>
        </w:tc>
        <w:tc>
          <w:tcPr>
            <w:tcW w:w="10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209,541</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Pension and postretirement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24,779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31,227</w:t>
            </w:r>
          </w:p>
        </w:tc>
      </w:tr>
      <w:tr>
        <w:trPr>
          <w:trHeight w:val="230"/>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Deferred gain and other-property</w:t>
            </w: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5,901</w:t>
            </w:r>
          </w:p>
        </w:tc>
        <w:tc>
          <w:tcPr>
            <w:tcW w:w="10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5,875</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Regulatory asset - business combinations debt premium,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6,290</w:t>
            </w:r>
          </w:p>
        </w:tc>
      </w:tr>
      <w:tr>
        <w:trPr>
          <w:trHeight w:val="230"/>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Intangibles</w:t>
            </w: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3,443</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Regulatory asset - income tax temporary differences, net</w:t>
            </w:r>
          </w:p>
        </w:tc>
        <w:tc>
          <w:tcPr>
            <w:tcW w:w="36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6,867</w:t>
            </w:r>
          </w:p>
        </w:tc>
        <w:tc>
          <w:tcPr>
            <w:tcW w:w="100" w:type="dxa"/>
            <w:vAlign w:val="bottom"/>
            <w:shd w:val="clear" w:color="auto" w:fill="BFE4FF"/>
          </w:tcPr>
          <w:p>
            <w:pPr>
              <w:spacing w:after="0"/>
              <w:rPr>
                <w:sz w:val="19"/>
                <w:szCs w:val="19"/>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Section 481(a) adjustments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4,763</w:t>
            </w:r>
          </w:p>
        </w:tc>
      </w:tr>
      <w:tr>
        <w:trPr>
          <w:trHeight w:val="229"/>
        </w:trPr>
        <w:tc>
          <w:tcPr>
            <w:tcW w:w="8060" w:type="dxa"/>
            <w:vAlign w:val="bottom"/>
            <w:shd w:val="clear" w:color="auto" w:fill="BFE4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BFE4FF"/>
          </w:tcPr>
          <w:p>
            <w:pPr>
              <w:spacing w:after="0"/>
              <w:rPr>
                <w:sz w:val="19"/>
                <w:szCs w:val="19"/>
                <w:color w:val="auto"/>
              </w:rPr>
            </w:pPr>
          </w:p>
        </w:tc>
        <w:tc>
          <w:tcPr>
            <w:tcW w:w="1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5,551</w:t>
            </w:r>
          </w:p>
        </w:tc>
        <w:tc>
          <w:tcPr>
            <w:tcW w:w="100" w:type="dxa"/>
            <w:vAlign w:val="bottom"/>
            <w:shd w:val="clear" w:color="auto" w:fill="BFE4FF"/>
          </w:tcPr>
          <w:p>
            <w:pPr>
              <w:spacing w:after="0"/>
              <w:rPr>
                <w:sz w:val="19"/>
                <w:szCs w:val="19"/>
                <w:color w:val="auto"/>
              </w:rPr>
            </w:pPr>
          </w:p>
        </w:tc>
        <w:tc>
          <w:tcPr>
            <w:tcW w:w="1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7,544</w:t>
            </w:r>
          </w:p>
        </w:tc>
      </w:tr>
      <w:tr>
        <w:trPr>
          <w:trHeight w:val="223"/>
        </w:trPr>
        <w:tc>
          <w:tcPr>
            <w:tcW w:w="806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272,251</w:t>
            </w:r>
          </w:p>
        </w:tc>
        <w:tc>
          <w:tcPr>
            <w:tcW w:w="100" w:type="dxa"/>
            <w:vAlign w:val="bottom"/>
            <w:tcBorders>
              <w:bottom w:val="single" w:sz="8" w:color="BFE4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270,175</w:t>
            </w:r>
          </w:p>
        </w:tc>
      </w:tr>
      <w:tr>
        <w:trPr>
          <w:trHeight w:val="248"/>
        </w:trPr>
        <w:tc>
          <w:tcPr>
            <w:tcW w:w="80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200,451</w:t>
            </w:r>
          </w:p>
        </w:tc>
        <w:tc>
          <w:tcPr>
            <w:tcW w:w="10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191,415</w:t>
            </w:r>
          </w:p>
        </w:tc>
      </w:tr>
      <w:tr>
        <w:trPr>
          <w:trHeight w:val="20"/>
        </w:trPr>
        <w:tc>
          <w:tcPr>
            <w:tcW w:w="806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16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540" w:type="dxa"/>
            <w:vAlign w:val="bottom"/>
            <w:tcBorders>
              <w:top w:val="single" w:sz="8" w:color="BFE4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Management evaluates the realizability of deferred tax assets based on all available evidence, both positive and negative. The realization of deferred tax assets is dependent on our ability to generate sufficient future taxable income during periods in which the deferred tax assets are expected to reverse. Based on all available evidence, management believes it is more likely than not that SJW Group will realize the benefits of its deferred tax assets. Accordingly, the valuation allowance relating to deferred tax assets acquired from CTWS was released in 2020 through purchase accounting adjustments made within the measurement period. Net operating loss carryforwards expire beginning in 2032 and ending in 2039. As of December 31, 2021, the estimated amount of net operating loss carryforwards available to offset future taxable income for Connecticut purposes is $26,820. The estimated state tax credit carryforwards are $667 which will expire beginning in 2023 and ending in 2040.</w:t>
      </w:r>
    </w:p>
    <w:p>
      <w:pPr>
        <w:spacing w:after="0" w:line="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change in the net deferred tax liabilities of $9,036 in 2021 included other non-cash items primarily consisting of regulatory assets and liabilities relating to income tax temporary differences.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total amount of unrecognized tax benefits, before the impact of deductions for state taxes, excluding interest and penalties was $7,961 and $6,468 as of December 31, 2021 and 2020, respectively. The amount of tax benefits, net of any federal benefits for state taxes that would impact the effective rate, if recognized, is approximately $7,009 and $5,600 as of December 31,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8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Increase related to tax positions taken during the current year</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related to tax positions taken during a prior year</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Reductions related to tax positions taken in a prior year</w:t>
            </w:r>
          </w:p>
        </w:tc>
        <w:tc>
          <w:tcPr>
            <w:tcW w:w="980" w:type="dxa"/>
            <w:vAlign w:val="bottom"/>
          </w:tcPr>
          <w:p>
            <w:pPr>
              <w:spacing w:after="0"/>
              <w:rPr>
                <w:sz w:val="19"/>
                <w:szCs w:val="19"/>
                <w:color w:val="auto"/>
              </w:rPr>
            </w:pPr>
          </w:p>
        </w:tc>
        <w:tc>
          <w:tcPr>
            <w:tcW w:w="164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gross unrecognized tax benefits in 2021 was primarily due to the uncertain tax position relating to repairs tax deductions.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jc w:val="both"/>
        <w:ind w:right="200"/>
        <w:spacing w:after="0" w:line="311" w:lineRule="auto"/>
        <w:rPr>
          <w:sz w:val="20"/>
          <w:szCs w:val="20"/>
          <w:color w:val="auto"/>
        </w:rPr>
      </w:pPr>
      <w:r>
        <w:rPr>
          <w:rFonts w:ascii="Arial" w:cs="Arial" w:eastAsia="Arial" w:hAnsi="Arial"/>
          <w:sz w:val="16"/>
          <w:szCs w:val="16"/>
          <w:color w:val="auto"/>
        </w:rPr>
        <w:t>SJW Group’s policy is to classify interest and penalties associated with unrecognized tax benefits, if any, in tax expense. Accrued interest expense, net of the benefit of tax deductions which would be available on the payment of such interest, is approximately $376 as of December 31, 2021. SJW Group has not accrued any penalties for unrecognized tax benefits. The amount of interest recognized in 2021 was an increase to expense of $270.</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SJW Group does not foresee material changes to its gross uncertain tax liability within the next 12 months following December 31, 2021.</w:t>
      </w:r>
    </w:p>
    <w:p>
      <w:pPr>
        <w:spacing w:after="0" w:line="11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SJW Group files U.S. federal income tax returns and income tax returns in various states and is subject to ordinary statute of limitation of three years for federal and three or four years for different state returns. However, due to tax attribute carryforwards, SJW Group is subject to examination for tax years 2009 forward for federal and 2012 forward for state returns of CTWS and its subsidiaries. The statute of limitation for SJW Group returns is closed for these extended years and remains open for 2018 and forward for federal and 2017 or 2018 and forward for different states.</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Utility Plant Intangible Assets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Intangible assets consist of a concession fee paid to the City of Cupertino of $6,800 for operating the City of Cupertino municipal water system, $13,400 related to the purchase premium for customer relationships and other intangibles of $16,076 as of December 31, 2021. Other intangibles primarily consist of $4,290 which was paid for service area and water rights by CLWSC, $5,984 for infrastructure related to the Cupertino service concession arrangement, $1,400 for customer relationships and $1,040 incurred in conjunction with Valley Water water contracts related to the operation of SJWC. All intangible assets are recorded at cost and are primarily being amortized using the straight-line method over the legal or estimated economic life of the assets ranging from 5 to 70 years.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intangible assets was $1,553, $1,401 and $745 for the years ended December 31, 2021, 2020 and 2019,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2022 through 2026 and thereafter is anticipated to be $1,553 per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costs of intangible assets as of December 31, 2021 and 2020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8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Concession fees</w:t>
            </w:r>
          </w:p>
        </w:tc>
        <w:tc>
          <w:tcPr>
            <w:tcW w:w="67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Purchase premium customer relationships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13,400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Other intangibles</w:t>
            </w:r>
          </w:p>
        </w:tc>
        <w:tc>
          <w:tcPr>
            <w:tcW w:w="67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16,076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w w:val="91"/>
              </w:rPr>
              <w:t>Intangible assets</w:t>
            </w:r>
          </w:p>
        </w:tc>
        <w:tc>
          <w:tcPr>
            <w:tcW w:w="6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36,276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35,167</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Concession fees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premium customer relationships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intangibles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intangible assets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w:t>
            </w:r>
          </w:p>
        </w:tc>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Commitments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280" w:type="dxa"/>
            <w:vAlign w:val="bottom"/>
            <w:vMerge w:val="continue"/>
          </w:tcPr>
          <w:p>
            <w:pPr>
              <w:spacing w:after="0"/>
              <w:rPr>
                <w:sz w:val="24"/>
                <w:szCs w:val="24"/>
                <w:color w:val="auto"/>
              </w:rPr>
            </w:pPr>
          </w:p>
        </w:tc>
        <w:tc>
          <w:tcPr>
            <w:tcW w:w="6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0"/>
        <w:spacing w:after="0" w:line="287" w:lineRule="auto"/>
        <w:rPr>
          <w:sz w:val="20"/>
          <w:szCs w:val="20"/>
          <w:color w:val="auto"/>
        </w:rPr>
      </w:pPr>
      <w:r>
        <w:rPr>
          <w:rFonts w:ascii="Arial" w:cs="Arial" w:eastAsia="Arial" w:hAnsi="Arial"/>
          <w:sz w:val="16"/>
          <w:szCs w:val="16"/>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2021, 2020 and 2019, SJWC purchased from Valley Water 19,365 million gallons ($91,938), 21,269 million gallons ($96,212)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21,862 million gallons ($96,285), respectively, of contract water. On June 24, 2021, the Valley Water Board of Directors approved treated water deliveries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reflecting the contractual delivery schedule reduced by 23% through June 30, 2022. Effective February 1, 2022, the treated water contract delivery schedule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increase by 10%, and Valley Water will evaluate supply conditions and adjust the delivery schedules as appropriate. Based on current prices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estimated deliveries, SJWC is committed to purchase from Valley Water a minimum of 90% of the reduced delivery schedule, or 18,756 million gallons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($92,902) of water at the current contract water rate of $5.0 per million gallons for the year ending December 31, 2022. Additionally, SJWC purchases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contract water from Valley Water on an “as needed” basis if the water supply is available.</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1997, SJWC entered into a 25-year contract agreement with the City of Cupertino to operate the City’s municipal water system. SJWC paid a one-time, upfront concession fee of $6,800 to the City of Cupertino which is amortized over the contract term. Under the terms of the contract agreement, SJWC assumed responsibility for maintenance and operating costs, while receiving all payments for water service. SJWC and the City of Cupertino signed an amendment to the lease agreement dated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3" w:name="page74"/>
    <w:bookmarkEnd w:id="73"/>
    <w:p>
      <w:pPr>
        <w:spacing w:after="0" w:line="272" w:lineRule="auto"/>
        <w:rPr>
          <w:sz w:val="20"/>
          <w:szCs w:val="20"/>
          <w:color w:val="auto"/>
        </w:rPr>
      </w:pPr>
      <w:r>
        <w:rPr>
          <w:rFonts w:ascii="Arial" w:cs="Arial" w:eastAsia="Arial" w:hAnsi="Arial"/>
          <w:sz w:val="17"/>
          <w:szCs w:val="17"/>
          <w:color w:val="auto"/>
        </w:rPr>
        <w:t>January 8, 2020. Under the terms of the amended lease agreement, SJWC agreed to an incremental up-front payment of $5,000 to be used by the City of Cupertino for capital improvements to the City’s municipal water system prior to the expiration of the lease in September 2022. Any unspent funds at lease termination remain the property of the City. On November 2, 2021, the City of Cupertino approved another amendment to the current lease agreement executed on January 8, 2020. This second amendment provides the City of Cupertino options to extend the lease agreement by periods of six months, two years, or three years with modifications of additional capital improvement funds of $350, $1,600 and $2,500, respectively, depending on the lease extension period option. These options are intended to provide the City of Cupertino more time, if needed, to complete its Request For Proposals process for a new lease term and conduct analyses of other alternatives for the operation of the water system.</w:t>
      </w:r>
    </w:p>
    <w:p>
      <w:pPr>
        <w:spacing w:after="0" w:line="6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Connecticut Water has an agreement with the South Central Connecticut Regional Water Authority (“RWA”) to purchase water from RWA. The agreement was signed in April 2006 and became effective upon the receipt of all regulatory approvals in 2008 and will remain in effect for a minimum of fifty years upon becoming effective. Connecticut Water will pay RWA $75 per year as part of a capacity agreement, for a total of 14 years, starting on the effective date of the agreement. In addition, Connecticut Water is able, but under no obligation, to purchase up to one million gallons of water per day at the then current wholesale rates per the agreement, $2.6 per million gallons as of December 31, 2021. Connecticut Water has an agreement with The Metropolitan District (“MDC”) to purchase water from MDC to serve the Unionville system. The agreement became effective on October 6, 2000 and has a term of fifty years beginning May 19, 2003, the date the water supply facilities related to the agreement were placed in service. Connecticut Water agrees to purchase 283 million gallons of water annually from MDC. The rate charged by the MDC at December 31, 2021 were $4.05 per hundred cubic feet.</w:t>
      </w:r>
    </w:p>
    <w:p>
      <w:pPr>
        <w:spacing w:after="0" w:line="5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CLWSC has long-term contracts with the GBRA. The terms of the agreements expire in 2037, 2040, 2044 and 2050. The agreements, which are take-or-pay contracts, provide CLWSC with 7,650 acre-feet per year of water supply from Canyon Lake. The water rate may be adjusted by GBRA at any time, provided they give CLWSC a 60-day written notice on the proposed adjustment. CLWSC also has raw water supply agreements with the Lower Colorado River Authority (“LCRA”) and West Travis Public Utility Agency (“WTPUA”) expiring in 2059 and 2046, respectively, for 250 acre-feet of water under each agreement per year from Lake Austin and the Colorado River, respectively, at prices that may be adjusted periodically by the agencies.</w:t>
      </w:r>
    </w:p>
    <w:p>
      <w:pPr>
        <w:spacing w:after="0" w:line="5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Maine Water has an agreement with the Kennebec Water District for potable water service. The agreement has been in place for 20 years and was extended on November 7, 2020 for a new term of up to 20 years. Maine Water guarantees a minimum consumption of 50 million gallons of water annually. Water sales to Maine Water are billed at a wholesale discount of $0.20 per hundred cubic feet of water below Kennebec Water District's tariffed rates. The current tariff rate wa</w:t>
      </w:r>
      <w:r>
        <w:rPr>
          <w:rFonts w:ascii="Arial" w:cs="Arial" w:eastAsia="Arial" w:hAnsi="Arial"/>
          <w:sz w:val="19"/>
          <w:szCs w:val="19"/>
          <w:color w:val="auto"/>
        </w:rPr>
        <w:t>s</w:t>
      </w:r>
      <w:r>
        <w:rPr>
          <w:rFonts w:ascii="Arial" w:cs="Arial" w:eastAsia="Arial" w:hAnsi="Arial"/>
          <w:sz w:val="18"/>
          <w:szCs w:val="18"/>
          <w:color w:val="auto"/>
        </w:rPr>
        <w:t xml:space="preserve"> $1.51 per hundred cubic feet as of December 31, 2021.</w:t>
      </w:r>
    </w:p>
    <w:p>
      <w:pPr>
        <w:spacing w:after="0" w:line="7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As of December 31, 2021, SJWC had 362 employees, of whom 226 were members of unions. On November 12, 2019 and February 20, 2020, SJWC reached three-year bargaining agreements with the International Union of Operating Engineers, representing certain employees in the engineering department, and the Utility Workers of America, representing the majority of all nonadministrative employees at SJWC covering January 1, 2020 through December 31, 2022. The agreements include a 3% wage increase in 2020, 3% in 2021 and 4% in 2022 for members of both unions. The current three-year bargaining agreements will expire on December 31, 2022, and negotiations will be begin in 2022 for the upcoming period, 2023 through 2025.</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Contingencies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SJW Group and its subsidiaries are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Benefit Plans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Interest is credited based on the annual yield on 30-year Treasury bonds as of October for the preceding plan year with a minimum annual rate of 3.25% and a maximum annual rate of 6.00%. For the year ended December 31, 2021, interest credits assumption was 3.50%. Certain employees hired before March 1, 2012, and covered by a plan merged into the CTWS plan in 2013 are also entitled to benefits based on the employee’s years of service and compensation. CTWS employees hired on or after January 1, 2009 are entitled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an additional 1.5% of eligible compensation to their company sponsored savings plan. SJW Group does not have multi-employer plans.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pension plans are administered by their respective committees where the investment strategy of the investments of the various pension and post-retirement benefit plans are reviewed and approved to achieve the goals of income generation and long-term capital preservation. SJW Group engages third-party investment managers to assist with, among other things, asset allocation strategy, investment policy advice, performance monitoring, and investment manager due diligence. Individual investment decisions have been delegated by the pension plan committees to the investment managers who are also monitored by an investment consultant. Investment managers are not permitted to invest outside of the asset class or strategy under the pension plans’ investment guidelines. The committees ensure that the plans establish a target mix that is expected to achieve its investment objectives, by assuring a broad diversification of investment assets among investment types, while minimizing volatility of the target asset mix, unless market conditions make such a change appropriate to reduce risk. The pension plans require a minimum portion of plan assets to be allocated to fixed income securities and provide guidelines and restrictions on equity investments for the assets.</w:t>
      </w:r>
    </w:p>
    <w:p>
      <w:pPr>
        <w:spacing w:after="0" w:line="7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Plan assets are marked to market at each measurement date, resulting in unrealized actuarial gains or losses. Unrealized actuarial gains and losses on pension assets are amortized over the expected future working lifetime of participants for actuarial expense calculation purposes. Market gains in 2020 decreased pension expense by approximately $2,442 in 2021 and market gains in 2019 decreased pension expense by approximately $5,464 in 2020. For the year ended December 31, 2021, the net actuarial gain of the benefit obligation was related primarily a gain from changes of discount rate of $20,017, a $11,913 loss from pension data changes, and a loss from mortality changes of $593.</w:t>
      </w:r>
    </w:p>
    <w:p>
      <w:pPr>
        <w:spacing w:after="0" w:line="6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Generally, it is expected of the investment managers that the performance of the assets held in the pension plans, computed on a total annual rate of return basis, should meet or exceed specific performance standards over a three-to-five-year period and/or full market cycle. These standards include specific absolute and risk-adjusted performance standards over a three-to-five-year period and/or full market cycle. The expected long-term rate of return on the pension plan assets is between 6.50% and 6.75% for the year ended December 31, 2021.</w:t>
      </w:r>
    </w:p>
    <w:p>
      <w:pPr>
        <w:spacing w:after="0" w:line="6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SJW Group calculates the market-related value of defined benefit pension plan assets, which is defined under FASB ASC Topic 715—“Compensation— Retirement Benefits” as a balance used to calculate the expected return on plan assets, using fair value. The fair value is based on quoted prices in active markets for identical assets and significant observable inputs.</w:t>
      </w:r>
    </w:p>
    <w:p>
      <w:pPr>
        <w:spacing w:after="0" w:line="7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Senior management hired before March 31, 2008 for SJWC and January 1, 2009 for CTWS are eligible to receive additional retirement benefits under the supplemental executive retirement plans and retirement contracts (collectively, “SERP”). SJWC’s senior management hired on or after March 31, 2008 are eligible to receive additional retirement benefits under SJWC’s Cash Balance Executive Supplemental Retirement Plan ("Cash Balance Executive Supplemental Retirement Plan"). Both of the plans are non-qualified plans in which only senior management and other designated members of management may participate. The annual cost of the plans has been included in the determination of the net periodic benefit cost shown below. The SERP and Cash Balance Executive Supplemental Retirement Plan had a projected benefit obligation of $50,742 and $50,757 as of December 31, 2021 and 2020, respectively, and net periodic pension cost of $4,456, $4,480 and $3,219 for 2021, 2020 and 2019, respectively. For the year ended December 31, 2021, 2020 and 2019, the amounts not recognized as a component of net periodic benefit cost was $901, $(1,190), and $(788), respectively, recorded as other comprehensive income on the consolidated financial statements. SJWC’s plans are unfunded while CTWS’s SERP is funded through investments consisting primarily of life insurance contracts and assets in a Rabbi Trust. As of December 31, 2021 and 2020, total investments made to fund CTWS’s SERP was $8,147 and $7,470, respectively, which is included in “Investments” in SJW Group’s Consolidated Balance Sheets. The life insurance contracts are valued at cash surrender value of the policies as reported by the insurer. As of December 31, 2021 and 2020, the value of the life insurance contracts was $4,191 and $4,311, respectively.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75" w:name="page76"/>
    <w:bookmarkEnd w:id="75"/>
    <w:p>
      <w:pPr>
        <w:ind w:right="180"/>
        <w:spacing w:after="0" w:line="277" w:lineRule="auto"/>
        <w:rPr>
          <w:sz w:val="20"/>
          <w:szCs w:val="20"/>
          <w:color w:val="auto"/>
        </w:rPr>
      </w:pPr>
      <w:r>
        <w:rPr>
          <w:rFonts w:ascii="Arial" w:cs="Arial" w:eastAsia="Arial" w:hAnsi="Arial"/>
          <w:sz w:val="18"/>
          <w:szCs w:val="18"/>
          <w:color w:val="auto"/>
        </w:rPr>
        <w:t>The following tables summarize the fair values of the Rabbi Trust investment assets to fund CTWS’s SERP by major categories as of December 31, 2021 and 2020 :</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 at December 31, 2021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Quoted</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Prices in</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Active</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42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Identical</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2"/>
              </w:rPr>
              <w:t>Assets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5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(Level 1)</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(Level 2)</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 at December 31, 2020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Quoted</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Prices in</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Active</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42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Identical</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2"/>
              </w:rPr>
              <w:t>Assets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Inputs</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5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(Level 1)</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(Level 2)</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Mutual funds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Other Postretirement Benefits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providing pension and savings benefits, the company also provides health care and life insurance benefits for eligible retired employees under the respective employer-sponsored post-retirement benefits other than pension plans. The benefits are paid by the company and not from plan assets due to limitations imposed by Internal Revenue Service.</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Flexible Spending Plan</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SJW Group sponsors flexible spending account plans for its employees for the purpose of providing eligible employees with the opportunity to choose from among the fringe benefits available under the plans. The flexible spending plan is intended to qualify as a cafeteria plan under the provisions of the Internal Revenue Code Section 125. The flexible spending plan allows employees to save pre-tax income in a Health Care Spending Account (“HCSA”) and/or a Dependent Care Spending Account (“DCSA”) to help defray the cost of out-of-pocket medical and dependent care expenses. The annual maximum limit under the HCSA and DCSA plans is $2.5 and $5, respectively.</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Savings Plans for Employees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SJW Group also sponsors salary deferral plans which are defined contribution plans that allow employees to defer and contribute a portion of their earnings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the plan. Contributions, not to exceed set limits, are matched by the company. For CTWS’s employees hired on or after January 1, 2009 and ineligible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participate in the defined benefit pension plan, CTWS contributes an additional 1.5% of eligible contributions. SJW Group contributions were $2,822,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$2,824 and $2,046 in 2021, 2020 and 2019, respectively. All of the company’s contributions are invested at the direction of the employees in funds offered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plans.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Special Deferral Election Plans and Deferral Election Program</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SJW Group maintains a special deferral election plan and a deferred compensation plan and agreements for senior management and a deferral election program for non-employee directors allowing for the deferral of a portion of their earnings each year and to realize an investment return on those funds during the deferral period. Senior management and non-employee directors have to make an election on the deferral and distribution method of the deferrals before services are rendered. CTWS’s deferred compensation plan allows the company to make discretionary contributions. Senior management and non-employee directors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76" w:name="page77"/>
    <w:bookmarkEnd w:id="76"/>
    <w:p>
      <w:pPr>
        <w:ind w:right="20"/>
        <w:spacing w:after="0" w:line="277" w:lineRule="auto"/>
        <w:rPr>
          <w:sz w:val="20"/>
          <w:szCs w:val="20"/>
          <w:color w:val="auto"/>
        </w:rPr>
      </w:pPr>
      <w:r>
        <w:rPr>
          <w:rFonts w:ascii="Arial" w:cs="Arial" w:eastAsia="Arial" w:hAnsi="Arial"/>
          <w:sz w:val="18"/>
          <w:szCs w:val="18"/>
          <w:color w:val="auto"/>
        </w:rPr>
        <w:t>had deferred $6,237, $6,144 and $7,834 under the plans as of December 31, 2021, 2020 and 2019, respectively. As of December 31, 2021 and 2020, $4,599 and $4,130, respectively, of the total amount deferred is related to CTWS agreements.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Assumptions Utilized on Actuarial Calculations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periodic cost for the defined benefit plans and other postretirement benefits was calculated using the following weighted-average assumptions: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Pension Benefits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Other Benefits</w:t>
            </w:r>
          </w:p>
        </w:tc>
        <w:tc>
          <w:tcPr>
            <w:tcW w:w="1100" w:type="dxa"/>
            <w:vAlign w:val="bottom"/>
            <w:tcBorders>
              <w:bottom w:val="single" w:sz="8" w:color="auto"/>
            </w:tcBorders>
          </w:tcPr>
          <w:p>
            <w:pPr>
              <w:spacing w:after="0"/>
              <w:rPr>
                <w:sz w:val="16"/>
                <w:szCs w:val="16"/>
                <w:color w:val="auto"/>
              </w:rPr>
            </w:pPr>
          </w:p>
        </w:tc>
      </w:tr>
      <w:tr>
        <w:trPr>
          <w:trHeight w:val="187"/>
        </w:trPr>
        <w:tc>
          <w:tcPr>
            <w:tcW w:w="4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4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2.29 - 2.48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3.05 - 3.23</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3.04 - 4.16</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2.18 - 2.41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2.59 - 3.18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2.52 - 4.09</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7.00, 7.25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4.20, 6.50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4.20, 6.50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4.00, 7.00</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5"/>
              </w:rPr>
              <w:t>4.00</w:t>
            </w:r>
          </w:p>
        </w:tc>
        <w:tc>
          <w:tcPr>
            <w:tcW w:w="100" w:type="dxa"/>
            <w:vAlign w:val="bottom"/>
          </w:tcPr>
          <w:p>
            <w:pPr>
              <w:spacing w:after="0"/>
              <w:rPr>
                <w:sz w:val="20"/>
                <w:szCs w:val="20"/>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100" w:type="dxa"/>
            <w:vAlign w:val="bottom"/>
          </w:tcPr>
          <w:p>
            <w:pPr>
              <w:ind w:left="4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expected rate of return on plan assets was determined based on a review of historical returns, for the pension plans and for medium- to large-sized defined benefit pension funds with similar asset allocations. This review generated separate expected returns for each asset class. These expected future returns were then blended based on the pension plans’ target asset allocations.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Benefit obligations for the defined benefit plans and other postretirement benefits were calculated using the following weighted-average assumptions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260" w:type="dxa"/>
            <w:vAlign w:val="bottom"/>
            <w:gridSpan w:val="4"/>
          </w:tcPr>
          <w:p>
            <w:pPr>
              <w:ind w:left="1080"/>
              <w:spacing w:after="0"/>
              <w:rPr>
                <w:sz w:val="20"/>
                <w:szCs w:val="20"/>
                <w:color w:val="auto"/>
              </w:rPr>
            </w:pPr>
            <w:r>
              <w:rPr>
                <w:rFonts w:ascii="Arial" w:cs="Arial" w:eastAsia="Arial" w:hAnsi="Arial"/>
                <w:sz w:val="14"/>
                <w:szCs w:val="14"/>
                <w:b w:val="1"/>
                <w:bCs w:val="1"/>
                <w:color w:val="auto"/>
              </w:rPr>
              <w:t>Pension Benefits</w:t>
            </w:r>
          </w:p>
        </w:tc>
        <w:tc>
          <w:tcPr>
            <w:tcW w:w="3160" w:type="dxa"/>
            <w:vAlign w:val="bottom"/>
            <w:gridSpan w:val="3"/>
          </w:tcPr>
          <w:p>
            <w:pPr>
              <w:ind w:left="1140"/>
              <w:spacing w:after="0"/>
              <w:rPr>
                <w:sz w:val="20"/>
                <w:szCs w:val="20"/>
                <w:color w:val="auto"/>
              </w:rPr>
            </w:pPr>
            <w:r>
              <w:rPr>
                <w:rFonts w:ascii="Arial" w:cs="Arial" w:eastAsia="Arial" w:hAnsi="Arial"/>
                <w:sz w:val="14"/>
                <w:szCs w:val="14"/>
                <w:b w:val="1"/>
                <w:bCs w:val="1"/>
                <w:color w:val="auto"/>
              </w:rPr>
              <w:t>Other Benefits</w:t>
            </w:r>
          </w:p>
        </w:tc>
      </w:tr>
      <w:tr>
        <w:trPr>
          <w:trHeight w:val="187"/>
        </w:trPr>
        <w:tc>
          <w:tcPr>
            <w:tcW w:w="478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7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2.65 - 2.82</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2.29 - 2.48</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2.61 - 2.76</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2.18 - 2.41</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SJW Group utilized each plan’s projected benefit stream in conjunction with the FTSE Pension Discount Curve (formerly the Citigroup Pension Discount Curve) and the FTSE Above Median Double-A Curve for SJWC and CTWS, respectively, in determining the discount rate used in calculating the pension and other postretirement benefits liabilities at the measurement date.</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2021 and 2020, SJW Group adopted the newly then issued MP-2021 and MP-2020, respectively, Mortality Improvement Scales to determine mortality assumptions. The tables and scales reflect increasing life expectancies of participants in the United States. See also “Reconciliation of Funded Status” below.</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Net Periodic Pension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periodic costs for the defined benefit plans and other postretirement benefits for the years ended December 31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Pension Benefits</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Other Benefits</w:t>
            </w:r>
          </w:p>
        </w:tc>
        <w:tc>
          <w:tcPr>
            <w:tcW w:w="1100" w:type="dxa"/>
            <w:vAlign w:val="bottom"/>
            <w:tcBorders>
              <w:bottom w:val="single" w:sz="8" w:color="auto"/>
            </w:tcBorders>
          </w:tcPr>
          <w:p>
            <w:pPr>
              <w:spacing w:after="0"/>
              <w:rPr>
                <w:sz w:val="16"/>
                <w:szCs w:val="16"/>
                <w:color w:val="auto"/>
              </w:rPr>
            </w:pPr>
          </w:p>
        </w:tc>
      </w:tr>
      <w:tr>
        <w:trPr>
          <w:trHeight w:val="187"/>
        </w:trPr>
        <w:tc>
          <w:tcPr>
            <w:tcW w:w="4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9,730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(15,715)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Recognized actuarial loss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7" w:name="page78"/>
    <w:bookmarkEnd w:id="77"/>
    <w:p>
      <w:pPr>
        <w:ind w:left="580"/>
        <w:spacing w:after="0"/>
        <w:rPr>
          <w:sz w:val="20"/>
          <w:szCs w:val="20"/>
          <w:color w:val="auto"/>
        </w:rPr>
      </w:pPr>
      <w:r>
        <w:rPr>
          <w:rFonts w:ascii="Arial" w:cs="Arial" w:eastAsia="Arial" w:hAnsi="Arial"/>
          <w:sz w:val="18"/>
          <w:szCs w:val="18"/>
          <w:b w:val="1"/>
          <w:bCs w:val="1"/>
          <w:color w:val="auto"/>
        </w:rPr>
        <w:t>Reconciliation of Funded Status</w:t>
      </w:r>
    </w:p>
    <w:p>
      <w:pPr>
        <w:spacing w:after="0" w:line="121"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For the defined benefit plans and other postretirement benefits, the benefit obligation is the projected benefit obligation and the accumulated benefit obligation, respectively. The projected benefit obligations and the funded status of the defined benefit pension and other postretirement plans as of December 31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3"/>
              </w:rPr>
              <w:t>Pension Benefits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Borders>
              <w:bottom w:val="single" w:sz="8" w:color="auto"/>
            </w:tcBorders>
          </w:tcPr>
          <w:p>
            <w:pPr>
              <w:spacing w:after="0"/>
              <w:rPr>
                <w:sz w:val="16"/>
                <w:szCs w:val="16"/>
                <w:color w:val="auto"/>
              </w:rPr>
            </w:pPr>
          </w:p>
        </w:tc>
      </w:tr>
      <w:tr>
        <w:trPr>
          <w:trHeight w:val="187"/>
        </w:trPr>
        <w:tc>
          <w:tcPr>
            <w:tcW w:w="4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11"/>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386,091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338,240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35,794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32,546</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956</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Actuarial (gain)/loss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Implicit rate subsidy</w:t>
            </w:r>
          </w:p>
        </w:tc>
        <w:tc>
          <w:tcPr>
            <w:tcW w:w="340" w:type="dxa"/>
            <w:vAlign w:val="bottom"/>
          </w:tcPr>
          <w:p>
            <w:pPr>
              <w:spacing w:after="0"/>
              <w:rPr>
                <w:sz w:val="19"/>
                <w:szCs w:val="19"/>
                <w:color w:val="auto"/>
              </w:rPr>
            </w:pP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Administrative expenses paid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23"/>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383,838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34,412</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35,794</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48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Change in plan 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Fair value of assets at beginning of year</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278,124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243,521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17,226</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4800" w:type="dxa"/>
            <w:vAlign w:val="bottom"/>
            <w:gridSpan w:val="2"/>
          </w:tcPr>
          <w:p>
            <w:pPr>
              <w:ind w:left="140"/>
              <w:spacing w:after="0"/>
              <w:rPr>
                <w:sz w:val="20"/>
                <w:szCs w:val="20"/>
                <w:color w:val="auto"/>
              </w:rPr>
            </w:pPr>
            <w:r>
              <w:rPr>
                <w:rFonts w:ascii="Arial" w:cs="Arial" w:eastAsia="Arial" w:hAnsi="Arial"/>
                <w:sz w:val="18"/>
                <w:szCs w:val="18"/>
                <w:color w:val="auto"/>
              </w:rPr>
              <w:t>Administrative expenses paid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23"/>
        </w:trPr>
        <w:tc>
          <w:tcPr>
            <w:tcW w:w="4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310,176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19,479</w:t>
            </w:r>
          </w:p>
        </w:tc>
      </w:tr>
      <w:tr>
        <w:trPr>
          <w:trHeight w:val="248"/>
        </w:trPr>
        <w:tc>
          <w:tcPr>
            <w:tcW w:w="4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Funded status at end of year</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6940" w:type="dxa"/>
            <w:vAlign w:val="bottom"/>
            <w:gridSpan w:val="6"/>
          </w:tcPr>
          <w:p>
            <w:pPr>
              <w:spacing w:after="0"/>
              <w:rPr>
                <w:sz w:val="20"/>
                <w:szCs w:val="20"/>
                <w:color w:val="auto"/>
              </w:rPr>
            </w:pPr>
            <w:r>
              <w:rPr>
                <w:rFonts w:ascii="Arial" w:cs="Arial" w:eastAsia="Arial" w:hAnsi="Arial"/>
                <w:sz w:val="18"/>
                <w:szCs w:val="18"/>
                <w:color w:val="auto"/>
              </w:rPr>
              <w:t>The amounts recognized on the balance sheet as of December 31 were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5"/>
        </w:trPr>
        <w:tc>
          <w:tcPr>
            <w:tcW w:w="4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5"/>
              </w:rPr>
              <w:t>Pension Benefits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Borders>
              <w:bottom w:val="single" w:sz="8" w:color="auto"/>
            </w:tcBorders>
          </w:tcPr>
          <w:p>
            <w:pPr>
              <w:spacing w:after="0"/>
              <w:rPr>
                <w:sz w:val="24"/>
                <w:szCs w:val="24"/>
                <w:color w:val="auto"/>
              </w:rPr>
            </w:pPr>
          </w:p>
        </w:tc>
      </w:tr>
      <w:tr>
        <w:trPr>
          <w:trHeight w:val="187"/>
        </w:trPr>
        <w:tc>
          <w:tcPr>
            <w:tcW w:w="47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r>
      <w:tr>
        <w:trPr>
          <w:trHeight w:val="223"/>
        </w:trPr>
        <w:tc>
          <w:tcPr>
            <w:tcW w:w="47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(73,662)</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(107,967)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(12,645)</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(16,315)</w:t>
            </w:r>
          </w:p>
        </w:tc>
      </w:tr>
      <w:tr>
        <w:trPr>
          <w:trHeight w:val="20"/>
        </w:trPr>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SJW Group recorded a regulatory asset on the projected benefit obligation of the postretirement benefit plans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status of obligation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7"/>
              </w:rPr>
              <w:t>86,307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124,282</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benefit cost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92"/>
              </w:rPr>
              <w:t>(24,110)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 amount to be recovered in future rates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87"/>
              </w:rPr>
              <w:t>62,197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2021 and 2020, the amounts deferred in regulatory assets that have not yet been recognized as components of net periodic benefit cost include net loss of $62,270 and $94,476, respectively, and prior service cost of $73 and $114,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8" w:name="page79"/>
    <w:bookmarkEnd w:id="78"/>
    <w:p>
      <w:pPr>
        <w:ind w:left="580"/>
        <w:spacing w:after="0"/>
        <w:rPr>
          <w:sz w:val="20"/>
          <w:szCs w:val="20"/>
          <w:color w:val="auto"/>
        </w:rPr>
      </w:pPr>
      <w:r>
        <w:rPr>
          <w:rFonts w:ascii="Arial" w:cs="Arial" w:eastAsia="Arial" w:hAnsi="Arial"/>
          <w:sz w:val="18"/>
          <w:szCs w:val="18"/>
          <w:b w:val="1"/>
          <w:bCs w:val="1"/>
          <w:color w:val="auto"/>
        </w:rPr>
        <w:t>Plan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Plan assets as of December 31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5"/>
              </w:rPr>
              <w:t>Pension Benefits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1"/>
              </w:rPr>
              <w:t>Other Benefits</w:t>
            </w: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assets at end of year: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100,036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95,935</w:t>
            </w:r>
          </w:p>
        </w:tc>
        <w:tc>
          <w:tcPr>
            <w:tcW w:w="10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6"/>
              <w:spacing w:after="0"/>
              <w:rPr>
                <w:sz w:val="20"/>
                <w:szCs w:val="20"/>
                <w:color w:val="auto"/>
              </w:rPr>
            </w:pPr>
            <w:r>
              <w:rPr>
                <w:rFonts w:ascii="Arial" w:cs="Arial" w:eastAsia="Arial" w:hAnsi="Arial"/>
                <w:sz w:val="18"/>
                <w:szCs w:val="18"/>
                <w:color w:val="auto"/>
              </w:rPr>
              <w:t>5,541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5,684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197,248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170,747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156"/>
              <w:spacing w:after="0"/>
              <w:rPr>
                <w:sz w:val="20"/>
                <w:szCs w:val="20"/>
                <w:color w:val="auto"/>
              </w:rPr>
            </w:pPr>
            <w:r>
              <w:rPr>
                <w:rFonts w:ascii="Arial" w:cs="Arial" w:eastAsia="Arial" w:hAnsi="Arial"/>
                <w:sz w:val="18"/>
                <w:szCs w:val="18"/>
                <w:color w:val="auto"/>
              </w:rPr>
              <w:t>14,932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12,762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12,892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8"/>
              <w:spacing w:after="0"/>
              <w:rPr>
                <w:sz w:val="20"/>
                <w:szCs w:val="20"/>
                <w:color w:val="auto"/>
              </w:rPr>
            </w:pPr>
            <w:r>
              <w:rPr>
                <w:rFonts w:ascii="Arial" w:cs="Arial" w:eastAsia="Arial" w:hAnsi="Arial"/>
                <w:sz w:val="18"/>
                <w:szCs w:val="18"/>
                <w:color w:val="auto"/>
              </w:rPr>
              <w:t>11,442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156"/>
              <w:spacing w:after="0"/>
              <w:rPr>
                <w:sz w:val="20"/>
                <w:szCs w:val="20"/>
                <w:color w:val="auto"/>
              </w:rPr>
            </w:pPr>
            <w:r>
              <w:rPr>
                <w:rFonts w:ascii="Arial" w:cs="Arial" w:eastAsia="Arial" w:hAnsi="Arial"/>
                <w:sz w:val="18"/>
                <w:szCs w:val="18"/>
                <w:color w:val="auto"/>
              </w:rPr>
              <w:t>1,294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310,176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278,124</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21,767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19,479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10020" w:type="dxa"/>
            <w:vAlign w:val="bottom"/>
            <w:gridSpan w:val="20"/>
          </w:tcPr>
          <w:p>
            <w:pPr>
              <w:spacing w:after="0"/>
              <w:rPr>
                <w:sz w:val="20"/>
                <w:szCs w:val="20"/>
                <w:color w:val="auto"/>
              </w:rPr>
            </w:pPr>
            <w:r>
              <w:rPr>
                <w:rFonts w:ascii="Arial" w:cs="Arial" w:eastAsia="Arial" w:hAnsi="Arial"/>
                <w:sz w:val="18"/>
                <w:szCs w:val="18"/>
                <w:color w:val="auto"/>
              </w:rPr>
              <w:t>The following tables summarize the fair values of plan assets by major categories as of December 31, 2021 and 2020:</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11"/>
          </w:tcPr>
          <w:p>
            <w:pPr>
              <w:jc w:val="center"/>
              <w:ind w:right="340"/>
              <w:spacing w:after="0"/>
              <w:rPr>
                <w:sz w:val="20"/>
                <w:szCs w:val="20"/>
                <w:color w:val="auto"/>
              </w:rPr>
            </w:pPr>
            <w:r>
              <w:rPr>
                <w:rFonts w:ascii="Arial" w:cs="Arial" w:eastAsia="Arial" w:hAnsi="Arial"/>
                <w:sz w:val="14"/>
                <w:szCs w:val="14"/>
                <w:b w:val="1"/>
                <w:bCs w:val="1"/>
                <w:color w:val="auto"/>
                <w:w w:val="92"/>
              </w:rPr>
              <w:t>Fair Value Measurements at December 31, 2021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Quoted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Prices 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tcPr>
          <w:p>
            <w:pPr>
              <w:jc w:val="center"/>
              <w:ind w:right="4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Inputs</w:t>
            </w: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(Level 2)</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Equity securities (a)</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212,180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212,180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(b)</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105,577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38,608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331,943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264,974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66,969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 w:lineRule="exact"/>
        <w:rPr>
          <w:rFonts w:ascii="Arial" w:cs="Arial" w:eastAsia="Arial" w:hAnsi="Arial"/>
          <w:sz w:val="14"/>
          <w:szCs w:val="14"/>
          <w:color w:val="auto"/>
        </w:rPr>
      </w:pPr>
    </w:p>
    <w:p>
      <w:pPr>
        <w:ind w:left="640" w:hanging="632"/>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at December 31, 2020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Prices in</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Active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Significant</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Identical</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60" w:type="dxa"/>
            <w:vAlign w:val="bottom"/>
          </w:tcPr>
          <w:p>
            <w:pPr>
              <w:spacing w:after="0"/>
              <w:rPr>
                <w:sz w:val="11"/>
                <w:szCs w:val="11"/>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2"/>
              </w:rPr>
              <w:t>Assets</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Inputs</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1)</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(Level 2)</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12,475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Equity securities (a)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183,509</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Arial" w:cs="Arial" w:eastAsia="Arial" w:hAnsi="Arial"/>
                <w:sz w:val="18"/>
                <w:szCs w:val="18"/>
                <w:color w:val="auto"/>
              </w:rPr>
              <w:t>183,509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(b)</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36,012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297,603</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231,996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65,607</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Actively managed portfolio of equity securities with the goal to exceed the benchmark performance.</w:t>
      </w:r>
    </w:p>
    <w:p>
      <w:pPr>
        <w:spacing w:after="0" w:line="1" w:lineRule="exact"/>
        <w:rPr>
          <w:rFonts w:ascii="Arial" w:cs="Arial" w:eastAsia="Arial" w:hAnsi="Arial"/>
          <w:sz w:val="14"/>
          <w:szCs w:val="14"/>
          <w:color w:val="auto"/>
        </w:rPr>
      </w:pPr>
    </w:p>
    <w:p>
      <w:pPr>
        <w:ind w:left="640" w:hanging="632"/>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Actively managed portfolio of fixed income securities with the goal to exceed the benchmark performance</w:t>
      </w:r>
    </w:p>
    <w:p>
      <w:pPr>
        <w:spacing w:after="0" w:line="1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2022, SJW Group expects to make required and discretionary cash contributions of up to $8,820 to the pension plans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Benefits expected to be paid in the next five years and in the aggregate for the five years thereafter 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Pension Plan</w:t>
            </w:r>
          </w:p>
        </w:tc>
        <w:tc>
          <w:tcPr>
            <w:tcW w:w="18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88"/>
        </w:trPr>
        <w:tc>
          <w:tcPr>
            <w:tcW w:w="110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455"/>
              <w:spacing w:after="0"/>
              <w:rPr>
                <w:sz w:val="20"/>
                <w:szCs w:val="20"/>
                <w:color w:val="auto"/>
              </w:rPr>
            </w:pPr>
            <w:r>
              <w:rPr>
                <w:rFonts w:ascii="Arial" w:cs="Arial" w:eastAsia="Arial" w:hAnsi="Arial"/>
                <w:sz w:val="14"/>
                <w:szCs w:val="14"/>
                <w:b w:val="1"/>
                <w:bCs w:val="1"/>
                <w:color w:val="auto"/>
              </w:rPr>
              <w:t>Benefit Plan</w:t>
            </w:r>
          </w:p>
        </w:tc>
        <w:tc>
          <w:tcPr>
            <w:tcW w:w="0" w:type="dxa"/>
            <w:vAlign w:val="bottom"/>
          </w:tcPr>
          <w:p>
            <w:pPr>
              <w:spacing w:after="0"/>
              <w:rPr>
                <w:sz w:val="1"/>
                <w:szCs w:val="1"/>
                <w:color w:val="auto"/>
              </w:rPr>
            </w:pPr>
          </w:p>
        </w:tc>
      </w:tr>
      <w:tr>
        <w:trPr>
          <w:trHeight w:val="224"/>
        </w:trPr>
        <w:tc>
          <w:tcPr>
            <w:tcW w:w="1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6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9"/>
        </w:trPr>
        <w:tc>
          <w:tcPr>
            <w:tcW w:w="1100" w:type="dxa"/>
            <w:vAlign w:val="bottom"/>
          </w:tcPr>
          <w:p>
            <w:pPr>
              <w:ind w:left="20"/>
              <w:spacing w:after="0"/>
              <w:rPr>
                <w:sz w:val="20"/>
                <w:szCs w:val="20"/>
                <w:color w:val="auto"/>
              </w:rPr>
            </w:pPr>
            <w:r>
              <w:rPr>
                <w:rFonts w:ascii="Arial" w:cs="Arial" w:eastAsia="Arial" w:hAnsi="Arial"/>
                <w:sz w:val="18"/>
                <w:szCs w:val="18"/>
                <w:color w:val="auto"/>
              </w:rPr>
              <w:t>2023</w:t>
            </w:r>
          </w:p>
        </w:tc>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2025</w:t>
            </w:r>
          </w:p>
        </w:tc>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6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539"/>
        </w:trPr>
        <w:tc>
          <w:tcPr>
            <w:tcW w:w="110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6920" w:type="dxa"/>
            <w:vAlign w:val="bottom"/>
            <w:gridSpan w:val="2"/>
          </w:tcPr>
          <w:p>
            <w:pPr>
              <w:jc w:val="right"/>
              <w:ind w:right="5650"/>
              <w:spacing w:after="0"/>
              <w:rPr>
                <w:sz w:val="20"/>
                <w:szCs w:val="20"/>
                <w:color w:val="auto"/>
              </w:rPr>
            </w:pPr>
            <w:r>
              <w:rPr>
                <w:rFonts w:ascii="Arial" w:cs="Arial" w:eastAsia="Arial" w:hAnsi="Arial"/>
                <w:sz w:val="18"/>
                <w:szCs w:val="18"/>
                <w:b w:val="1"/>
                <w:bCs w:val="1"/>
                <w:color w:val="auto"/>
              </w:rPr>
              <w:t>Equity Plans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SJW Group has a Long-Term Stock Incentive Plan (the “Plan”), which has 1,800,000 shares of common stock reserved for issuance. The Plan was initially adopted by the Board of Directors on March 6, 2002. On January 30, 2013, the amended and restated Plan was adopted by the Board and became effective on April 24, 2013. The Plan was subsequently amended and restated by the Board on July 29, 2015, and thereafter amended on November 15, 2016, October 28, 2020 and January 28, 2021. SJW Group also maintains stock plans in connection with the merger with CTWS which are no longer granting new awards under those plans.</w:t>
      </w:r>
    </w:p>
    <w:p>
      <w:pPr>
        <w:spacing w:after="0" w:line="8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Plan allows SJW Group to provide employees, non-employee Board members or the board of directors of any parent or subsidiary, consultants, and other independent advisors who provide services to the Company or any parent or subsidiary the opportunity to acquire an equity interest in SJW Group.</w:t>
      </w:r>
    </w:p>
    <w:p>
      <w:pPr>
        <w:spacing w:after="0" w:line="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 participant in the Plan generally may not receive Plan awards covering an aggregate of more than 600,000 shares of common stock in any calendar year. Additionally, awards granted under the Plan may be conditioned upon the attainment of specified Company performance goals. The types of awards included in the Plan are restricted stock awards, restricted stock units, performance shares, or other share-based awards. In addition, shares are issued to employees under the Employee Stock Purchase Plan (“ESPP”) that was approved by SJW Group stockholders.</w:t>
      </w:r>
    </w:p>
    <w:p>
      <w:pPr>
        <w:spacing w:after="0" w:line="6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2021, 2020 and 2019, 946,086, 880,495 and 819,340 shares have been issued pursuant to the Plan, and 168,721, 178,106 and 174,764 shares are issuable upon the vesting of outstanding restricted stock units, performance-based stock units, and deferred restricted stock units for the years ended 2021, 2020 and 2019, respectively. The remaining shares available for issuance under the Plan are 685,193 as of December 31, 2021. The compensation costs charged to income is recognized on a straight-line basis over the requisite service period.</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summary of compensation costs charged to income and proceeds from share based compensation, that are recorded to additional paid-in capital and common stock, by award type, are presented below for the years ended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costs charged to income:</w:t>
            </w:r>
          </w:p>
        </w:tc>
        <w:tc>
          <w:tcPr>
            <w:tcW w:w="1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8"/>
                <w:szCs w:val="18"/>
                <w:color w:val="auto"/>
              </w:rPr>
              <w:t>ESPP</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and deferred restricted stock</w:t>
            </w:r>
          </w:p>
        </w:tc>
        <w:tc>
          <w:tcPr>
            <w:tcW w:w="1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Total compensation costs charged to income</w:t>
            </w:r>
          </w:p>
        </w:tc>
        <w:tc>
          <w:tcPr>
            <w:tcW w:w="19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 proceeds</w:t>
            </w:r>
          </w:p>
        </w:tc>
        <w:tc>
          <w:tcPr>
            <w:tcW w:w="1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80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46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ind w:left="580"/>
        <w:spacing w:after="0"/>
        <w:rPr>
          <w:sz w:val="20"/>
          <w:szCs w:val="20"/>
          <w:color w:val="auto"/>
        </w:rPr>
      </w:pPr>
      <w:r>
        <w:rPr>
          <w:rFonts w:ascii="Arial" w:cs="Arial" w:eastAsia="Arial" w:hAnsi="Arial"/>
          <w:sz w:val="18"/>
          <w:szCs w:val="18"/>
          <w:b w:val="1"/>
          <w:bCs w:val="1"/>
          <w:color w:val="auto"/>
        </w:rPr>
        <w:t>Restricted Stock and Deferred Restricted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SJW Group’s restricted and deferred restricted stock awards under the Plan as of December 31, 2021, and changes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37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5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78,235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(22,029)</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Shares vested as of December 31,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the status of SJW Group’s nonvested restricted and deferred restricted stock awards under the Plan as of December 31, 2021, and changes during the year ended December 31, 2021, are presented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5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9"/>
              </w:rPr>
              <w:t>Grant-</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January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78,235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65.34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Total fair value of restricted stock awards for all plans that were vested for the years ended 2021, 2020 and 2019 were $3,332, $3,333 and $2,420, respectively. As of December 31, 2021, the total unrecognized compensation costs related to restricted and deferred restricted stock plans amounted to $4,421. This cost is expected to be recognized over a weighted-average period of 1.56 years.</w:t>
      </w:r>
    </w:p>
    <w:p>
      <w:pPr>
        <w:spacing w:after="0" w:line="7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the years ended December 31, 2021, 2020 and 2019, 7,327, 5,327 and 6,120, respectively, of performance-based and market-based restricted stock awards were issued upon the attainment of certain performance metrics and service-based vesting under the Plan.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 As of December 31, 2021, 15,577 performance-based and market-based restricted stock awards vested and 51,160 remained outstanding.</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400,000 shares of SJW Group’s common stock have been reserved for issuance under the ESPP. The remaining shares available for issuance under the ESPP are 185,509 as of December 31, 2021.</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2021, the ESPP had fourteen purchase intervals since its inception. For the year ended December 31, 2021, 2020 and 2019, a total of 35,304, 31,750 and 30,255 shares, respectively, were issued under the ESPP. The plan has no look-back provisions.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years ended December 31, 2021, 2020 and 2019, SJW Group’s recorded expenses were $361, $342 and $294, respectively, related to the ESPP. The total unrecognized compensation costs related to the semi-annual offering period that ended January 31, 2022, for the ESPP is approximately $162. This cost is expected to be recognized during the first quarter of 2022.</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Segment and Non-Tariffed Businesses Reporting</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SJW Group is a holding company with four subsidiaries: (i) SJWC, a water utility operation with both regulated and non-tariffed businesses, (ii) SJWTX, Inc. which is doing business as CLWSC, a regulated water utility located in Canyon Lake, Texas, and its consolidated non-tariffed variable interest entity, Acequia Water Supply Corporation, (iii) SJW Land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1" w:name="page82"/>
    <w:bookmarkEnd w:id="81"/>
    <w:p>
      <w:pPr>
        <w:ind w:right="40"/>
        <w:spacing w:after="0" w:line="257" w:lineRule="auto"/>
        <w:rPr>
          <w:sz w:val="20"/>
          <w:szCs w:val="20"/>
          <w:color w:val="auto"/>
        </w:rPr>
      </w:pPr>
      <w:r>
        <w:rPr>
          <w:rFonts w:ascii="Arial" w:cs="Arial" w:eastAsia="Arial" w:hAnsi="Arial"/>
          <w:sz w:val="18"/>
          <w:szCs w:val="18"/>
          <w:color w:val="auto"/>
        </w:rPr>
        <w:t>and (iv) SJWNE LLC a holding company for CTWS and its subsidiaries, Connecticut Water, Maine Water, NEWUS and Chester Realty, Inc. In accordance with FASB ASC Topic 280—“Segment Reporting,” SJW Group has determined that it has two reportable business segments. The first segment is that of providing water utility and utility-related services to its customers through SJW Group’s subsidiaries, SJWC, Connecticut Water, CLWSC, Maine Water and NEWUS, together referred to as “Water Utility Services.” The second segment is property management and investment activity conducted by SJW Land Company and Chester Realty, Inc., referred to as “Real Estate Services.”</w:t>
      </w:r>
    </w:p>
    <w:p>
      <w:pPr>
        <w:spacing w:after="0" w:line="8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SJW Group’s reportable segments have been determined based on information used by the chief operating decision maker. SJW Group’s chief operating decision maker includes the Chair, President and Chief Executive Officer, and his executive staff. The executive staff reviews financial information presented on a consolidated basis that is accompanied by disaggregated information about operating revenue, net income and total assets, by subsidiary.</w:t>
      </w:r>
    </w:p>
    <w:p>
      <w:pPr>
        <w:spacing w:after="0" w:line="4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tables set forth information relating to SJW Group’s reportable segments and distribution of regulated and non-tariffed business activities within the reportable segments. Certain allocated assets, revenue and expenses have been included in the reportable segment amounts. Other business activity of SJW Group not included in the reportable segments is included in the “All Other” category.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For the year ended December 31, 2021</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Estate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b w:val="1"/>
                <w:bCs w:val="1"/>
                <w:color w:val="auto"/>
                <w:w w:val="92"/>
              </w:rPr>
              <w:t>Regulated (2)</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3"/>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15,532</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573,686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449,401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449,401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13,126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462,527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111,159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67,530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(12,311)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67,530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(7,052)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60,478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94,400</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w w:val="92"/>
              </w:rPr>
              <w:t>Senior note and other interest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34,308</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20,031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34,308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20,031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54,339</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Income tax expense (benefit) in net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(2,946)</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3,380,637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6,916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43,383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61,459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3,380,637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111,758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3,492,395</w:t>
            </w:r>
          </w:p>
        </w:tc>
        <w:tc>
          <w:tcPr>
            <w:tcW w:w="0" w:type="dxa"/>
            <w:vAlign w:val="bottom"/>
          </w:tcPr>
          <w:p>
            <w:pPr>
              <w:spacing w:after="0"/>
              <w:rPr>
                <w:sz w:val="1"/>
                <w:szCs w:val="1"/>
                <w:color w:val="auto"/>
              </w:rPr>
            </w:pPr>
          </w:p>
        </w:tc>
      </w:tr>
      <w:tr>
        <w:trPr>
          <w:trHeight w:val="435"/>
        </w:trPr>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For the year ended December 31, 2020</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vMerge w:val="restart"/>
          </w:tcPr>
          <w:p>
            <w:pPr>
              <w:ind w:left="340"/>
              <w:spacing w:after="0"/>
              <w:rPr>
                <w:sz w:val="20"/>
                <w:szCs w:val="20"/>
                <w:color w:val="auto"/>
              </w:rPr>
            </w:pPr>
            <w:r>
              <w:rPr>
                <w:rFonts w:ascii="Arial" w:cs="Arial" w:eastAsia="Arial" w:hAnsi="Arial"/>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Estate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3"/>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564,526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431,375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3,510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431,375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15,481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446,856</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117,670</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69,245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4,099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(13,284)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69,245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(7,730)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61,515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w w:val="92"/>
              </w:rPr>
              <w:t>Senior note and other interest expense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33,877</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20,378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33,877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20,378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54,255</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Income tax expense (benefit) in net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16,563</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(9,648)</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16,563</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(8,183)</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8,380</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3,197,626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44,405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60,565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3,197,626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113,839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3,311,465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b w:val="1"/>
                <w:bCs w:val="1"/>
                <w:color w:val="auto"/>
              </w:rPr>
              <w:t>For the year ended December 31, 2019</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Estate</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w w:val="98"/>
              </w:rPr>
              <w:t>Regulated</w:t>
            </w:r>
          </w:p>
        </w:tc>
        <w:tc>
          <w:tcPr>
            <w:tcW w:w="100" w:type="dxa"/>
            <w:vAlign w:val="bottom"/>
            <w:tcBorders>
              <w:top w:val="single" w:sz="8" w:color="auto"/>
            </w:tcBorders>
            <w:vMerge w:val="restart"/>
          </w:tcPr>
          <w:p>
            <w:pPr>
              <w:spacing w:after="0"/>
              <w:rPr>
                <w:sz w:val="13"/>
                <w:szCs w:val="13"/>
                <w:color w:val="auto"/>
              </w:rPr>
            </w:pPr>
          </w:p>
        </w:tc>
        <w:tc>
          <w:tcPr>
            <w:tcW w:w="1100" w:type="dxa"/>
            <w:vAlign w:val="bottom"/>
            <w:tcBorders>
              <w:top w:val="single" w:sz="8" w:color="auto"/>
            </w:tcBorders>
          </w:tcPr>
          <w:p>
            <w:pPr>
              <w:jc w:val="right"/>
              <w:ind w:right="299"/>
              <w:spacing w:after="0" w:line="158" w:lineRule="exact"/>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8"/>
              </w:rPr>
              <w:t>Non-</w:t>
            </w:r>
          </w:p>
        </w:tc>
        <w:tc>
          <w:tcPr>
            <w:tcW w:w="120" w:type="dxa"/>
            <w:vAlign w:val="bottom"/>
          </w:tcPr>
          <w:p>
            <w:pPr>
              <w:spacing w:after="0"/>
              <w:rPr>
                <w:sz w:val="13"/>
                <w:szCs w:val="13"/>
                <w:color w:val="auto"/>
              </w:rPr>
            </w:pPr>
          </w:p>
        </w:tc>
        <w:tc>
          <w:tcPr>
            <w:tcW w:w="122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b w:val="1"/>
                <w:bCs w:val="1"/>
                <w:color w:val="auto"/>
              </w:rPr>
              <w:t>Regulated</w:t>
            </w:r>
          </w:p>
        </w:tc>
        <w:tc>
          <w:tcPr>
            <w:tcW w:w="100" w:type="dxa"/>
            <w:vAlign w:val="bottom"/>
            <w:tcBorders>
              <w:top w:val="single" w:sz="8" w:color="auto"/>
            </w:tcBorders>
            <w:vMerge w:val="restart"/>
          </w:tcPr>
          <w:p>
            <w:pPr>
              <w:spacing w:after="0"/>
              <w:rPr>
                <w:sz w:val="13"/>
                <w:szCs w:val="13"/>
                <w:color w:val="auto"/>
              </w:rPr>
            </w:pP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3"/>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tariffed</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tariffed</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420,482</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Operating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329,520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5,443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24,289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329,520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33,483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363,003</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57,479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42,691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(22,930)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42,691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(19,288)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23,403</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65,592</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w w:val="92"/>
              </w:rPr>
              <w:t>Senior note and other interest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25,073</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6,723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25,073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6,723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31,796</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Income tax expense (benefit) in net</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8,382</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8,382</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3,016,846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5,507</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46,778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63,339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3,016,846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115,624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3,132,470</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“All Other” category for the years ended December 31, 2021, 2020 and 2019, includes the accounts of SJW Group, SJWNE, LLC and CTWS, Inc. on a stand-alone basis.</w:t>
      </w:r>
    </w:p>
    <w:p>
      <w:pPr>
        <w:spacing w:after="0" w:line="1" w:lineRule="exact"/>
        <w:rPr>
          <w:rFonts w:ascii="Arial" w:cs="Arial" w:eastAsia="Arial" w:hAnsi="Arial"/>
          <w:sz w:val="14"/>
          <w:szCs w:val="14"/>
          <w:color w:val="auto"/>
        </w:rPr>
      </w:pPr>
    </w:p>
    <w:p>
      <w:pPr>
        <w:ind w:right="260" w:firstLine="8"/>
        <w:spacing w:after="0" w:line="255" w:lineRule="auto"/>
        <w:tabs>
          <w:tab w:leader="none" w:pos="304"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December 31, 2021, the Company has performed an allocation of goodwill associated with the acquisition of CTWS to two reporting units, Connecticut and Maine, which are both aggregated within the Regulated Water Utility Services reportable segment.</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Business Combinations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Kendall West Utility and Bandera East Utility</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17, 2021, CLWSC completed its acquisition of Kendall West Utility and Bandera East Utility, companies that provide water services, including wastewater and recycled water services, in Kendall, Bandera and Medina counties which are located in south central Texas. Kendall West Utility and Bandera East Utility, together, add approximately 5,000 people through 1,600 service connections in a service area approximately 19 square miles to CLWSC’s operations. The total net cash price was approximately $23,587. The preliminary purchase price allocation for these acquisitions primarily consisted of acquired utility plant of approximately $9,400 and goodwill of approximately $12,300. The results of Kendall West Utility and Bandera East Utility are included in SJW Group’s consolidated statements of comprehensive income since the acquisition date, including revenues and net loss, and were not material. Pro forma financial information has not been presented because the acquisition was not material to SJW Group’s consolidated financial statements.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CTWS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9, 2019, SJW Group completed the merger with CTWS, a company that provides water service throughout Connecticut and Maine. In addition, CTWS has a real estate company in Connecticut which provides property management services.</w:t>
      </w:r>
    </w:p>
    <w:p>
      <w:pPr>
        <w:spacing w:after="0" w:line="6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SJW Group acquired all of the outstanding stock of CTWS for $70.00 per share in cash (without interest and less any applicable withholding taxes). The total cash purchase price was approximately $838,476, less cash received of $3,011, and approximately $6,384 related to outstanding awards of restricted stock units and deferred share units assumed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83" w:name="page84"/>
    <w:bookmarkEnd w:id="83"/>
    <w:p>
      <w:pPr>
        <w:ind w:right="340"/>
        <w:spacing w:after="0" w:line="277" w:lineRule="auto"/>
        <w:rPr>
          <w:sz w:val="20"/>
          <w:szCs w:val="20"/>
          <w:color w:val="auto"/>
        </w:rPr>
      </w:pPr>
      <w:r>
        <w:rPr>
          <w:rFonts w:ascii="Arial" w:cs="Arial" w:eastAsia="Arial" w:hAnsi="Arial"/>
          <w:sz w:val="18"/>
          <w:szCs w:val="18"/>
          <w:color w:val="auto"/>
        </w:rPr>
        <w:t>The following table summarizes the purchase price and recording of fair values of assets acquired and liabilities assumed as of the acquisition date and subsequent adjustments as of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Amounts Previously</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Measurement Period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Amounts Recognized as</w:t>
            </w:r>
          </w:p>
        </w:tc>
        <w:tc>
          <w:tcPr>
            <w:tcW w:w="0" w:type="dxa"/>
            <w:vAlign w:val="bottom"/>
          </w:tcPr>
          <w:p>
            <w:pPr>
              <w:spacing w:after="0"/>
              <w:rPr>
                <w:sz w:val="1"/>
                <w:szCs w:val="1"/>
                <w:color w:val="auto"/>
              </w:rPr>
            </w:pPr>
          </w:p>
        </w:tc>
      </w:tr>
      <w:tr>
        <w:trPr>
          <w:trHeight w:val="135"/>
        </w:trPr>
        <w:tc>
          <w:tcPr>
            <w:tcW w:w="6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Recognized as of</w:t>
            </w:r>
          </w:p>
        </w:tc>
        <w:tc>
          <w:tcPr>
            <w:tcW w:w="1700" w:type="dxa"/>
            <w:vAlign w:val="bottom"/>
            <w:gridSpan w:val="2"/>
            <w:vMerge w:val="continue"/>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of Acquisition Date (as</w:t>
            </w: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Acquisition Date (a)</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Adjusted)</w:t>
            </w:r>
          </w:p>
        </w:tc>
        <w:tc>
          <w:tcPr>
            <w:tcW w:w="0" w:type="dxa"/>
            <w:vAlign w:val="bottom"/>
          </w:tcPr>
          <w:p>
            <w:pPr>
              <w:spacing w:after="0"/>
              <w:rPr>
                <w:sz w:val="1"/>
                <w:szCs w:val="1"/>
                <w:color w:val="auto"/>
              </w:rPr>
            </w:pPr>
          </w:p>
        </w:tc>
      </w:tr>
      <w:tr>
        <w:trPr>
          <w:trHeight w:val="211"/>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Utility plant,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750,703</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750,703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Nonutility plant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42,673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41,888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Regulatory assets and deferred charges, less current portion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83,132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78,786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626,523</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626,409</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1,536,141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1,530,896</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281,009</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281,009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 including maturities of long-term debt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125,797</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107,789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102,378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benefit plans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31,789</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31,789</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Contributions in aid of construction and construction advances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137,327</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137,327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694,293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689,048</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841,848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841,848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5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previously reported in the SJW Group’s 10-K for the period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primarily consists of customer relationships.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goodwill balance is primarily attributable to assembled workforce and diversification of markets both from a geographic and regulatory perspective.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goodwill recognized in connection with the transaction will be deductible for income tax purposes.</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analyzed and revalued the acquired opening deferred tax asset and liability balances within the measurement period which resulted in a decrease to goodwill of $114. The revaluation of acquired deferred tax assets and liabilities and related uncertain tax positions based upon facts and circumstances that existed as of the acquisition date resulted in adjustments that were recorded to goodwill. In addition, tax related valuation allowances assumed in connection with a business combination were initially estimated as of the acquisition date. Revaluation within the measurement period resulted in release of the valuation allowance as it is more likely than not that the new combined group will be able to utilize the acquired deferred tax assets. There was no impact associated with the measurement period adjustments to the consolidated statement of comprehensive income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w w:val="86"/>
              </w:rPr>
              <w:t>Schedule I</w:t>
            </w:r>
          </w:p>
        </w:tc>
        <w:tc>
          <w:tcPr>
            <w:tcW w:w="0" w:type="dxa"/>
            <w:vAlign w:val="bottom"/>
          </w:tcPr>
          <w:p>
            <w:pPr>
              <w:spacing w:after="0"/>
              <w:rPr>
                <w:sz w:val="1"/>
                <w:szCs w:val="1"/>
                <w:color w:val="auto"/>
              </w:rPr>
            </w:pPr>
          </w:p>
        </w:tc>
      </w:tr>
      <w:tr>
        <w:trPr>
          <w:trHeight w:val="270"/>
        </w:trPr>
        <w:tc>
          <w:tcPr>
            <w:tcW w:w="8060" w:type="dxa"/>
            <w:vAlign w:val="bottom"/>
          </w:tcPr>
          <w:p>
            <w:pPr>
              <w:jc w:val="center"/>
              <w:ind w:left="3110"/>
              <w:spacing w:after="0"/>
              <w:rPr>
                <w:sz w:val="20"/>
                <w:szCs w:val="20"/>
                <w:color w:val="auto"/>
              </w:rPr>
            </w:pPr>
            <w:r>
              <w:rPr>
                <w:rFonts w:ascii="Arial" w:cs="Arial" w:eastAsia="Arial" w:hAnsi="Arial"/>
                <w:sz w:val="18"/>
                <w:szCs w:val="18"/>
                <w:b w:val="1"/>
                <w:bCs w:val="1"/>
                <w:color w:val="auto"/>
                <w:w w:val="93"/>
              </w:rPr>
              <w:t>SJW Group (Parent Only)</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60" w:type="dxa"/>
            <w:vAlign w:val="bottom"/>
          </w:tcPr>
          <w:p>
            <w:pPr>
              <w:jc w:val="center"/>
              <w:ind w:left="3090"/>
              <w:spacing w:after="0"/>
              <w:rPr>
                <w:sz w:val="20"/>
                <w:szCs w:val="20"/>
                <w:color w:val="auto"/>
              </w:rPr>
            </w:pPr>
            <w:r>
              <w:rPr>
                <w:rFonts w:ascii="Arial" w:cs="Arial" w:eastAsia="Arial" w:hAnsi="Arial"/>
                <w:sz w:val="18"/>
                <w:szCs w:val="18"/>
                <w:b w:val="1"/>
                <w:bCs w:val="1"/>
                <w:color w:val="auto"/>
                <w:w w:val="98"/>
              </w:rPr>
              <w:t>CONDENSED BALANCE SHEETS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60" w:type="dxa"/>
            <w:vAlign w:val="bottom"/>
          </w:tcPr>
          <w:p>
            <w:pPr>
              <w:jc w:val="center"/>
              <w:ind w:left="31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80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subsidiaries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receivables</w:t>
            </w:r>
          </w:p>
        </w:tc>
        <w:tc>
          <w:tcPr>
            <w:tcW w:w="36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Intercompany notes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1,552,604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Capitalization and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Capitalization: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$0.001 par value; authorized 70,000,000 shares in 2021 and 2020; issued and outstanding</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30,181,348 shares in 2021 and 28,556,605 shares in 2020</w:t>
            </w:r>
          </w:p>
        </w:tc>
        <w:tc>
          <w:tcPr>
            <w:tcW w:w="3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428,260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1,034,519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917,160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1,590,744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payables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Intercompany notes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Income tax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1,617,356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Schedule I</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p>
      <w:pPr>
        <w:ind w:left="10440"/>
        <w:spacing w:after="0"/>
        <w:rPr>
          <w:sz w:val="20"/>
          <w:szCs w:val="20"/>
          <w:color w:val="auto"/>
        </w:rPr>
      </w:pPr>
      <w:r>
        <w:rPr>
          <w:rFonts w:ascii="Arial" w:cs="Arial" w:eastAsia="Arial" w:hAnsi="Arial"/>
          <w:sz w:val="15"/>
          <w:szCs w:val="15"/>
          <w:b w:val="1"/>
          <w:bCs w:val="1"/>
          <w:color w:val="auto"/>
        </w:rPr>
        <w:t>Schedule I</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SJW Group (Parent Only)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Operating expense: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and general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Property taxes and other non-income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Merger related expenses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14,849</w:t>
            </w:r>
          </w:p>
        </w:tc>
      </w:tr>
      <w:tr>
        <w:trPr>
          <w:trHeight w:val="223"/>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operating expense</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23,229</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long-term debt, mortgage and other 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Gain on sale of Texas Water Alliance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on money market fund</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taxes and equity earnings from subsidiaries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(23,219)</w:t>
            </w: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earnings from subsidiaries, net of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45,191</w:t>
            </w: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b w:val="1"/>
                <w:bCs w:val="1"/>
                <w:color w:val="auto"/>
              </w:rPr>
              <w:t>SJW Group net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60,478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61,515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23,403</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b w:val="1"/>
                <w:bCs w:val="1"/>
                <w:color w:val="auto"/>
              </w:rPr>
              <w:t>SJW Group comprehensive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23,529</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Schedule I</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Schedule I</w:t>
            </w:r>
          </w:p>
        </w:tc>
      </w:tr>
      <w:tr>
        <w:trPr>
          <w:trHeight w:val="252"/>
        </w:trPr>
        <w:tc>
          <w:tcPr>
            <w:tcW w:w="4020" w:type="dxa"/>
            <w:vAlign w:val="bottom"/>
          </w:tcPr>
          <w:p>
            <w:pPr>
              <w:spacing w:after="0"/>
              <w:rPr>
                <w:sz w:val="21"/>
                <w:szCs w:val="21"/>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SJW Group (Parent Only)</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6"/>
        </w:trPr>
        <w:tc>
          <w:tcPr>
            <w:tcW w:w="8060" w:type="dxa"/>
            <w:vAlign w:val="bottom"/>
            <w:gridSpan w:val="5"/>
          </w:tcPr>
          <w:p>
            <w:pPr>
              <w:jc w:val="center"/>
              <w:ind w:left="3099"/>
              <w:spacing w:after="0"/>
              <w:rPr>
                <w:sz w:val="20"/>
                <w:szCs w:val="20"/>
                <w:color w:val="auto"/>
              </w:rPr>
            </w:pPr>
            <w:r>
              <w:rPr>
                <w:rFonts w:ascii="Arial" w:cs="Arial" w:eastAsia="Arial" w:hAnsi="Arial"/>
                <w:sz w:val="18"/>
                <w:szCs w:val="18"/>
                <w:b w:val="1"/>
                <w:bCs w:val="1"/>
                <w:color w:val="auto"/>
                <w:w w:val="98"/>
              </w:rPr>
              <w:t>CONDENSED STATEMENTS OF CASH FLOWS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3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 ended December 31 (in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5"/>
        </w:trPr>
        <w:tc>
          <w:tcPr>
            <w:tcW w:w="4020" w:type="dxa"/>
            <w:vAlign w:val="bottom"/>
          </w:tcPr>
          <w:p>
            <w:pPr>
              <w:spacing w:after="0"/>
              <w:rPr>
                <w:sz w:val="24"/>
                <w:szCs w:val="24"/>
                <w:color w:val="auto"/>
              </w:rPr>
            </w:pPr>
          </w:p>
        </w:tc>
        <w:tc>
          <w:tcPr>
            <w:tcW w:w="33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19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60,478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61,515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23,403</w:t>
            </w:r>
          </w:p>
        </w:tc>
      </w:tr>
      <w:tr>
        <w:trPr>
          <w:trHeight w:val="219"/>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Earnings from investment in subsidiaries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(73,663)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(78,141)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(45,191)</w:t>
            </w: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w:t>
            </w: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TWA</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Changes in operating assets and liabilities, net of acquired assets and liabilities: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other current liabilities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Intercompany receivables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(2,607)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2,045</w:t>
            </w: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 receivable and accrued taxes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w:t>
            </w: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Accrued interest</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3,742</w:t>
            </w: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Return on capital from investments in subsidiaries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28,600</w:t>
            </w:r>
          </w:p>
        </w:tc>
      </w:tr>
      <w:tr>
        <w:trPr>
          <w:trHeight w:val="213"/>
        </w:trPr>
        <w:tc>
          <w:tcPr>
            <w:tcW w:w="4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changes, net</w:t>
            </w:r>
          </w:p>
        </w:tc>
        <w:tc>
          <w:tcPr>
            <w:tcW w:w="24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r>
      <w:tr>
        <w:trPr>
          <w:trHeight w:val="21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33,812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38,236</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19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to subsidiaries for notes receivable</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(75,986)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(102,522)</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Repayments from subsidiaries for notes receivable</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85,651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95,795</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Investments in subsidiaries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(62,262)</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Proceeds from sale of TWA</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business acquisition</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(837,903)</w:t>
            </w:r>
          </w:p>
        </w:tc>
      </w:tr>
      <w:tr>
        <w:trPr>
          <w:trHeight w:val="207"/>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(22,453)</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(46,905)</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(906,892)</w:t>
            </w:r>
          </w:p>
        </w:tc>
      </w:tr>
      <w:tr>
        <w:trPr>
          <w:trHeight w:val="19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Borrowings from subsidiaries for notes payable</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34,317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54,837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29,865</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to subsidiaries for notes payable</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(44,145)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(17,705)</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Long-term borrowings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510,000</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borrowings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(50,000)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Issuance of common stock, net of issuance costs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91,029</w:t>
            </w:r>
          </w:p>
        </w:tc>
        <w:tc>
          <w:tcPr>
            <w:tcW w:w="1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issuance costs</w:t>
            </w:r>
          </w:p>
        </w:tc>
        <w:tc>
          <w:tcPr>
            <w:tcW w:w="2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(3,957)</w:t>
            </w:r>
          </w:p>
        </w:tc>
      </w:tr>
      <w:tr>
        <w:trPr>
          <w:trHeight w:val="213"/>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Dividends paid</w:t>
            </w:r>
          </w:p>
        </w:tc>
        <w:tc>
          <w:tcPr>
            <w:tcW w:w="24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(40,137)</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(36,509)</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(34,134)</w:t>
            </w:r>
          </w:p>
        </w:tc>
      </w:tr>
      <w:tr>
        <w:trPr>
          <w:trHeight w:val="21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(8,936)</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8,070</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484,059</w:t>
            </w:r>
          </w:p>
        </w:tc>
      </w:tr>
      <w:tr>
        <w:trPr>
          <w:trHeight w:val="20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2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(411,203)</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24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412,238</w:t>
            </w:r>
          </w:p>
        </w:tc>
      </w:tr>
      <w:tr>
        <w:trPr>
          <w:trHeight w:val="20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year</w:t>
            </w:r>
          </w:p>
        </w:tc>
        <w:tc>
          <w:tcPr>
            <w:tcW w:w="3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year for:</w:t>
            </w:r>
          </w:p>
        </w:tc>
        <w:tc>
          <w:tcPr>
            <w:tcW w:w="2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3340" w:type="dxa"/>
            <w:vAlign w:val="bottom"/>
            <w:gridSpan w:val="2"/>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18,518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19,442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w:t>
            </w:r>
          </w:p>
        </w:tc>
        <w:tc>
          <w:tcPr>
            <w:tcW w:w="334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activities:</w:t>
            </w:r>
          </w:p>
        </w:tc>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Share-based compensation from investment in subsidiaries</w:t>
            </w:r>
          </w:p>
        </w:tc>
        <w:tc>
          <w:tcPr>
            <w:tcW w:w="3340" w:type="dxa"/>
            <w:vAlign w:val="bottom"/>
            <w:gridSpan w:val="2"/>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Schedule I</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SJW Group (Parent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Dividends and Other Distributions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SJW Group is a legal entity separate and distinct from its various subsidiaries. As a holding company with no significant operations of its own, SJW Group’s principal sources of funds are dividends or other distributions from its operating subsidiaries, borrowings and the issuance of equity. The rights of SJW Group and, consequently, its creditors and shareholders, to participate in any distribution of assets of any of its subsidiaries are subject to certain prior claims of creditors of such subsidiary.</w:t>
      </w:r>
    </w:p>
    <w:p>
      <w:pPr>
        <w:spacing w:after="0" w:line="79" w:lineRule="exact"/>
        <w:rPr>
          <w:sz w:val="20"/>
          <w:szCs w:val="20"/>
          <w:color w:val="auto"/>
        </w:rPr>
      </w:pPr>
    </w:p>
    <w:p>
      <w:pPr>
        <w:ind w:right="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The abilities of certain of SJW Group’s subsidiaries to transfer funds to SJW Group in the form of cash dividends, loans or advances are subject to certain contractual and regulatory restrictions. SJW Group and its subsidiaries are subject to debt covenants that could limit their respective abilities to pay dividends. For a discussion on these covenants, see </w:t>
      </w:r>
      <w:hyperlink w:anchor="page68">
        <w:r>
          <w:rPr>
            <w:rFonts w:ascii="Arial" w:cs="Arial" w:eastAsia="Arial" w:hAnsi="Arial"/>
            <w:sz w:val="17"/>
            <w:szCs w:val="17"/>
            <w:u w:val="single" w:color="auto"/>
            <w:color w:val="0000FF"/>
          </w:rPr>
          <w:t>Note 6</w:t>
        </w:r>
      </w:hyperlink>
      <w:r>
        <w:rPr>
          <w:rFonts w:ascii="Arial" w:cs="Arial" w:eastAsia="Arial" w:hAnsi="Arial"/>
          <w:sz w:val="17"/>
          <w:szCs w:val="17"/>
          <w:color w:val="auto"/>
        </w:rPr>
        <w:t>, “Long-term Debt” to SJW Group and Subsidiaries Notes to Consolidated Financial Statements. In addition, Connecticut Water Service, Inc. (“CTWS”) and its regulated subsidiaries are prohibited from paying dividends if not in compliance with minimum equity requirements under commitments made by SJW Group as part of the approval granted by the Connecticut Public Utilities Regulatory Authority and the Maine Public Utilities Commission in connection with the acquisition of CTWS.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2021, the restricted net assets of SJW Group’s subsidiaries was approximately $337,787 or 33% of consolidated net assets of SJW Group.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2021, 2020 and 2019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80" w:type="dxa"/>
            <w:vAlign w:val="bottom"/>
          </w:tcPr>
          <w:p>
            <w:pPr>
              <w:spacing w:after="0"/>
              <w:rPr>
                <w:sz w:val="14"/>
                <w:szCs w:val="14"/>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Opening balance, SJWNE, LLC</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Charged to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Charged to regulatory asset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Accounts written off</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Recoveries of accounts written off</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Reserve for litigation and claims:</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2,181</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Charged to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w:t>
            </w: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Revision to accrual, due to settlements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Payments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r>
      <w:tr>
        <w:trPr>
          <w:trHeight w:val="223"/>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Group’s management is responsible for establishing and maintaining an adequate internal control structure over financial reporting and for an assessment of the effectiveness of internal control over financial reporting, as such items are defined in Rule 13a-15(f) and 15d-15(f) under the Exchange Act.</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Management has utilized the criteria established in “Internal Control-Integrated Framework (2013)” issued by the Committee of Sponsoring Organizations of the Treadway Commission to evaluate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9" w:name="page90"/>
    <w:bookmarkEnd w:id="89"/>
    <w:p>
      <w:pPr>
        <w:jc w:val="both"/>
        <w:ind w:right="20"/>
        <w:spacing w:after="0" w:line="342" w:lineRule="auto"/>
        <w:rPr>
          <w:sz w:val="20"/>
          <w:szCs w:val="20"/>
          <w:color w:val="auto"/>
        </w:rPr>
      </w:pPr>
      <w:r>
        <w:rPr>
          <w:rFonts w:ascii="Arial" w:cs="Arial" w:eastAsia="Arial" w:hAnsi="Arial"/>
          <w:sz w:val="16"/>
          <w:szCs w:val="16"/>
          <w:color w:val="auto"/>
        </w:rPr>
        <w:t>SJW Group’s management has performed an assessment of the effectiveness of internal control over financial reporting as of December 31, 2021. Based on this assessment, management has concluded SJW Group’s internal control over financial reporting as of December 31, 2021 was effective.</w:t>
      </w:r>
    </w:p>
    <w:p>
      <w:pPr>
        <w:spacing w:after="0" w:line="16" w:lineRule="exact"/>
        <w:rPr>
          <w:sz w:val="20"/>
          <w:szCs w:val="20"/>
          <w:color w:val="auto"/>
        </w:rPr>
      </w:pPr>
    </w:p>
    <w:p>
      <w:pPr>
        <w:ind w:right="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independent registered public accounting firm, DELOITTE &amp; TOUCHE LLP (PCAOB ID No. 34), has issued an auditors’ report on the effectiveness of our internal control over financial reporting, which is included in </w:t>
      </w:r>
      <w:hyperlink w:anchor="page48">
        <w:r>
          <w:rPr>
            <w:rFonts w:ascii="Arial" w:cs="Arial" w:eastAsia="Arial" w:hAnsi="Arial"/>
            <w:sz w:val="18"/>
            <w:szCs w:val="18"/>
            <w:u w:val="single" w:color="auto"/>
            <w:color w:val="0000FF"/>
          </w:rPr>
          <w:t>Item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Changes in Internal Controls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fourth fiscal quarter of 2021 that has materially affected, or is reasonably likely to materially affect, the internal controls over financial reporting of SJW Group.</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right="1260"/>
        <w:spacing w:after="0" w:line="342" w:lineRule="auto"/>
        <w:rPr>
          <w:sz w:val="20"/>
          <w:szCs w:val="20"/>
          <w:color w:val="auto"/>
        </w:rPr>
      </w:pPr>
      <w:r>
        <w:rPr>
          <w:rFonts w:ascii="Arial" w:cs="Arial" w:eastAsia="Arial" w:hAnsi="Arial"/>
          <w:sz w:val="16"/>
          <w:szCs w:val="16"/>
          <w:color w:val="auto"/>
        </w:rPr>
        <w:t xml:space="preserve">SJW Group intends to post information about the operating and financial performance of SJW Group and its subsidiaries on its website </w:t>
      </w:r>
      <w:r>
        <w:rPr>
          <w:rFonts w:ascii="Arial" w:cs="Arial" w:eastAsia="Arial" w:hAnsi="Arial"/>
          <w:sz w:val="16"/>
          <w:szCs w:val="16"/>
          <w:i w:val="1"/>
          <w:iCs w:val="1"/>
          <w:color w:val="auto"/>
        </w:rPr>
        <w:t xml:space="preserve">http://www.sjwgroup.com </w:t>
      </w:r>
      <w:r>
        <w:rPr>
          <w:rFonts w:ascii="Arial" w:cs="Arial" w:eastAsia="Arial" w:hAnsi="Arial"/>
          <w:sz w:val="16"/>
          <w:szCs w:val="16"/>
          <w:color w:val="auto"/>
        </w:rPr>
        <w:t>from time to time. The content of SJW Group’s website is not incorporated by reference to or part of this report.</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by this item is contained in part under the caption “Officers of the Registrant” in Part I, Item 1, of this report, and in SJW Group’s Proxy Statement for its 2022 Annual Meeting of Stockholders to be held on April 27, 2022 (the “2022 Proxy Statement”) under the captions “Proposal 1— Election of Directors” and “Section 16(a) Beneficial Ownership Reporting Compliance,” and is incorporated herein by reference.</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SJW Group has adopted a code of ethics that applies to SJW Group’s Chief Executive Officer, Chief Financial Officer, Chief Accounting Officer and all other officers. The text of the code of ethics is available, free of charge, at the Company’s website at </w:t>
      </w:r>
      <w:r>
        <w:rPr>
          <w:rFonts w:ascii="Arial" w:cs="Arial" w:eastAsia="Arial" w:hAnsi="Arial"/>
          <w:sz w:val="18"/>
          <w:szCs w:val="18"/>
          <w:i w:val="1"/>
          <w:iCs w:val="1"/>
          <w:color w:val="auto"/>
        </w:rPr>
        <w:t>http://www.sjwgroup.com</w:t>
      </w:r>
      <w:r>
        <w:rPr>
          <w:rFonts w:ascii="Arial" w:cs="Arial" w:eastAsia="Arial" w:hAnsi="Arial"/>
          <w:sz w:val="18"/>
          <w:szCs w:val="18"/>
          <w:color w:val="auto"/>
        </w:rPr>
        <w:t>. SJW Group intends to satisfy the disclosure requirements under Item 5.05 of Form 8-K regarding an amendment to, or a waiver from, a provision of its code of ethics by posting such information on its website.</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Corporate Governance Policies and Board Committee Charters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Corporate Governance Policies and the charters for the board committees—the Audit Committee, Executive Compensation Committee, Nominating &amp;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Governance Committee, Sustainability Committee, and Finance Committee—are available at the SJW Group’s website at </w:t>
      </w:r>
      <w:r>
        <w:rPr>
          <w:rFonts w:ascii="Arial" w:cs="Arial" w:eastAsia="Arial" w:hAnsi="Arial"/>
          <w:sz w:val="17"/>
          <w:szCs w:val="17"/>
          <w:i w:val="1"/>
          <w:iCs w:val="1"/>
          <w:color w:val="auto"/>
        </w:rPr>
        <w:t>http://www.sjwgroup.com</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Stockholders may also request a free hard copy of the Corporate Governance Policies and the charters from the following address and phone number: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SJW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West Taylor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800-250-5147</w:t>
      </w:r>
    </w:p>
    <w:p>
      <w:pPr>
        <w:spacing w:after="0" w:line="23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required by this item is contained in the 2022 Proxy Statement under the captions “Compensation of Directors,” “Executive Compensation and Related Information,” “Compensation Committee Interlocks and Insider Participation,” and “Committee Reports” and is incorporated herein by reference.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information required by this item is contained in the 2022 Proxy Statement under the captions “Security Ownership of Certain Beneficial Owners and Management” and “Securities Authorized for Issuance under Equity Compensation Plans”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required by this item is contained in the 2022 Proxy Statement under the caption “Certain Relationships and Related Transactions” and “Director Independence” and is incorporated herein by reference.</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contained in the 2022 Proxy Statement under the caption “Principal Independent Accountants’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Page</w:t>
            </w: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rPr>
              <w:t>(a)(1)</w:t>
            </w:r>
          </w:p>
        </w:tc>
        <w:tc>
          <w:tcPr>
            <w:tcW w:w="9840" w:type="dxa"/>
            <w:vAlign w:val="bottom"/>
            <w:gridSpan w:val="9"/>
          </w:tcPr>
          <w:p>
            <w:pPr>
              <w:ind w:left="100"/>
              <w:spacing w:after="0"/>
              <w:rPr>
                <w:sz w:val="20"/>
                <w:szCs w:val="20"/>
                <w:color w:val="auto"/>
              </w:rPr>
            </w:pPr>
            <w:r>
              <w:rPr>
                <w:rFonts w:ascii="Arial" w:cs="Arial" w:eastAsia="Arial" w:hAnsi="Arial"/>
                <w:sz w:val="18"/>
                <w:szCs w:val="18"/>
                <w:color w:val="auto"/>
              </w:rPr>
              <w:t>Financial Statements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20" w:type="dxa"/>
            <w:vAlign w:val="bottom"/>
          </w:tcPr>
          <w:p>
            <w:pPr>
              <w:spacing w:after="0"/>
              <w:rPr>
                <w:sz w:val="21"/>
                <w:szCs w:val="21"/>
                <w:color w:val="auto"/>
              </w:rPr>
            </w:pPr>
          </w:p>
        </w:tc>
        <w:tc>
          <w:tcPr>
            <w:tcW w:w="10220" w:type="dxa"/>
            <w:vAlign w:val="bottom"/>
            <w:gridSpan w:val="1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Report of Independent Registered Public Accounting Firm</w:t>
              </w:r>
            </w:hyperlink>
          </w:p>
        </w:tc>
        <w:tc>
          <w:tcPr>
            <w:tcW w:w="860" w:type="dxa"/>
            <w:vAlign w:val="bottom"/>
            <w:gridSpan w:val="2"/>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46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 xml:space="preserve">Consolidated Balance Sheets as of December 31, </w:t>
              </w:r>
            </w:hyperlink>
            <w:r>
              <w:rPr>
                <w:rFonts w:ascii="Arial" w:cs="Arial" w:eastAsia="Arial" w:hAnsi="Arial"/>
                <w:sz w:val="18"/>
                <w:szCs w:val="18"/>
                <w:color w:val="0000FF"/>
                <w:w w:val="88"/>
              </w:rPr>
              <w:t xml:space="preserve">2021 </w:t>
            </w:r>
            <w:hyperlink w:anchor="page52">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2020</w:t>
            </w:r>
          </w:p>
        </w:tc>
        <w:tc>
          <w:tcPr>
            <w:tcW w:w="55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Consolidated Statements of Comprehensive Income for the Years ended December 31, 2021, 2020 and 2019</w:t>
              </w:r>
            </w:hyperlink>
          </w:p>
        </w:tc>
        <w:tc>
          <w:tcPr>
            <w:tcW w:w="860" w:type="dxa"/>
            <w:vAlign w:val="bottom"/>
            <w:gridSpan w:val="2"/>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55</w:t>
              </w:r>
            </w:hyperlink>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Consolidated Statements of Changes in Stockholders’ Equity for the Years ended December 31, 2021, 2020 and 2019</w:t>
              </w:r>
            </w:hyperlink>
          </w:p>
        </w:tc>
        <w:tc>
          <w:tcPr>
            <w:tcW w:w="860" w:type="dxa"/>
            <w:vAlign w:val="bottom"/>
            <w:gridSpan w:val="2"/>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56</w:t>
              </w:r>
            </w:hyperlink>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694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 xml:space="preserve">Consolidated Statements of Cash Flows for the Years ended December 31, 2021, 2020 </w:t>
              </w:r>
            </w:hyperlink>
            <w:r>
              <w:rPr>
                <w:rFonts w:ascii="Arial" w:cs="Arial" w:eastAsia="Arial" w:hAnsi="Arial"/>
                <w:sz w:val="18"/>
                <w:szCs w:val="18"/>
                <w:color w:val="0000FF"/>
                <w:w w:val="89"/>
              </w:rPr>
              <w:t xml:space="preserve">and </w:t>
            </w:r>
            <w:hyperlink w:anchor="page56">
              <w:r>
                <w:rPr>
                  <w:rFonts w:ascii="Arial" w:cs="Arial" w:eastAsia="Arial" w:hAnsi="Arial"/>
                  <w:sz w:val="18"/>
                  <w:szCs w:val="18"/>
                  <w:color w:val="0000FF"/>
                  <w:w w:val="89"/>
                </w:rPr>
                <w:t>2019</w:t>
              </w:r>
            </w:hyperlink>
          </w:p>
        </w:tc>
        <w:tc>
          <w:tcPr>
            <w:tcW w:w="1520" w:type="dxa"/>
            <w:vAlign w:val="bottom"/>
            <w:tcBorders>
              <w:top w:val="single" w:sz="8" w:color="0000FF"/>
            </w:tcBorders>
            <w:gridSpan w:val="4"/>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31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Notes to Consolidated Financial Statements</w:t>
              </w:r>
            </w:hyperlink>
          </w:p>
        </w:tc>
        <w:tc>
          <w:tcPr>
            <w:tcW w:w="7060" w:type="dxa"/>
            <w:vAlign w:val="bottom"/>
            <w:gridSpan w:val="8"/>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c>
          <w:tcPr>
            <w:tcW w:w="20" w:type="dxa"/>
            <w:vAlign w:val="bottom"/>
          </w:tcPr>
          <w:p>
            <w:pPr>
              <w:spacing w:after="0"/>
              <w:rPr>
                <w:sz w:val="22"/>
                <w:szCs w:val="22"/>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(a)(2)</w:t>
            </w:r>
          </w:p>
        </w:tc>
        <w:tc>
          <w:tcPr>
            <w:tcW w:w="9840" w:type="dxa"/>
            <w:vAlign w:val="bottom"/>
            <w:gridSpan w:val="9"/>
          </w:tcPr>
          <w:p>
            <w:pPr>
              <w:ind w:left="100"/>
              <w:spacing w:after="0"/>
              <w:rPr>
                <w:sz w:val="20"/>
                <w:szCs w:val="20"/>
                <w:color w:val="auto"/>
              </w:rPr>
            </w:pPr>
            <w:r>
              <w:rPr>
                <w:rFonts w:ascii="Arial" w:cs="Arial" w:eastAsia="Arial" w:hAnsi="Arial"/>
                <w:sz w:val="18"/>
                <w:szCs w:val="18"/>
                <w:color w:val="auto"/>
              </w:rPr>
              <w:t>Financial Statement Schedule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81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Condensed Financial Information for SJW Group (Parent Only), Years ended December 31, 2021, 2020 and 2019</w:t>
              </w:r>
            </w:hyperlink>
          </w:p>
        </w:tc>
        <w:tc>
          <w:tcPr>
            <w:tcW w:w="20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85</w:t>
              </w:r>
            </w:hyperlink>
          </w:p>
        </w:tc>
        <w:tc>
          <w:tcPr>
            <w:tcW w:w="20" w:type="dxa"/>
            <w:vAlign w:val="bottom"/>
          </w:tcPr>
          <w:p>
            <w:pPr>
              <w:spacing w:after="0"/>
              <w:rPr>
                <w:sz w:val="21"/>
                <w:szCs w:val="21"/>
                <w:color w:val="auto"/>
              </w:rPr>
            </w:pPr>
          </w:p>
        </w:tc>
      </w:tr>
      <w:tr>
        <w:trPr>
          <w:trHeight w:val="264"/>
        </w:trPr>
        <w:tc>
          <w:tcPr>
            <w:tcW w:w="120" w:type="dxa"/>
            <w:vAlign w:val="bottom"/>
          </w:tcPr>
          <w:p>
            <w:pPr>
              <w:spacing w:after="0"/>
              <w:rPr>
                <w:sz w:val="22"/>
                <w:szCs w:val="22"/>
                <w:color w:val="auto"/>
              </w:rPr>
            </w:pPr>
          </w:p>
        </w:tc>
        <w:tc>
          <w:tcPr>
            <w:tcW w:w="71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Valuation and Qualifying Accounts and Reserves, Years ended December 31, 2021, 2020 and 2019</w:t>
              </w:r>
            </w:hyperlink>
          </w:p>
        </w:tc>
        <w:tc>
          <w:tcPr>
            <w:tcW w:w="3080" w:type="dxa"/>
            <w:vAlign w:val="bottom"/>
            <w:gridSpan w:val="4"/>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89</w:t>
              </w:r>
            </w:hyperlink>
          </w:p>
        </w:tc>
        <w:tc>
          <w:tcPr>
            <w:tcW w:w="20" w:type="dxa"/>
            <w:vAlign w:val="bottom"/>
          </w:tcPr>
          <w:p>
            <w:pPr>
              <w:spacing w:after="0"/>
              <w:rPr>
                <w:sz w:val="22"/>
                <w:szCs w:val="2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or related notes.</w:t>
      </w:r>
    </w:p>
    <w:p>
      <w:pPr>
        <w:spacing w:after="0" w:line="6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Exhibits required to be filed by Item 601 of Regulation 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located immediately following this Item 15.</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filed herewith are attached hereto (except as noted) and those indicated on the Exhibit Index, which are not filed herewith, were previously filed with the Securities and Exchange Commission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2" w:name="page93"/>
    <w:bookmarkEnd w:id="92"/>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40" w:type="dxa"/>
            <w:vAlign w:val="bottom"/>
            <w:gridSpan w:val="20"/>
          </w:tcPr>
          <w:p>
            <w:pPr>
              <w:ind w:left="660"/>
              <w:spacing w:after="0"/>
              <w:rPr>
                <w:sz w:val="20"/>
                <w:szCs w:val="20"/>
                <w:color w:val="auto"/>
              </w:rPr>
            </w:pPr>
            <w:r>
              <w:rPr>
                <w:rFonts w:ascii="Arial" w:cs="Arial" w:eastAsia="Arial" w:hAnsi="Arial"/>
                <w:sz w:val="18"/>
                <w:szCs w:val="18"/>
                <w:color w:val="auto"/>
              </w:rPr>
              <w:t>EXHIBIT INDEX</w:t>
            </w:r>
          </w:p>
        </w:tc>
      </w:tr>
      <w:tr>
        <w:trPr>
          <w:trHeight w:val="553"/>
        </w:trPr>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40" w:type="dxa"/>
            <w:vAlign w:val="bottom"/>
            <w:gridSpan w:val="20"/>
          </w:tcPr>
          <w:p>
            <w:pPr>
              <w:ind w:left="1620"/>
              <w:spacing w:after="0"/>
              <w:rPr>
                <w:sz w:val="20"/>
                <w:szCs w:val="20"/>
                <w:color w:val="auto"/>
              </w:rPr>
            </w:pPr>
            <w:r>
              <w:rPr>
                <w:rFonts w:ascii="Arial" w:cs="Arial" w:eastAsia="Arial" w:hAnsi="Arial"/>
                <w:sz w:val="18"/>
                <w:szCs w:val="18"/>
                <w:b w:val="1"/>
                <w:bCs w:val="1"/>
                <w:color w:val="auto"/>
              </w:rPr>
              <w:t>Description</w:t>
            </w:r>
          </w:p>
        </w:tc>
      </w:tr>
      <w:tr>
        <w:trPr>
          <w:trHeight w:val="317"/>
        </w:trPr>
        <w:tc>
          <w:tcPr>
            <w:tcW w:w="124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5"/>
              </w:rPr>
              <w:t>1.1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20" w:type="dxa"/>
            <w:vAlign w:val="bottom"/>
            <w:tcBorders>
              <w:top w:val="single" w:sz="8" w:color="auto"/>
            </w:tcBorders>
            <w:gridSpan w:val="24"/>
          </w:tcPr>
          <w:p>
            <w:pPr>
              <w:spacing w:after="0"/>
              <w:rPr>
                <w:rFonts w:ascii="Arial" w:cs="Arial" w:eastAsia="Arial" w:hAnsi="Arial"/>
                <w:sz w:val="18"/>
                <w:szCs w:val="18"/>
                <w:color w:val="0000FF"/>
                <w:w w:val="94"/>
              </w:rPr>
            </w:pPr>
            <w:hyperlink r:id="rId104">
              <w:r>
                <w:rPr>
                  <w:rFonts w:ascii="Arial" w:cs="Arial" w:eastAsia="Arial" w:hAnsi="Arial"/>
                  <w:sz w:val="18"/>
                  <w:szCs w:val="18"/>
                  <w:color w:val="0000FF"/>
                  <w:w w:val="94"/>
                </w:rPr>
                <w:t>Underwriting Agreement, dated as of March 8, 2021. Incorporated by reference to Exhibit 1.1 to Form 8-K filed on March 9, 2021</w:t>
              </w:r>
            </w:hyperlink>
            <w:r>
              <w:rPr>
                <w:rFonts w:ascii="Arial" w:cs="Arial" w:eastAsia="Arial" w:hAnsi="Arial"/>
                <w:sz w:val="18"/>
                <w:szCs w:val="18"/>
                <w:color w:val="000000"/>
                <w:w w:val="94"/>
              </w:rPr>
              <w:t>.</w:t>
            </w:r>
          </w:p>
        </w:tc>
      </w:tr>
      <w:tr>
        <w:trPr>
          <w:trHeight w:val="371"/>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1.2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top w:val="single" w:sz="8" w:color="0000FF"/>
            </w:tcBorders>
            <w:gridSpan w:val="17"/>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Equity Distribution Agreement, dated November 17, 2021, by and among the Company, J.P. Morgan Securities LLC, Janney</w:t>
              </w:r>
            </w:hyperlink>
          </w:p>
        </w:tc>
        <w:tc>
          <w:tcPr>
            <w:tcW w:w="320" w:type="dxa"/>
            <w:vAlign w:val="bottom"/>
            <w:gridSpan w:val="7"/>
          </w:tcPr>
          <w:p>
            <w:pPr>
              <w:spacing w:after="0"/>
              <w:rPr>
                <w:sz w:val="24"/>
                <w:szCs w:val="24"/>
                <w:color w:val="auto"/>
              </w:rPr>
            </w:pPr>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105">
              <w:r>
                <w:rPr>
                  <w:rFonts w:ascii="Arial" w:cs="Arial" w:eastAsia="Arial" w:hAnsi="Arial"/>
                  <w:sz w:val="18"/>
                  <w:szCs w:val="18"/>
                  <w:color w:val="0000FF"/>
                  <w:w w:val="92"/>
                </w:rPr>
                <w:t>Montgomery Scott LLC, RBC Capital Markets, LLC and Wells Fargo Securities, LLC. Incorporated by reference to Exhibit</w:t>
              </w:r>
            </w:hyperlink>
          </w:p>
        </w:tc>
        <w:tc>
          <w:tcPr>
            <w:tcW w:w="760" w:type="dxa"/>
            <w:vAlign w:val="bottom"/>
            <w:gridSpan w:val="12"/>
          </w:tcPr>
          <w:p>
            <w:pPr>
              <w:spacing w:after="0" w:line="156" w:lineRule="exact"/>
              <w:rPr>
                <w:rFonts w:ascii="Arial" w:cs="Arial" w:eastAsia="Arial" w:hAnsi="Arial"/>
                <w:sz w:val="18"/>
                <w:szCs w:val="18"/>
                <w:color w:val="0000FF"/>
                <w:w w:val="98"/>
              </w:rPr>
            </w:pPr>
            <w:hyperlink r:id="rId105">
              <w:r>
                <w:rPr>
                  <w:rFonts w:ascii="Arial" w:cs="Arial" w:eastAsia="Arial" w:hAnsi="Arial"/>
                  <w:sz w:val="18"/>
                  <w:szCs w:val="18"/>
                  <w:color w:val="0000FF"/>
                  <w:w w:val="98"/>
                </w:rPr>
                <w:t>1.1 to the</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Form 8-K filed on November 17, 2021</w:t>
              </w:r>
              <w:r>
                <w:rPr>
                  <w:rFonts w:ascii="Arial" w:cs="Arial" w:eastAsia="Arial" w:hAnsi="Arial"/>
                  <w:sz w:val="18"/>
                  <w:szCs w:val="18"/>
                  <w:color w:val="000000"/>
                </w:rPr>
                <w:t>. (2)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2.1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5"/>
              </w:rPr>
            </w:pPr>
            <w:hyperlink r:id="rId106">
              <w:r>
                <w:rPr>
                  <w:rFonts w:ascii="Arial" w:cs="Arial" w:eastAsia="Arial" w:hAnsi="Arial"/>
                  <w:sz w:val="18"/>
                  <w:szCs w:val="18"/>
                  <w:color w:val="0000FF"/>
                  <w:w w:val="95"/>
                </w:rPr>
                <w:t>Agreement and Plan of Merger, dated as of March 14, 2018, by and among SJW Group, Hydro Sub, Inc. and Connecticut Water</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Service, Inc. Incorporated by reference as Exhibit 2.1 to Form 8-K filed on March 15, 2018</w:t>
              </w:r>
              <w:r>
                <w:rPr>
                  <w:rFonts w:ascii="Arial" w:cs="Arial" w:eastAsia="Arial" w:hAnsi="Arial"/>
                  <w:sz w:val="18"/>
                  <w:szCs w:val="18"/>
                  <w:color w:val="000000"/>
                </w:rPr>
                <w:t>.</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2"/>
              </w:rPr>
            </w:pPr>
            <w:hyperlink r:id="rId107">
              <w:r>
                <w:rPr>
                  <w:rFonts w:ascii="Arial" w:cs="Arial" w:eastAsia="Arial" w:hAnsi="Arial"/>
                  <w:sz w:val="18"/>
                  <w:szCs w:val="18"/>
                  <w:color w:val="0000FF"/>
                  <w:w w:val="92"/>
                </w:rPr>
                <w:t>Amended and Restated Agreement and Plan of Merger, dated as of May 30, 2018, by and among SJW Group, Hydro Sub, Inc. and</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Connecticut Water Service, Inc. Incorporated by reference as Exhibit 2.1 to Form 8-K filed on May 31, 2018</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2.3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Second Amended and Restated Agreement and Plan of Merger, dated as of August 5, 2018, by and among SJW Group, Hydro Sub,</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8"/>
          </w:tcPr>
          <w:p>
            <w:pPr>
              <w:spacing w:after="0" w:line="156" w:lineRule="exact"/>
              <w:rPr>
                <w:rFonts w:ascii="Arial" w:cs="Arial" w:eastAsia="Arial" w:hAnsi="Arial"/>
                <w:sz w:val="18"/>
                <w:szCs w:val="18"/>
                <w:color w:val="0000FF"/>
                <w:w w:val="97"/>
              </w:rPr>
            </w:pPr>
            <w:hyperlink r:id="rId108">
              <w:r>
                <w:rPr>
                  <w:rFonts w:ascii="Arial" w:cs="Arial" w:eastAsia="Arial" w:hAnsi="Arial"/>
                  <w:sz w:val="18"/>
                  <w:szCs w:val="18"/>
                  <w:color w:val="0000FF"/>
                  <w:w w:val="97"/>
                </w:rPr>
                <w:t>Inc. and Connecticut Water Service, Inc. Incorporated by reference as Exhibit 2.1 to Form 8-K filed on August 6, 2018</w:t>
              </w:r>
              <w:r>
                <w:rPr>
                  <w:rFonts w:ascii="Arial" w:cs="Arial" w:eastAsia="Arial" w:hAnsi="Arial"/>
                  <w:sz w:val="18"/>
                  <w:szCs w:val="18"/>
                  <w:color w:val="000000"/>
                  <w:w w:val="97"/>
                </w:rPr>
                <w:t>. (3)</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8"/>
              </w:rPr>
            </w:pPr>
            <w:hyperlink r:id="rId109">
              <w:r>
                <w:rPr>
                  <w:rFonts w:ascii="Arial" w:cs="Arial" w:eastAsia="Arial" w:hAnsi="Arial"/>
                  <w:sz w:val="18"/>
                  <w:szCs w:val="18"/>
                  <w:color w:val="0000FF"/>
                  <w:w w:val="98"/>
                </w:rPr>
                <w:t>Certificate of Incorporation of SJW Group. Incorporated by reference to Exhibit 3.1 to Form 8-K filed on November 15, 2016</w:t>
              </w:r>
            </w:hyperlink>
            <w:r>
              <w:rPr>
                <w:rFonts w:ascii="Arial" w:cs="Arial" w:eastAsia="Arial" w:hAnsi="Arial"/>
                <w:sz w:val="18"/>
                <w:szCs w:val="18"/>
                <w:color w:val="000000"/>
                <w:w w:val="98"/>
              </w:rPr>
              <w:t>.</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40" w:type="dxa"/>
            <w:vAlign w:val="bottom"/>
            <w:tcBorders>
              <w:righ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3.2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Certificate of Amendment of the Certificate of Incorporation of SJW Group. Incorporated by reference to Exhibit 3.3 to Form 8-K</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filed on November 15, 2016</w:t>
              </w:r>
              <w:r>
                <w:rPr>
                  <w:rFonts w:ascii="Arial" w:cs="Arial" w:eastAsia="Arial" w:hAnsi="Arial"/>
                  <w:sz w:val="18"/>
                  <w:szCs w:val="18"/>
                  <w:color w:val="000000"/>
                </w:rPr>
                <w:t>.</w:t>
              </w:r>
            </w:hyperlink>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2"/>
              </w:rPr>
            </w:pPr>
            <w:hyperlink r:id="rId111">
              <w:r>
                <w:rPr>
                  <w:rFonts w:ascii="Arial" w:cs="Arial" w:eastAsia="Arial" w:hAnsi="Arial"/>
                  <w:sz w:val="18"/>
                  <w:szCs w:val="18"/>
                  <w:color w:val="0000FF"/>
                  <w:w w:val="92"/>
                </w:rPr>
                <w:t>Certificate of Amendment of Certificate of Incorporation of SJW Group dated April 24, 2019. Incorporated by reference to Exhibit 3.1</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to Form 8-K filed on April 25,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3.4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rPr>
            </w:pPr>
            <w:hyperlink r:id="rId112">
              <w:r>
                <w:rPr>
                  <w:rFonts w:ascii="Arial" w:cs="Arial" w:eastAsia="Arial" w:hAnsi="Arial"/>
                  <w:sz w:val="18"/>
                  <w:szCs w:val="18"/>
                  <w:color w:val="0000FF"/>
                </w:rPr>
                <w:t>Bylaws of SJW Group. Incorporated by reference to Exhibit 3.2 to Form 8-K filed on November 15, 2016</w:t>
              </w:r>
            </w:hyperlink>
            <w:r>
              <w:rPr>
                <w:rFonts w:ascii="Arial" w:cs="Arial" w:eastAsia="Arial" w:hAnsi="Arial"/>
                <w:sz w:val="18"/>
                <w:szCs w:val="18"/>
                <w:color w:val="000000"/>
              </w:rPr>
              <w:t>.</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3.5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Amended and Restated Bylaws of SJW Group effective as of January 25, 2017. Incorporated by reference to Exhibit 3.1 to the Form</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8-K filed on January 26, 2017</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45"/>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4.1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auto"/>
                <w:w w:val="96"/>
              </w:rPr>
              <w:t>Instruments Defining the Rights of Security Holders, including Indentures: Except as listed below in Exhibit 4.5, no issue of the</w:t>
            </w:r>
          </w:p>
        </w:tc>
      </w:tr>
      <w:tr>
        <w:trPr>
          <w:trHeight w:val="175"/>
        </w:trPr>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4"/>
          </w:tcPr>
          <w:p>
            <w:pPr>
              <w:spacing w:after="0" w:line="176" w:lineRule="exact"/>
              <w:rPr>
                <w:sz w:val="20"/>
                <w:szCs w:val="20"/>
                <w:color w:val="auto"/>
              </w:rPr>
            </w:pPr>
            <w:r>
              <w:rPr>
                <w:rFonts w:ascii="Arial" w:cs="Arial" w:eastAsia="Arial" w:hAnsi="Arial"/>
                <w:sz w:val="18"/>
                <w:szCs w:val="18"/>
                <w:color w:val="auto"/>
                <w:w w:val="90"/>
              </w:rPr>
              <w:t>registrant’s long-term debt exceeds 10 percent of its total assets. SJW Group hereby agrees to furnish upon request to the Commission</w:t>
            </w:r>
          </w:p>
        </w:tc>
      </w:tr>
      <w:tr>
        <w:trPr>
          <w:trHeight w:val="230"/>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auto"/>
                <w:w w:val="98"/>
              </w:rPr>
              <w:t>a copy of each such instrument defining the rights of holders of unregistered senior and subordinated debt of the Company.</w:t>
            </w:r>
          </w:p>
        </w:tc>
      </w:tr>
      <w:tr>
        <w:trPr>
          <w:trHeight w:val="337"/>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4.2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Form of Common Stock Certificate of SJW Group. Incorporated by reference to Exhibit 4.1 to Form 8-K filed on November 15, 2016</w:t>
              </w:r>
            </w:hyperlink>
            <w:r>
              <w:rPr>
                <w:rFonts w:ascii="Arial" w:cs="Arial" w:eastAsia="Arial" w:hAnsi="Arial"/>
                <w:sz w:val="18"/>
                <w:szCs w:val="18"/>
                <w:color w:val="000000"/>
                <w:w w:val="92"/>
              </w:rPr>
              <w:t>.</w:t>
            </w: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4.3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21"/>
          </w:tcPr>
          <w:p>
            <w:pPr>
              <w:spacing w:after="0"/>
              <w:rPr>
                <w:rFonts w:ascii="Arial" w:cs="Arial" w:eastAsia="Arial" w:hAnsi="Arial"/>
                <w:sz w:val="18"/>
                <w:szCs w:val="18"/>
                <w:color w:val="0000FF"/>
                <w:w w:val="90"/>
              </w:rPr>
            </w:pPr>
            <w:hyperlink r:id="rId115">
              <w:r>
                <w:rPr>
                  <w:rFonts w:ascii="Arial" w:cs="Arial" w:eastAsia="Arial" w:hAnsi="Arial"/>
                  <w:sz w:val="18"/>
                  <w:szCs w:val="18"/>
                  <w:color w:val="0000FF"/>
                  <w:w w:val="90"/>
                </w:rPr>
                <w:t>Indenture dated as of June 1, 2010 between San Jose Water Company and Wells Fargo Bank, National Association. Incorporated by</w:t>
              </w:r>
            </w:hyperlink>
          </w:p>
        </w:tc>
        <w:tc>
          <w:tcPr>
            <w:tcW w:w="80" w:type="dxa"/>
            <w:vAlign w:val="bottom"/>
            <w:gridSpan w:val="3"/>
          </w:tcPr>
          <w:p>
            <w:pPr>
              <w:spacing w:after="0"/>
              <w:rPr>
                <w:sz w:val="24"/>
                <w:szCs w:val="24"/>
                <w:color w:val="auto"/>
              </w:rPr>
            </w:pPr>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reference to Exhibit 4.1 to Form 10-Q for the quarter ended June 30, 2010</w:t>
              </w:r>
              <w:r>
                <w:rPr>
                  <w:rFonts w:ascii="Arial" w:cs="Arial" w:eastAsia="Arial" w:hAnsi="Arial"/>
                  <w:sz w:val="18"/>
                  <w:szCs w:val="18"/>
                  <w:color w:val="000000"/>
                </w:rPr>
                <w:t>.</w:t>
              </w:r>
            </w:hyperlink>
          </w:p>
        </w:tc>
        <w:tc>
          <w:tcPr>
            <w:tcW w:w="24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45"/>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4.4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auto"/>
                <w:w w:val="95"/>
              </w:rPr>
              <w:t>Indenture dated as of December 1, 2016, by and between California Pollution Control Financing Authority and The Bank of New</w:t>
            </w:r>
          </w:p>
        </w:tc>
      </w:tr>
      <w:tr>
        <w:trPr>
          <w:trHeight w:val="175"/>
        </w:trPr>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24"/>
          </w:tcPr>
          <w:p>
            <w:pPr>
              <w:spacing w:after="0" w:line="176" w:lineRule="exact"/>
              <w:rPr>
                <w:sz w:val="20"/>
                <w:szCs w:val="20"/>
                <w:color w:val="auto"/>
              </w:rPr>
            </w:pPr>
            <w:r>
              <w:rPr>
                <w:rFonts w:ascii="Arial" w:cs="Arial" w:eastAsia="Arial" w:hAnsi="Arial"/>
                <w:sz w:val="18"/>
                <w:szCs w:val="18"/>
                <w:color w:val="auto"/>
                <w:w w:val="91"/>
              </w:rPr>
              <w:t>York Mellon Trust Company, N.A. relating to the Bond. SJW Group agrees to furnish to the Commission upon request a copy of such</w:t>
            </w:r>
          </w:p>
        </w:tc>
      </w:tr>
      <w:tr>
        <w:trPr>
          <w:trHeight w:val="230"/>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4"/>
          </w:tcPr>
          <w:p>
            <w:pPr>
              <w:spacing w:after="0"/>
              <w:rPr>
                <w:sz w:val="20"/>
                <w:szCs w:val="20"/>
                <w:color w:val="auto"/>
              </w:rPr>
            </w:pPr>
            <w:r>
              <w:rPr>
                <w:rFonts w:ascii="Arial" w:cs="Arial" w:eastAsia="Arial" w:hAnsi="Arial"/>
                <w:sz w:val="18"/>
                <w:szCs w:val="18"/>
                <w:color w:val="auto"/>
              </w:rPr>
              <w:t>agreement which it has elected not to file under the provisions of Regulation S-K 601(b)(4)(iii).</w:t>
            </w:r>
          </w:p>
        </w:tc>
      </w:tr>
      <w:tr>
        <w:trPr>
          <w:trHeight w:val="337"/>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4.5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Form of 3.05% Senior Notes due November 1, 2029. Incorporated by reference to Schedule 1(a) of the Note Purchase Agreement</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attached as Exhibit 10.1 to the Form 8-K filed on October 9, 2019</w:t>
              </w:r>
              <w:r>
                <w:rPr>
                  <w:rFonts w:ascii="Arial" w:cs="Arial" w:eastAsia="Arial" w:hAnsi="Arial"/>
                  <w:sz w:val="18"/>
                  <w:szCs w:val="18"/>
                  <w:color w:val="000000"/>
                </w:rPr>
                <w:t>.</w:t>
              </w:r>
            </w:hyperlink>
          </w:p>
        </w:tc>
        <w:tc>
          <w:tcPr>
            <w:tcW w:w="400" w:type="dxa"/>
            <w:vAlign w:val="bottom"/>
            <w:gridSpan w:val="9"/>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5"/>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r>
      <w:tr>
        <w:trPr>
          <w:trHeight w:val="358"/>
        </w:trPr>
        <w:tc>
          <w:tcPr>
            <w:tcW w:w="1240" w:type="dxa"/>
            <w:vAlign w:val="bottom"/>
          </w:tcPr>
          <w:p>
            <w:pPr>
              <w:jc w:val="right"/>
              <w:ind w:right="890"/>
              <w:spacing w:after="0"/>
              <w:rPr>
                <w:sz w:val="20"/>
                <w:szCs w:val="20"/>
                <w:color w:val="auto"/>
              </w:rPr>
            </w:pPr>
            <w:r>
              <w:rPr>
                <w:rFonts w:ascii="Arial" w:cs="Arial" w:eastAsia="Arial" w:hAnsi="Arial"/>
                <w:sz w:val="18"/>
                <w:szCs w:val="18"/>
                <w:color w:val="auto"/>
                <w:w w:val="95"/>
              </w:rPr>
              <w:t>4.6</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Description of SJW Group’s capital stock registered under section 12 of the Securities Exchange Act of 1934 Incorporated by</w:t>
              </w:r>
            </w:hyperlink>
          </w:p>
        </w:tc>
      </w:tr>
      <w:tr>
        <w:trPr>
          <w:trHeight w:val="169"/>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17">
              <w:r>
                <w:rPr>
                  <w:rFonts w:ascii="Arial" w:cs="Arial" w:eastAsia="Arial" w:hAnsi="Arial"/>
                  <w:sz w:val="18"/>
                  <w:szCs w:val="18"/>
                  <w:color w:val="0000FF"/>
                </w:rPr>
                <w:t>reference to Exhibit 4.6 to form 10-K for the year ended December 31, 2019</w:t>
              </w:r>
              <w:r>
                <w:rPr>
                  <w:rFonts w:ascii="Arial" w:cs="Arial" w:eastAsia="Arial" w:hAnsi="Arial"/>
                  <w:sz w:val="18"/>
                  <w:szCs w:val="18"/>
                  <w:color w:val="000000"/>
                </w:rPr>
                <w:t>.</w:t>
              </w:r>
            </w:hyperlink>
          </w:p>
        </w:tc>
        <w:tc>
          <w:tcPr>
            <w:tcW w:w="660" w:type="dxa"/>
            <w:vAlign w:val="bottom"/>
            <w:gridSpan w:val="11"/>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9720" w:type="dxa"/>
            <w:vAlign w:val="bottom"/>
            <w:gridSpan w:val="33"/>
          </w:tcPr>
          <w:p>
            <w:pPr>
              <w:spacing w:after="0"/>
              <w:rPr>
                <w:rFonts w:ascii="Arial" w:cs="Arial" w:eastAsia="Arial" w:hAnsi="Arial"/>
                <w:sz w:val="18"/>
                <w:szCs w:val="18"/>
                <w:color w:val="0000FF"/>
                <w:w w:val="89"/>
              </w:rPr>
            </w:pPr>
            <w:hyperlink r:id="rId119">
              <w:r>
                <w:rPr>
                  <w:rFonts w:ascii="Arial" w:cs="Arial" w:eastAsia="Arial" w:hAnsi="Arial"/>
                  <w:sz w:val="18"/>
                  <w:szCs w:val="18"/>
                  <w:color w:val="0000FF"/>
                  <w:w w:val="89"/>
                </w:rPr>
                <w:t>Water Supply Contract dated January 27, 1981, between San Jose Water Works and the Santa Clara Valley Water District, as amended.</w:t>
              </w:r>
            </w:hyperlink>
          </w:p>
        </w:tc>
      </w:tr>
      <w:tr>
        <w:trPr>
          <w:trHeight w:val="156"/>
        </w:trPr>
        <w:tc>
          <w:tcPr>
            <w:tcW w:w="1500" w:type="dxa"/>
            <w:vAlign w:val="bottom"/>
          </w:tcPr>
          <w:p>
            <w:pPr>
              <w:spacing w:after="0"/>
              <w:rPr>
                <w:sz w:val="13"/>
                <w:szCs w:val="13"/>
                <w:color w:val="auto"/>
              </w:rPr>
            </w:pPr>
          </w:p>
        </w:tc>
        <w:tc>
          <w:tcPr>
            <w:tcW w:w="96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Incorporated by reference to Exhibit 10.1 to Form 10-K for the year ended December 31, 2001</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10.2</w:t>
            </w:r>
          </w:p>
        </w:tc>
        <w:tc>
          <w:tcPr>
            <w:tcW w:w="9720" w:type="dxa"/>
            <w:vAlign w:val="bottom"/>
            <w:gridSpan w:val="33"/>
          </w:tcPr>
          <w:p>
            <w:pPr>
              <w:spacing w:after="0"/>
              <w:rPr>
                <w:rFonts w:ascii="Arial" w:cs="Arial" w:eastAsia="Arial" w:hAnsi="Arial"/>
                <w:sz w:val="18"/>
                <w:szCs w:val="18"/>
                <w:color w:val="0000FF"/>
                <w:w w:val="91"/>
              </w:rPr>
            </w:pPr>
            <w:hyperlink r:id="rId120">
              <w:r>
                <w:rPr>
                  <w:rFonts w:ascii="Arial" w:cs="Arial" w:eastAsia="Arial" w:hAnsi="Arial"/>
                  <w:sz w:val="18"/>
                  <w:szCs w:val="18"/>
                  <w:color w:val="0000FF"/>
                  <w:w w:val="91"/>
                </w:rPr>
                <w:t>Grantor Trust Agreement by and between San Jose Water Company and Wells Fargo Bank, National Association dated November 2,</w:t>
              </w:r>
            </w:hyperlink>
          </w:p>
        </w:tc>
      </w:tr>
      <w:tr>
        <w:trPr>
          <w:trHeight w:val="156"/>
        </w:trPr>
        <w:tc>
          <w:tcPr>
            <w:tcW w:w="150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2012. Incorporated by reference as Exhibit 10.4 to Form 10-K for the year ended December 31, 2012</w:t>
              </w:r>
              <w:r>
                <w:rPr>
                  <w:rFonts w:ascii="Arial" w:cs="Arial" w:eastAsia="Arial" w:hAnsi="Arial"/>
                  <w:sz w:val="18"/>
                  <w:szCs w:val="18"/>
                  <w:color w:val="000000"/>
                </w:rPr>
                <w:t>.</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10.3</w:t>
            </w:r>
          </w:p>
        </w:tc>
        <w:tc>
          <w:tcPr>
            <w:tcW w:w="9720" w:type="dxa"/>
            <w:vAlign w:val="bottom"/>
            <w:gridSpan w:val="33"/>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Credit Agreement, dated April 23, 2021, between San Jose Water Company and JPMorgan Chase Bank, N.A. Incorporated by</w:t>
              </w:r>
            </w:hyperlink>
          </w:p>
        </w:tc>
      </w:tr>
      <w:tr>
        <w:trPr>
          <w:trHeight w:val="169"/>
        </w:trPr>
        <w:tc>
          <w:tcPr>
            <w:tcW w:w="1500" w:type="dxa"/>
            <w:vAlign w:val="bottom"/>
          </w:tcPr>
          <w:p>
            <w:pPr>
              <w:spacing w:after="0"/>
              <w:rPr>
                <w:sz w:val="14"/>
                <w:szCs w:val="14"/>
                <w:color w:val="auto"/>
              </w:rPr>
            </w:pPr>
          </w:p>
        </w:tc>
        <w:tc>
          <w:tcPr>
            <w:tcW w:w="906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21">
              <w:r>
                <w:rPr>
                  <w:rFonts w:ascii="Arial" w:cs="Arial" w:eastAsia="Arial" w:hAnsi="Arial"/>
                  <w:sz w:val="18"/>
                  <w:szCs w:val="18"/>
                  <w:color w:val="0000FF"/>
                </w:rPr>
                <w:t>reference to Exhibit 10.1 to Form 8-K filed on April 27, 2021</w:t>
              </w:r>
              <w:r>
                <w:rPr>
                  <w:rFonts w:ascii="Arial" w:cs="Arial" w:eastAsia="Arial" w:hAnsi="Arial"/>
                  <w:sz w:val="18"/>
                  <w:szCs w:val="18"/>
                  <w:color w:val="000000"/>
                </w:rPr>
                <w:t>.</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10.4</w:t>
            </w:r>
          </w:p>
        </w:tc>
        <w:tc>
          <w:tcPr>
            <w:tcW w:w="9720" w:type="dxa"/>
            <w:vAlign w:val="bottom"/>
            <w:gridSpan w:val="33"/>
          </w:tcPr>
          <w:p>
            <w:pPr>
              <w:spacing w:after="0"/>
              <w:rPr>
                <w:rFonts w:ascii="Arial" w:cs="Arial" w:eastAsia="Arial" w:hAnsi="Arial"/>
                <w:sz w:val="18"/>
                <w:szCs w:val="18"/>
                <w:color w:val="0000FF"/>
                <w:w w:val="98"/>
              </w:rPr>
            </w:pPr>
            <w:hyperlink r:id="rId122">
              <w:r>
                <w:rPr>
                  <w:rFonts w:ascii="Arial" w:cs="Arial" w:eastAsia="Arial" w:hAnsi="Arial"/>
                  <w:sz w:val="18"/>
                  <w:szCs w:val="18"/>
                  <w:color w:val="0000FF"/>
                  <w:w w:val="98"/>
                </w:rPr>
                <w:t>Loan Agreement dated as of June 1, 2010 between the California Pollution Control Financing Authority and San Jose Water</w:t>
              </w:r>
            </w:hyperlink>
          </w:p>
        </w:tc>
      </w:tr>
      <w:tr>
        <w:trPr>
          <w:trHeight w:val="156"/>
        </w:trPr>
        <w:tc>
          <w:tcPr>
            <w:tcW w:w="1500" w:type="dxa"/>
            <w:vAlign w:val="bottom"/>
          </w:tcPr>
          <w:p>
            <w:pPr>
              <w:spacing w:after="0"/>
              <w:rPr>
                <w:sz w:val="13"/>
                <w:szCs w:val="13"/>
                <w:color w:val="auto"/>
              </w:rPr>
            </w:pPr>
          </w:p>
        </w:tc>
        <w:tc>
          <w:tcPr>
            <w:tcW w:w="89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Company. Incorporated by reference to Exhibit 10.3 to Form 10-Q for the quarter ended June 30, 2010</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10.5</w:t>
            </w:r>
          </w:p>
        </w:tc>
        <w:tc>
          <w:tcPr>
            <w:tcW w:w="9720" w:type="dxa"/>
            <w:vAlign w:val="bottom"/>
            <w:gridSpan w:val="33"/>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Loan Agreement dated as of December 1, 2016 between the California Pollution Control Financing Authority and San Jose Water</w:t>
              </w:r>
            </w:hyperlink>
          </w:p>
        </w:tc>
      </w:tr>
      <w:tr>
        <w:trPr>
          <w:trHeight w:val="156"/>
        </w:trPr>
        <w:tc>
          <w:tcPr>
            <w:tcW w:w="1500" w:type="dxa"/>
            <w:vAlign w:val="bottom"/>
          </w:tcPr>
          <w:p>
            <w:pPr>
              <w:spacing w:after="0"/>
              <w:rPr>
                <w:sz w:val="13"/>
                <w:szCs w:val="13"/>
                <w:color w:val="auto"/>
              </w:rPr>
            </w:pPr>
          </w:p>
        </w:tc>
        <w:tc>
          <w:tcPr>
            <w:tcW w:w="93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Company. Incorporated by reference to Exhibit 10.7 to Form 10-K for the year ended December 31, 2016</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10.6</w:t>
            </w:r>
          </w:p>
        </w:tc>
        <w:tc>
          <w:tcPr>
            <w:tcW w:w="9280" w:type="dxa"/>
            <w:vAlign w:val="bottom"/>
            <w:tcBorders>
              <w:bottom w:val="single" w:sz="8" w:color="0000FF"/>
            </w:tcBorders>
            <w:gridSpan w:val="20"/>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Bond Purchase Contract dated June 9, 2010 among Goldman, Sachs &amp; Co., the Honorable Bill Lockyer, Treasurer of the State of</w:t>
              </w:r>
            </w:hyperlink>
          </w:p>
        </w:tc>
        <w:tc>
          <w:tcPr>
            <w:tcW w:w="440" w:type="dxa"/>
            <w:vAlign w:val="bottom"/>
            <w:gridSpan w:val="13"/>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720" w:type="dxa"/>
            <w:vAlign w:val="bottom"/>
            <w:gridSpan w:val="33"/>
          </w:tcPr>
          <w:p>
            <w:pPr>
              <w:spacing w:after="0" w:line="15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California, the California Pollution Control Financing Authority and San Jose Water Company. Incorporated by reference to Exhibit</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4</w:t>
              </w:r>
              <w:r>
                <w:rPr>
                  <w:rFonts w:ascii="Arial" w:cs="Arial" w:eastAsia="Arial" w:hAnsi="Arial"/>
                  <w:sz w:val="18"/>
                  <w:szCs w:val="18"/>
                  <w:color w:val="0000FF"/>
                </w:rPr>
                <w:t xml:space="preserve"> to Form 10-Q for the quarter ended June 30, 2010.</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10.7</w:t>
            </w:r>
          </w:p>
        </w:tc>
        <w:tc>
          <w:tcPr>
            <w:tcW w:w="9720" w:type="dxa"/>
            <w:vAlign w:val="bottom"/>
            <w:gridSpan w:val="33"/>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Bond Purchase Contract dated December 15, 2016 among Morgan Stanley &amp; Co. LLC, RBC Capital Markets, LLC, the Honorable</w:t>
              </w:r>
            </w:hyperlink>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500" w:type="dxa"/>
            <w:vAlign w:val="bottom"/>
          </w:tcPr>
          <w:p>
            <w:pPr>
              <w:spacing w:after="0"/>
              <w:rPr>
                <w:sz w:val="13"/>
                <w:szCs w:val="13"/>
                <w:color w:val="auto"/>
              </w:rPr>
            </w:pPr>
          </w:p>
        </w:tc>
        <w:tc>
          <w:tcPr>
            <w:tcW w:w="9720" w:type="dxa"/>
            <w:vAlign w:val="bottom"/>
            <w:gridSpan w:val="33"/>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John Chiang, Treasurer of the State of California, the California Pollution Control Financing Authority and San Jose Water Company.</w:t>
              </w:r>
            </w:hyperlink>
          </w:p>
        </w:tc>
      </w:tr>
      <w:tr>
        <w:trPr>
          <w:trHeight w:val="155"/>
        </w:trPr>
        <w:tc>
          <w:tcPr>
            <w:tcW w:w="150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Incorporated by reference to Exhibit 10.9 to Form 10-K for the year ended December 31, 2016.</w:t>
              </w:r>
            </w:hyperlink>
          </w:p>
        </w:tc>
        <w:tc>
          <w:tcPr>
            <w:tcW w:w="280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10.8</w:t>
            </w:r>
          </w:p>
        </w:tc>
        <w:tc>
          <w:tcPr>
            <w:tcW w:w="9720" w:type="dxa"/>
            <w:vAlign w:val="bottom"/>
            <w:gridSpan w:val="33"/>
          </w:tcPr>
          <w:p>
            <w:pPr>
              <w:spacing w:after="0"/>
              <w:rPr>
                <w:rFonts w:ascii="Arial" w:cs="Arial" w:eastAsia="Arial" w:hAnsi="Arial"/>
                <w:sz w:val="18"/>
                <w:szCs w:val="18"/>
                <w:color w:val="0000FF"/>
                <w:w w:val="95"/>
              </w:rPr>
            </w:pPr>
            <w:hyperlink r:id="rId126">
              <w:r>
                <w:rPr>
                  <w:rFonts w:ascii="Arial" w:cs="Arial" w:eastAsia="Arial" w:hAnsi="Arial"/>
                  <w:sz w:val="18"/>
                  <w:szCs w:val="18"/>
                  <w:color w:val="0000FF"/>
                  <w:w w:val="95"/>
                </w:rPr>
                <w:t>Note Agreement between SJW Corp. and the Prudential Insurance Company of America, dated June 30, 2011. Incorporated by</w:t>
              </w:r>
            </w:hyperlink>
          </w:p>
        </w:tc>
      </w:tr>
      <w:tr>
        <w:trPr>
          <w:trHeight w:val="156"/>
        </w:trPr>
        <w:tc>
          <w:tcPr>
            <w:tcW w:w="150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reference as Exhibit 10.3 to Form 8-K filed on July 7, 2011</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10.9</w:t>
            </w:r>
          </w:p>
        </w:tc>
        <w:tc>
          <w:tcPr>
            <w:tcW w:w="9720" w:type="dxa"/>
            <w:vAlign w:val="bottom"/>
            <w:gridSpan w:val="33"/>
          </w:tcPr>
          <w:p>
            <w:pPr>
              <w:spacing w:after="0"/>
              <w:rPr>
                <w:rFonts w:ascii="Arial" w:cs="Arial" w:eastAsia="Arial" w:hAnsi="Arial"/>
                <w:sz w:val="18"/>
                <w:szCs w:val="18"/>
                <w:color w:val="0000FF"/>
                <w:w w:val="94"/>
              </w:rPr>
            </w:pPr>
            <w:hyperlink r:id="rId127">
              <w:r>
                <w:rPr>
                  <w:rFonts w:ascii="Arial" w:cs="Arial" w:eastAsia="Arial" w:hAnsi="Arial"/>
                  <w:sz w:val="18"/>
                  <w:szCs w:val="18"/>
                  <w:color w:val="0000FF"/>
                  <w:w w:val="94"/>
                </w:rPr>
                <w:t>Note Agreement between San Jose Water Company and John Hancock Life Insurance Company (U.S.A.) and John Hancock Life</w:t>
              </w:r>
            </w:hyperlink>
          </w:p>
        </w:tc>
      </w:tr>
      <w:tr>
        <w:trPr>
          <w:trHeight w:val="156"/>
        </w:trPr>
        <w:tc>
          <w:tcPr>
            <w:tcW w:w="1500" w:type="dxa"/>
            <w:vAlign w:val="bottom"/>
          </w:tcPr>
          <w:p>
            <w:pPr>
              <w:spacing w:after="0"/>
              <w:rPr>
                <w:sz w:val="13"/>
                <w:szCs w:val="13"/>
                <w:color w:val="auto"/>
              </w:rPr>
            </w:pPr>
          </w:p>
        </w:tc>
        <w:tc>
          <w:tcPr>
            <w:tcW w:w="9300" w:type="dxa"/>
            <w:vAlign w:val="bottom"/>
            <w:tcBorders>
              <w:top w:val="single" w:sz="8" w:color="0000FF"/>
            </w:tcBorders>
            <w:gridSpan w:val="21"/>
          </w:tcPr>
          <w:p>
            <w:pPr>
              <w:spacing w:after="0" w:line="156" w:lineRule="exact"/>
              <w:rPr>
                <w:rFonts w:ascii="Arial" w:cs="Arial" w:eastAsia="Arial" w:hAnsi="Arial"/>
                <w:sz w:val="18"/>
                <w:szCs w:val="18"/>
                <w:color w:val="0000FF"/>
                <w:w w:val="89"/>
              </w:rPr>
            </w:pPr>
            <w:hyperlink r:id="rId127">
              <w:r>
                <w:rPr>
                  <w:rFonts w:ascii="Arial" w:cs="Arial" w:eastAsia="Arial" w:hAnsi="Arial"/>
                  <w:sz w:val="18"/>
                  <w:szCs w:val="18"/>
                  <w:color w:val="0000FF"/>
                  <w:w w:val="89"/>
                </w:rPr>
                <w:t>Insurance Company of New York, dated January 24, 2014. Incorporated by reference as Exhibit 10.1 to Form 8-K filed on January</w:t>
              </w:r>
            </w:hyperlink>
          </w:p>
        </w:tc>
        <w:tc>
          <w:tcPr>
            <w:tcW w:w="400" w:type="dxa"/>
            <w:vAlign w:val="bottom"/>
            <w:gridSpan w:val="11"/>
          </w:tcPr>
          <w:p>
            <w:pPr>
              <w:jc w:val="right"/>
              <w:ind w:right="40"/>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29,</w:t>
              </w:r>
            </w:hyperlink>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39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2014</w:t>
              </w:r>
              <w:r>
                <w:rPr>
                  <w:rFonts w:ascii="Arial" w:cs="Arial" w:eastAsia="Arial" w:hAnsi="Arial"/>
                  <w:sz w:val="18"/>
                  <w:szCs w:val="18"/>
                  <w:color w:val="000000"/>
                </w:rPr>
                <w:t>.</w:t>
              </w:r>
            </w:hyperlink>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10.10</w:t>
            </w:r>
          </w:p>
        </w:tc>
        <w:tc>
          <w:tcPr>
            <w:tcW w:w="9720" w:type="dxa"/>
            <w:vAlign w:val="bottom"/>
            <w:gridSpan w:val="33"/>
          </w:tcPr>
          <w:p>
            <w:pPr>
              <w:spacing w:after="0"/>
              <w:rPr>
                <w:rFonts w:ascii="Arial" w:cs="Arial" w:eastAsia="Arial" w:hAnsi="Arial"/>
                <w:sz w:val="18"/>
                <w:szCs w:val="18"/>
                <w:color w:val="0000FF"/>
                <w:w w:val="93"/>
              </w:rPr>
            </w:pPr>
            <w:hyperlink r:id="rId128">
              <w:r>
                <w:rPr>
                  <w:rFonts w:ascii="Arial" w:cs="Arial" w:eastAsia="Arial" w:hAnsi="Arial"/>
                  <w:sz w:val="18"/>
                  <w:szCs w:val="18"/>
                  <w:color w:val="0000FF"/>
                  <w:w w:val="93"/>
                </w:rPr>
                <w:t>Note Purchase Agreement among San Jose Water Company and certain affiliates of MetLife, Inc., Brighthouse Financial, Inc. and</w:t>
              </w:r>
            </w:hyperlink>
          </w:p>
        </w:tc>
      </w:tr>
      <w:tr>
        <w:trPr>
          <w:trHeight w:val="155"/>
        </w:trPr>
        <w:tc>
          <w:tcPr>
            <w:tcW w:w="15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New York Life Insurance Company, dated March 28, 2019. Incorporated by reference to Exhibit 10.1 to Form 8-K filed on March</w:t>
              </w:r>
            </w:hyperlink>
          </w:p>
        </w:tc>
        <w:tc>
          <w:tcPr>
            <w:tcW w:w="200" w:type="dxa"/>
            <w:vAlign w:val="bottom"/>
            <w:tcBorders>
              <w:bottom w:val="single" w:sz="8" w:color="0000FF"/>
            </w:tcBorders>
            <w:gridSpan w:val="4"/>
          </w:tcPr>
          <w:p>
            <w:pPr>
              <w:jc w:val="right"/>
              <w:spacing w:after="0" w:line="156" w:lineRule="exact"/>
              <w:rPr>
                <w:rFonts w:ascii="Arial" w:cs="Arial" w:eastAsia="Arial" w:hAnsi="Arial"/>
                <w:sz w:val="18"/>
                <w:szCs w:val="18"/>
                <w:color w:val="0000FF"/>
                <w:w w:val="71"/>
              </w:rPr>
            </w:pPr>
            <w:hyperlink r:id="rId128">
              <w:r>
                <w:rPr>
                  <w:rFonts w:ascii="Arial" w:cs="Arial" w:eastAsia="Arial" w:hAnsi="Arial"/>
                  <w:sz w:val="18"/>
                  <w:szCs w:val="18"/>
                  <w:color w:val="0000FF"/>
                  <w:w w:val="71"/>
                </w:rPr>
                <w:t>28,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3980" w:type="dxa"/>
            <w:vAlign w:val="bottom"/>
            <w:gridSpan w:val="2"/>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2019</w:t>
              </w:r>
              <w:r>
                <w:rPr>
                  <w:rFonts w:ascii="Arial" w:cs="Arial" w:eastAsia="Arial" w:hAnsi="Arial"/>
                  <w:sz w:val="18"/>
                  <w:szCs w:val="18"/>
                  <w:color w:val="000000"/>
                </w:rPr>
                <w:t>.</w:t>
              </w:r>
            </w:hyperlink>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10.11</w:t>
            </w:r>
          </w:p>
        </w:tc>
        <w:tc>
          <w:tcPr>
            <w:tcW w:w="9720" w:type="dxa"/>
            <w:vAlign w:val="bottom"/>
            <w:gridSpan w:val="33"/>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Note Purchase Agreement among SJW Group and Purchases listed therein, dated October 8, 2019, along with the forms of senior</w:t>
              </w:r>
            </w:hyperlink>
          </w:p>
        </w:tc>
      </w:tr>
      <w:tr>
        <w:trPr>
          <w:trHeight w:val="155"/>
        </w:trPr>
        <w:tc>
          <w:tcPr>
            <w:tcW w:w="1500" w:type="dxa"/>
            <w:vAlign w:val="bottom"/>
          </w:tcPr>
          <w:p>
            <w:pPr>
              <w:spacing w:after="0"/>
              <w:rPr>
                <w:sz w:val="13"/>
                <w:szCs w:val="13"/>
                <w:color w:val="auto"/>
              </w:rPr>
            </w:pPr>
          </w:p>
        </w:tc>
        <w:tc>
          <w:tcPr>
            <w:tcW w:w="93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notes. Incorporated by reference to Exhibit 10.1 to the Form 8-K filed on October 9, 2019</w:t>
              </w:r>
              <w:r>
                <w:rPr>
                  <w:rFonts w:ascii="Arial" w:cs="Arial" w:eastAsia="Arial" w:hAnsi="Arial"/>
                  <w:sz w:val="18"/>
                  <w:szCs w:val="18"/>
                  <w:color w:val="00B050"/>
                </w:rPr>
                <w:t>.</w:t>
              </w:r>
            </w:hyperlink>
          </w:p>
        </w:tc>
        <w:tc>
          <w:tcPr>
            <w:tcW w:w="26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10.12</w:t>
            </w:r>
          </w:p>
        </w:tc>
        <w:tc>
          <w:tcPr>
            <w:tcW w:w="9720" w:type="dxa"/>
            <w:vAlign w:val="bottom"/>
            <w:gridSpan w:val="33"/>
          </w:tcPr>
          <w:p>
            <w:pPr>
              <w:spacing w:after="0"/>
              <w:rPr>
                <w:rFonts w:ascii="Arial" w:cs="Arial" w:eastAsia="Arial" w:hAnsi="Arial"/>
                <w:sz w:val="18"/>
                <w:szCs w:val="18"/>
                <w:color w:val="0000FF"/>
                <w:w w:val="90"/>
              </w:rPr>
            </w:pPr>
            <w:hyperlink r:id="rId129">
              <w:r>
                <w:rPr>
                  <w:rFonts w:ascii="Arial" w:cs="Arial" w:eastAsia="Arial" w:hAnsi="Arial"/>
                  <w:sz w:val="18"/>
                  <w:szCs w:val="18"/>
                  <w:color w:val="0000FF"/>
                  <w:w w:val="90"/>
                </w:rPr>
                <w:t>Note Purchase Agreement among The Connecticut Water Company and Purchasers listed therein, dated August 4, 2021. Incorporated</w:t>
              </w:r>
            </w:hyperlink>
          </w:p>
        </w:tc>
      </w:tr>
      <w:tr>
        <w:trPr>
          <w:trHeight w:val="169"/>
        </w:trPr>
        <w:tc>
          <w:tcPr>
            <w:tcW w:w="1500" w:type="dxa"/>
            <w:vAlign w:val="bottom"/>
          </w:tcPr>
          <w:p>
            <w:pPr>
              <w:spacing w:after="0"/>
              <w:rPr>
                <w:sz w:val="14"/>
                <w:szCs w:val="14"/>
                <w:color w:val="auto"/>
              </w:rPr>
            </w:pPr>
          </w:p>
        </w:tc>
        <w:tc>
          <w:tcPr>
            <w:tcW w:w="962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by reference to Exhibit 10.1 to Form 8-K filed on August 5, 2021</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10.13</w:t>
            </w:r>
          </w:p>
        </w:tc>
        <w:tc>
          <w:tcPr>
            <w:tcW w:w="9720" w:type="dxa"/>
            <w:vAlign w:val="bottom"/>
            <w:gridSpan w:val="33"/>
          </w:tcPr>
          <w:p>
            <w:pPr>
              <w:spacing w:after="0"/>
              <w:rPr>
                <w:rFonts w:ascii="Arial" w:cs="Arial" w:eastAsia="Arial" w:hAnsi="Arial"/>
                <w:sz w:val="18"/>
                <w:szCs w:val="18"/>
                <w:color w:val="0000FF"/>
                <w:w w:val="94"/>
              </w:rPr>
            </w:pPr>
            <w:hyperlink r:id="rId130">
              <w:r>
                <w:rPr>
                  <w:rFonts w:ascii="Arial" w:cs="Arial" w:eastAsia="Arial" w:hAnsi="Arial"/>
                  <w:sz w:val="18"/>
                  <w:szCs w:val="18"/>
                  <w:color w:val="0000FF"/>
                  <w:w w:val="94"/>
                </w:rPr>
                <w:t>Master Loan Agreement between The Connecticut Water Company and CoBank, ACB, dated October 29, 2012. Incorporated by</w:t>
              </w:r>
            </w:hyperlink>
          </w:p>
        </w:tc>
      </w:tr>
      <w:tr>
        <w:trPr>
          <w:trHeight w:val="156"/>
        </w:trPr>
        <w:tc>
          <w:tcPr>
            <w:tcW w:w="1500" w:type="dxa"/>
            <w:vAlign w:val="bottom"/>
          </w:tcPr>
          <w:p>
            <w:pPr>
              <w:spacing w:after="0"/>
              <w:rPr>
                <w:sz w:val="13"/>
                <w:szCs w:val="13"/>
                <w:color w:val="auto"/>
              </w:rPr>
            </w:pPr>
          </w:p>
        </w:tc>
        <w:tc>
          <w:tcPr>
            <w:tcW w:w="92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reference to Exhibit 10.1 to Connecticut Water Service, Inc.’s Form 8-K filed on November 2, 2012</w:t>
              </w:r>
              <w:r>
                <w:rPr>
                  <w:rFonts w:ascii="Arial" w:cs="Arial" w:eastAsia="Arial" w:hAnsi="Arial"/>
                  <w:sz w:val="18"/>
                  <w:szCs w:val="18"/>
                  <w:color w:val="000000"/>
                </w:rPr>
                <w:t>.</w:t>
              </w:r>
            </w:hyperlink>
          </w:p>
        </w:tc>
        <w:tc>
          <w:tcPr>
            <w:tcW w:w="320" w:type="dxa"/>
            <w:vAlign w:val="bottom"/>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1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10.14</w:t>
            </w:r>
          </w:p>
        </w:tc>
        <w:tc>
          <w:tcPr>
            <w:tcW w:w="9720" w:type="dxa"/>
            <w:vAlign w:val="bottom"/>
            <w:gridSpan w:val="33"/>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Letter Agreement between Connecticut Water Service, Inc. and Citizens Bank, N.A., dated December 14, 2018. Incorporated by</w:t>
              </w:r>
            </w:hyperlink>
          </w:p>
        </w:tc>
      </w:tr>
      <w:tr>
        <w:trPr>
          <w:trHeight w:val="155"/>
        </w:trPr>
        <w:tc>
          <w:tcPr>
            <w:tcW w:w="150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reference to Exhibit 10.4 to Connecticut Water Service, Inc.’s Form 8-K filed on December 17, 2018</w:t>
              </w:r>
              <w:r>
                <w:rPr>
                  <w:rFonts w:ascii="Arial" w:cs="Arial" w:eastAsia="Arial" w:hAnsi="Arial"/>
                  <w:sz w:val="18"/>
                  <w:szCs w:val="18"/>
                  <w:color w:val="000000"/>
                </w:rPr>
                <w:t>.</w:t>
              </w:r>
            </w:hyperlink>
          </w:p>
        </w:tc>
        <w:tc>
          <w:tcPr>
            <w:tcW w:w="360" w:type="dxa"/>
            <w:vAlign w:val="bottom"/>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240" w:type="dxa"/>
            <w:vAlign w:val="bottom"/>
            <w:gridSpan w:val="10"/>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10.15</w:t>
            </w:r>
          </w:p>
        </w:tc>
        <w:tc>
          <w:tcPr>
            <w:tcW w:w="9720" w:type="dxa"/>
            <w:vAlign w:val="bottom"/>
            <w:gridSpan w:val="33"/>
          </w:tcPr>
          <w:p>
            <w:pPr>
              <w:spacing w:after="0"/>
              <w:rPr>
                <w:rFonts w:ascii="Arial" w:cs="Arial" w:eastAsia="Arial" w:hAnsi="Arial"/>
                <w:sz w:val="18"/>
                <w:szCs w:val="18"/>
                <w:color w:val="0000FF"/>
                <w:w w:val="92"/>
              </w:rPr>
            </w:pPr>
            <w:hyperlink r:id="rId132">
              <w:r>
                <w:rPr>
                  <w:rFonts w:ascii="Arial" w:cs="Arial" w:eastAsia="Arial" w:hAnsi="Arial"/>
                  <w:sz w:val="18"/>
                  <w:szCs w:val="18"/>
                  <w:color w:val="0000FF"/>
                  <w:w w:val="92"/>
                </w:rPr>
                <w:t>First Modification of Revolving Credit Facility between Connecticut Water Service, Inc. and Citizens Bank, N.A., dated Sept. 4, 2019.</w:t>
              </w:r>
            </w:hyperlink>
          </w:p>
        </w:tc>
      </w:tr>
      <w:tr>
        <w:trPr>
          <w:trHeight w:val="155"/>
        </w:trPr>
        <w:tc>
          <w:tcPr>
            <w:tcW w:w="150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Incorporated by reference as Exhibit 10.3 to Connecticut Water Service, Inc.’s Form 8-K filed on September 6, 2019</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540" w:type="dxa"/>
            <w:vAlign w:val="bottom"/>
            <w:gridSpan w:val="12"/>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10.16</w:t>
            </w:r>
          </w:p>
        </w:tc>
        <w:tc>
          <w:tcPr>
            <w:tcW w:w="9720" w:type="dxa"/>
            <w:vAlign w:val="bottom"/>
            <w:gridSpan w:val="33"/>
          </w:tcPr>
          <w:p>
            <w:pPr>
              <w:spacing w:after="0"/>
              <w:rPr>
                <w:rFonts w:ascii="Arial" w:cs="Arial" w:eastAsia="Arial" w:hAnsi="Arial"/>
                <w:sz w:val="18"/>
                <w:szCs w:val="18"/>
                <w:color w:val="0000FF"/>
                <w:w w:val="90"/>
              </w:rPr>
            </w:pPr>
            <w:hyperlink r:id="rId133">
              <w:r>
                <w:rPr>
                  <w:rFonts w:ascii="Arial" w:cs="Arial" w:eastAsia="Arial" w:hAnsi="Arial"/>
                  <w:sz w:val="18"/>
                  <w:szCs w:val="18"/>
                  <w:color w:val="0000FF"/>
                  <w:w w:val="90"/>
                </w:rPr>
                <w:t>Second Amended and Restated Promissory Note between Connecticut Water Service, Inc. and Citizens Bank, N.A., dated September</w:t>
              </w:r>
            </w:hyperlink>
          </w:p>
        </w:tc>
      </w:tr>
      <w:tr>
        <w:trPr>
          <w:trHeight w:val="156"/>
        </w:trPr>
        <w:tc>
          <w:tcPr>
            <w:tcW w:w="150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w w:val="96"/>
              </w:rPr>
            </w:pPr>
            <w:hyperlink r:id="rId133">
              <w:r>
                <w:rPr>
                  <w:rFonts w:ascii="Arial" w:cs="Arial" w:eastAsia="Arial" w:hAnsi="Arial"/>
                  <w:sz w:val="18"/>
                  <w:szCs w:val="18"/>
                  <w:color w:val="0000FF"/>
                  <w:w w:val="96"/>
                </w:rPr>
                <w:t>4, 2019. Incorporated by reference to Exhibit 10.4 to Connecticut Water Service, Inc.’s Form 8-K filed on September 6, 2019</w:t>
              </w:r>
              <w:r>
                <w:rPr>
                  <w:rFonts w:ascii="Arial" w:cs="Arial" w:eastAsia="Arial" w:hAnsi="Arial"/>
                  <w:sz w:val="18"/>
                  <w:szCs w:val="18"/>
                  <w:color w:val="000000"/>
                  <w:w w:val="96"/>
                </w:rPr>
                <w:t>.</w:t>
              </w:r>
            </w:hyperlink>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540" w:type="dxa"/>
            <w:vAlign w:val="bottom"/>
            <w:gridSpan w:val="12"/>
            <w:shd w:val="clear" w:color="auto" w:fill="0000FF"/>
          </w:tcPr>
          <w:p>
            <w:pPr>
              <w:spacing w:after="0" w:line="20" w:lineRule="exact"/>
              <w:rPr>
                <w:sz w:val="1"/>
                <w:szCs w:val="1"/>
                <w:color w:val="auto"/>
              </w:rPr>
            </w:pPr>
          </w:p>
        </w:tc>
        <w:tc>
          <w:tcPr>
            <w:tcW w:w="146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10.17</w:t>
            </w:r>
          </w:p>
        </w:tc>
        <w:tc>
          <w:tcPr>
            <w:tcW w:w="9720" w:type="dxa"/>
            <w:vAlign w:val="bottom"/>
            <w:gridSpan w:val="33"/>
          </w:tcPr>
          <w:p>
            <w:pPr>
              <w:spacing w:after="0"/>
              <w:rPr>
                <w:rFonts w:ascii="Arial" w:cs="Arial" w:eastAsia="Arial" w:hAnsi="Arial"/>
                <w:sz w:val="18"/>
                <w:szCs w:val="18"/>
                <w:color w:val="0000FF"/>
                <w:w w:val="89"/>
              </w:rPr>
            </w:pPr>
            <w:hyperlink r:id="rId134">
              <w:r>
                <w:rPr>
                  <w:rFonts w:ascii="Arial" w:cs="Arial" w:eastAsia="Arial" w:hAnsi="Arial"/>
                  <w:sz w:val="18"/>
                  <w:szCs w:val="18"/>
                  <w:color w:val="0000FF"/>
                  <w:w w:val="89"/>
                </w:rPr>
                <w:t>San Jose Water Company Executive Supplemental Retirement Plan, as Amended and Restated on January 25, 2012, effective January</w:t>
              </w:r>
            </w:hyperlink>
          </w:p>
        </w:tc>
      </w:tr>
      <w:tr>
        <w:trPr>
          <w:trHeight w:val="155"/>
        </w:trPr>
        <w:tc>
          <w:tcPr>
            <w:tcW w:w="150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1, 2012. Incorporated by reference as Exhibit 10.20 to Form 10-K for the year ended December 31, 2011</w:t>
              </w:r>
              <w:r>
                <w:rPr>
                  <w:rFonts w:ascii="Arial" w:cs="Arial" w:eastAsia="Arial" w:hAnsi="Arial"/>
                  <w:sz w:val="18"/>
                  <w:szCs w:val="18"/>
                  <w:color w:val="000000"/>
                </w:rPr>
                <w:t>. (2)</w:t>
              </w:r>
            </w:hyperlink>
          </w:p>
        </w:tc>
        <w:tc>
          <w:tcPr>
            <w:tcW w:w="80" w:type="dxa"/>
            <w:vAlign w:val="bottom"/>
            <w:gridSpan w:val="4"/>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40" w:right="3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10.18</w:t>
            </w:r>
          </w:p>
        </w:tc>
        <w:tc>
          <w:tcPr>
            <w:tcW w:w="9760" w:type="dxa"/>
            <w:vAlign w:val="bottom"/>
            <w:gridSpan w:val="36"/>
          </w:tcPr>
          <w:p>
            <w:pPr>
              <w:spacing w:after="0"/>
              <w:rPr>
                <w:rFonts w:ascii="Arial" w:cs="Arial" w:eastAsia="Arial" w:hAnsi="Arial"/>
                <w:sz w:val="18"/>
                <w:szCs w:val="18"/>
                <w:color w:val="0000FF"/>
                <w:w w:val="94"/>
              </w:rPr>
            </w:pPr>
            <w:hyperlink r:id="rId136">
              <w:r>
                <w:rPr>
                  <w:rFonts w:ascii="Arial" w:cs="Arial" w:eastAsia="Arial" w:hAnsi="Arial"/>
                  <w:sz w:val="18"/>
                  <w:szCs w:val="18"/>
                  <w:color w:val="0000FF"/>
                  <w:w w:val="94"/>
                </w:rPr>
                <w:t>The First Amendment to the Executive Supplemental Retirement Plan effective November 15, 2016. Incorporated by reference to</w:t>
              </w:r>
            </w:hyperlink>
          </w:p>
        </w:tc>
      </w:tr>
      <w:tr>
        <w:trPr>
          <w:trHeight w:val="156"/>
        </w:trPr>
        <w:tc>
          <w:tcPr>
            <w:tcW w:w="1500" w:type="dxa"/>
            <w:vAlign w:val="bottom"/>
          </w:tcPr>
          <w:p>
            <w:pPr>
              <w:spacing w:after="0"/>
              <w:rPr>
                <w:sz w:val="13"/>
                <w:szCs w:val="13"/>
                <w:color w:val="auto"/>
              </w:rPr>
            </w:pPr>
          </w:p>
        </w:tc>
        <w:tc>
          <w:tcPr>
            <w:tcW w:w="9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Exhibit 10.14 to the Form 10-K for the year ended December 31, 2016</w:t>
              </w:r>
              <w:r>
                <w:rPr>
                  <w:rFonts w:ascii="Arial" w:cs="Arial" w:eastAsia="Arial" w:hAnsi="Arial"/>
                  <w:sz w:val="18"/>
                  <w:szCs w:val="18"/>
                  <w:color w:val="000000"/>
                </w:rPr>
                <w:t>. (2)</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10.19</w:t>
            </w:r>
          </w:p>
        </w:tc>
        <w:tc>
          <w:tcPr>
            <w:tcW w:w="9760" w:type="dxa"/>
            <w:vAlign w:val="bottom"/>
            <w:gridSpan w:val="36"/>
          </w:tcPr>
          <w:p>
            <w:pPr>
              <w:spacing w:after="0"/>
              <w:rPr>
                <w:rFonts w:ascii="Arial" w:cs="Arial" w:eastAsia="Arial" w:hAnsi="Arial"/>
                <w:sz w:val="18"/>
                <w:szCs w:val="18"/>
                <w:color w:val="0000FF"/>
                <w:w w:val="95"/>
              </w:rPr>
            </w:pPr>
            <w:hyperlink r:id="rId137">
              <w:r>
                <w:rPr>
                  <w:rFonts w:ascii="Arial" w:cs="Arial" w:eastAsia="Arial" w:hAnsi="Arial"/>
                  <w:sz w:val="18"/>
                  <w:szCs w:val="18"/>
                  <w:color w:val="0000FF"/>
                  <w:w w:val="95"/>
                </w:rPr>
                <w:t>The Second Amendment to the Executive Supplemental Retirement Plan effective October 9, 2019. Incorporated by reference to</w:t>
              </w:r>
            </w:hyperlink>
          </w:p>
        </w:tc>
      </w:tr>
      <w:tr>
        <w:trPr>
          <w:trHeight w:val="155"/>
        </w:trPr>
        <w:tc>
          <w:tcPr>
            <w:tcW w:w="1500" w:type="dxa"/>
            <w:vAlign w:val="bottom"/>
          </w:tcPr>
          <w:p>
            <w:pPr>
              <w:spacing w:after="0"/>
              <w:rPr>
                <w:sz w:val="13"/>
                <w:szCs w:val="13"/>
                <w:color w:val="auto"/>
              </w:rPr>
            </w:pPr>
          </w:p>
        </w:tc>
        <w:tc>
          <w:tcPr>
            <w:tcW w:w="92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Exhibit 10.5 to the Form 8-K filed on 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10.20</w:t>
            </w:r>
          </w:p>
        </w:tc>
        <w:tc>
          <w:tcPr>
            <w:tcW w:w="9760" w:type="dxa"/>
            <w:vAlign w:val="bottom"/>
            <w:gridSpan w:val="36"/>
          </w:tcPr>
          <w:p>
            <w:pPr>
              <w:spacing w:after="0"/>
              <w:rPr>
                <w:rFonts w:ascii="Arial" w:cs="Arial" w:eastAsia="Arial" w:hAnsi="Arial"/>
                <w:sz w:val="18"/>
                <w:szCs w:val="18"/>
                <w:color w:val="0000FF"/>
                <w:w w:val="92"/>
              </w:rPr>
            </w:pPr>
            <w:hyperlink r:id="rId138">
              <w:r>
                <w:rPr>
                  <w:rFonts w:ascii="Arial" w:cs="Arial" w:eastAsia="Arial" w:hAnsi="Arial"/>
                  <w:sz w:val="18"/>
                  <w:szCs w:val="18"/>
                  <w:color w:val="0000FF"/>
                  <w:w w:val="92"/>
                </w:rPr>
                <w:t>San Jose Water Company Cash Balance Executive Supplemental Retirement Plan, as Amended and Restated on January 25, 2012,</w:t>
              </w:r>
            </w:hyperlink>
          </w:p>
        </w:tc>
      </w:tr>
      <w:tr>
        <w:trPr>
          <w:trHeight w:val="156"/>
        </w:trPr>
        <w:tc>
          <w:tcPr>
            <w:tcW w:w="150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effective January 1, 2012. Incorporated by reference as Exhibit 10.23 to Form 10-K for the year ended December 31, 2011</w:t>
              </w:r>
              <w:r>
                <w:rPr>
                  <w:rFonts w:ascii="Arial" w:cs="Arial" w:eastAsia="Arial" w:hAnsi="Arial"/>
                  <w:sz w:val="18"/>
                  <w:szCs w:val="18"/>
                  <w:color w:val="000000"/>
                  <w:w w:val="92"/>
                </w:rPr>
                <w:t>. (2)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10.21</w:t>
            </w:r>
          </w:p>
        </w:tc>
        <w:tc>
          <w:tcPr>
            <w:tcW w:w="9760" w:type="dxa"/>
            <w:vAlign w:val="bottom"/>
            <w:gridSpan w:val="36"/>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First Amendment to the San Jose Water Company Cash Balance Executive Supplemental Retirement Plan effective as of October 30,</w:t>
              </w:r>
            </w:hyperlink>
          </w:p>
        </w:tc>
      </w:tr>
      <w:tr>
        <w:trPr>
          <w:trHeight w:val="155"/>
        </w:trPr>
        <w:tc>
          <w:tcPr>
            <w:tcW w:w="150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2013. Incorporated by reference as Exhibit 10.15 to Form 10-K for the year ended December 31, 2013</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10.22</w:t>
            </w:r>
          </w:p>
        </w:tc>
        <w:tc>
          <w:tcPr>
            <w:tcW w:w="9760" w:type="dxa"/>
            <w:vAlign w:val="bottom"/>
            <w:gridSpan w:val="36"/>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Second Amendment to the San Jose Water Company Cash Balance Executive Supplemental Retirement Plan effective as of January</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31, 2014. Incorporated by reference as Exhibit 10.2 to Form 8-K filed on January 30, 2014</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10.23</w:t>
            </w:r>
          </w:p>
        </w:tc>
        <w:tc>
          <w:tcPr>
            <w:tcW w:w="9760" w:type="dxa"/>
            <w:vAlign w:val="bottom"/>
            <w:gridSpan w:val="36"/>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Third Amendment to the San Jose Water Company Cash Balance Executive Supplemental Retirement Plan effective November 15,</w:t>
              </w:r>
            </w:hyperlink>
          </w:p>
        </w:tc>
      </w:tr>
      <w:tr>
        <w:trPr>
          <w:trHeight w:val="156"/>
        </w:trPr>
        <w:tc>
          <w:tcPr>
            <w:tcW w:w="1500" w:type="dxa"/>
            <w:vAlign w:val="bottom"/>
          </w:tcPr>
          <w:p>
            <w:pPr>
              <w:spacing w:after="0"/>
              <w:rPr>
                <w:sz w:val="13"/>
                <w:szCs w:val="13"/>
                <w:color w:val="auto"/>
              </w:rPr>
            </w:pPr>
          </w:p>
        </w:tc>
        <w:tc>
          <w:tcPr>
            <w:tcW w:w="94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2016. Incorporated by reference to Exhibit 10.18 to Form 10-K for the year ended December 31, 2016</w:t>
              </w:r>
              <w:r>
                <w:rPr>
                  <w:rFonts w:ascii="Arial" w:cs="Arial" w:eastAsia="Arial" w:hAnsi="Arial"/>
                  <w:sz w:val="18"/>
                  <w:szCs w:val="18"/>
                  <w:color w:val="000000"/>
                </w:rPr>
                <w:t>. (2)</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10.24</w:t>
            </w:r>
          </w:p>
        </w:tc>
        <w:tc>
          <w:tcPr>
            <w:tcW w:w="9760" w:type="dxa"/>
            <w:vAlign w:val="bottom"/>
            <w:gridSpan w:val="36"/>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Fourth Amendment to the San Jose Water Company Cash Balance Executive Supplemental Retirement Plan effective November 6,</w:t>
              </w:r>
            </w:hyperlink>
          </w:p>
        </w:tc>
      </w:tr>
      <w:tr>
        <w:trPr>
          <w:trHeight w:val="156"/>
        </w:trPr>
        <w:tc>
          <w:tcPr>
            <w:tcW w:w="1500" w:type="dxa"/>
            <w:vAlign w:val="bottom"/>
          </w:tcPr>
          <w:p>
            <w:pPr>
              <w:spacing w:after="0"/>
              <w:rPr>
                <w:sz w:val="13"/>
                <w:szCs w:val="13"/>
                <w:color w:val="auto"/>
              </w:rPr>
            </w:pPr>
          </w:p>
        </w:tc>
        <w:tc>
          <w:tcPr>
            <w:tcW w:w="94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2017. Incorporated by reference to Exhibit 10.5 to the Form 10-Q for the quarter ended September 30, 2017</w:t>
              </w:r>
              <w:r>
                <w:rPr>
                  <w:rFonts w:ascii="Arial" w:cs="Arial" w:eastAsia="Arial" w:hAnsi="Arial"/>
                  <w:sz w:val="18"/>
                  <w:szCs w:val="18"/>
                  <w:color w:val="000000"/>
                </w:rPr>
                <w:t>. (2)</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10.25</w:t>
            </w:r>
          </w:p>
        </w:tc>
        <w:tc>
          <w:tcPr>
            <w:tcW w:w="9760" w:type="dxa"/>
            <w:vAlign w:val="bottom"/>
            <w:gridSpan w:val="36"/>
          </w:tcPr>
          <w:p>
            <w:pPr>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Fifth Amendment to the San Jose Water Company Cash Balance Executive Supplemental Retirement Plan effective October 24, 2018.</w:t>
              </w:r>
            </w:hyperlink>
          </w:p>
        </w:tc>
      </w:tr>
      <w:tr>
        <w:trPr>
          <w:trHeight w:val="156"/>
        </w:trPr>
        <w:tc>
          <w:tcPr>
            <w:tcW w:w="1500" w:type="dxa"/>
            <w:vAlign w:val="bottom"/>
          </w:tcPr>
          <w:p>
            <w:pPr>
              <w:spacing w:after="0"/>
              <w:rPr>
                <w:sz w:val="13"/>
                <w:szCs w:val="13"/>
                <w:color w:val="auto"/>
              </w:rPr>
            </w:pPr>
          </w:p>
        </w:tc>
        <w:tc>
          <w:tcPr>
            <w:tcW w:w="974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Incorporated by reference as Exhibit 10.21 to Form 10-K for the year ended December 31, 2018</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10.26</w:t>
            </w:r>
          </w:p>
        </w:tc>
        <w:tc>
          <w:tcPr>
            <w:tcW w:w="9760" w:type="dxa"/>
            <w:vAlign w:val="bottom"/>
            <w:gridSpan w:val="36"/>
          </w:tcPr>
          <w:p>
            <w:pPr>
              <w:spacing w:after="0"/>
              <w:rPr>
                <w:rFonts w:ascii="Arial" w:cs="Arial" w:eastAsia="Arial" w:hAnsi="Arial"/>
                <w:sz w:val="18"/>
                <w:szCs w:val="18"/>
                <w:color w:val="0000FF"/>
                <w:w w:val="91"/>
              </w:rPr>
            </w:pPr>
            <w:hyperlink r:id="rId144">
              <w:r>
                <w:rPr>
                  <w:rFonts w:ascii="Arial" w:cs="Arial" w:eastAsia="Arial" w:hAnsi="Arial"/>
                  <w:sz w:val="18"/>
                  <w:szCs w:val="18"/>
                  <w:color w:val="0000FF"/>
                  <w:w w:val="91"/>
                </w:rPr>
                <w:t>Sixth Amendment to the San Jose Water Company Cash Balance Executive Supplemental Retirement Plan effective October 9, 2019.</w:t>
              </w:r>
            </w:hyperlink>
          </w:p>
        </w:tc>
      </w:tr>
      <w:tr>
        <w:trPr>
          <w:trHeight w:val="155"/>
        </w:trPr>
        <w:tc>
          <w:tcPr>
            <w:tcW w:w="1500" w:type="dxa"/>
            <w:vAlign w:val="bottom"/>
          </w:tcPr>
          <w:p>
            <w:pPr>
              <w:spacing w:after="0"/>
              <w:rPr>
                <w:sz w:val="13"/>
                <w:szCs w:val="13"/>
                <w:color w:val="auto"/>
              </w:rPr>
            </w:pPr>
          </w:p>
        </w:tc>
        <w:tc>
          <w:tcPr>
            <w:tcW w:w="96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Incorporated by reference as Exhibit 10.4 to Form 8-K filed on 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10.27</w:t>
            </w:r>
          </w:p>
        </w:tc>
        <w:tc>
          <w:tcPr>
            <w:tcW w:w="9760" w:type="dxa"/>
            <w:vAlign w:val="bottom"/>
            <w:gridSpan w:val="36"/>
          </w:tcPr>
          <w:p>
            <w:pPr>
              <w:spacing w:after="0"/>
              <w:rPr>
                <w:rFonts w:ascii="Arial" w:cs="Arial" w:eastAsia="Arial" w:hAnsi="Arial"/>
                <w:sz w:val="18"/>
                <w:szCs w:val="18"/>
                <w:color w:val="0000FF"/>
                <w:w w:val="92"/>
              </w:rPr>
            </w:pPr>
            <w:hyperlink r:id="rId145">
              <w:r>
                <w:rPr>
                  <w:rFonts w:ascii="Arial" w:cs="Arial" w:eastAsia="Arial" w:hAnsi="Arial"/>
                  <w:sz w:val="18"/>
                  <w:szCs w:val="18"/>
                  <w:color w:val="0000FF"/>
                  <w:w w:val="92"/>
                </w:rPr>
                <w:t>SJW Corp. Long-Term Incentive Plan, as amended and restated on July 29, 2015. Incorporated by reference as Exhibit 10.1 to Form</w:t>
              </w:r>
            </w:hyperlink>
          </w:p>
        </w:tc>
      </w:tr>
      <w:tr>
        <w:trPr>
          <w:trHeight w:val="156"/>
        </w:trPr>
        <w:tc>
          <w:tcPr>
            <w:tcW w:w="150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10-Q filed for the quarter ended September 30, 2015</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10.28</w:t>
            </w:r>
          </w:p>
        </w:tc>
        <w:tc>
          <w:tcPr>
            <w:tcW w:w="9760" w:type="dxa"/>
            <w:vAlign w:val="bottom"/>
            <w:gridSpan w:val="36"/>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First Amendment to the SJW Group Long-Term Incentive Plan dated November 15, 2016. Incorporated by reference to Exhibit 10.21</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to Form 10-K for the year ended December 31,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10.29</w:t>
            </w:r>
          </w:p>
        </w:tc>
        <w:tc>
          <w:tcPr>
            <w:tcW w:w="9760" w:type="dxa"/>
            <w:vAlign w:val="bottom"/>
            <w:gridSpan w:val="36"/>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Second Amendment to the SJW Group Long-Term Incentive Plan dated October 28, 2020. Incorporated by reference as Exhibit 10.1</w:t>
              </w:r>
            </w:hyperlink>
          </w:p>
        </w:tc>
      </w:tr>
      <w:tr>
        <w:trPr>
          <w:trHeight w:val="155"/>
        </w:trPr>
        <w:tc>
          <w:tcPr>
            <w:tcW w:w="150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to Form 10-Q filed for the quarter ended September 30, 2020</w:t>
              </w:r>
              <w:r>
                <w:rPr>
                  <w:rFonts w:ascii="Arial" w:cs="Arial" w:eastAsia="Arial" w:hAnsi="Arial"/>
                  <w:sz w:val="18"/>
                  <w:szCs w:val="18"/>
                  <w:color w:val="000000"/>
                </w:rPr>
                <w:t>. (2)</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10.30</w:t>
            </w:r>
          </w:p>
        </w:tc>
        <w:tc>
          <w:tcPr>
            <w:tcW w:w="9760" w:type="dxa"/>
            <w:vAlign w:val="bottom"/>
            <w:gridSpan w:val="36"/>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Third Amendment to the SJW Group Long-Term Incentive Plan dated January 28, 2021. Incorporated by reference to Exhibit 10.31 to</w:t>
              </w:r>
            </w:hyperlink>
          </w:p>
        </w:tc>
      </w:tr>
      <w:tr>
        <w:trPr>
          <w:trHeight w:val="169"/>
        </w:trPr>
        <w:tc>
          <w:tcPr>
            <w:tcW w:w="1500" w:type="dxa"/>
            <w:vAlign w:val="bottom"/>
          </w:tcPr>
          <w:p>
            <w:pPr>
              <w:spacing w:after="0"/>
              <w:rPr>
                <w:sz w:val="14"/>
                <w:szCs w:val="14"/>
                <w:color w:val="auto"/>
              </w:rPr>
            </w:pPr>
          </w:p>
        </w:tc>
        <w:tc>
          <w:tcPr>
            <w:tcW w:w="972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148">
              <w:r>
                <w:rPr>
                  <w:rFonts w:ascii="Arial" w:cs="Arial" w:eastAsia="Arial" w:hAnsi="Arial"/>
                  <w:sz w:val="18"/>
                  <w:szCs w:val="18"/>
                  <w:color w:val="0000FF"/>
                </w:rPr>
                <w:t xml:space="preserve">Form 10-K for the year ended December 31, 2020. </w:t>
              </w:r>
              <w:r>
                <w:rPr>
                  <w:rFonts w:ascii="Arial" w:cs="Arial" w:eastAsia="Arial" w:hAnsi="Arial"/>
                  <w:sz w:val="18"/>
                  <w:szCs w:val="18"/>
                  <w:color w:val="000000"/>
                </w:rPr>
                <w:t>(2)</w:t>
              </w:r>
            </w:hyperlink>
          </w:p>
        </w:tc>
        <w:tc>
          <w:tcPr>
            <w:tcW w:w="4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10.31</w:t>
            </w:r>
          </w:p>
        </w:tc>
        <w:tc>
          <w:tcPr>
            <w:tcW w:w="9760" w:type="dxa"/>
            <w:vAlign w:val="bottom"/>
            <w:gridSpan w:val="36"/>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Employment Agreement of Mr. Eric W. Thornburg dated September 26, 2017, together with Exhibit A (Form of Restricted Stock Unit</w:t>
              </w:r>
            </w:hyperlink>
          </w:p>
        </w:tc>
      </w:tr>
      <w:tr>
        <w:trPr>
          <w:trHeight w:val="156"/>
        </w:trPr>
        <w:tc>
          <w:tcPr>
            <w:tcW w:w="150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Issuance Agreement - Initial Time-Based Grant), Exhibit B (Form of Restricted Stock Issuance Agreement - Special Time-Based</w:t>
              </w:r>
            </w:hyperlink>
          </w:p>
        </w:tc>
        <w:tc>
          <w:tcPr>
            <w:tcW w:w="42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760" w:type="dxa"/>
            <w:vAlign w:val="bottom"/>
            <w:gridSpan w:val="36"/>
          </w:tcPr>
          <w:p>
            <w:pPr>
              <w:spacing w:after="0" w:line="156" w:lineRule="exact"/>
              <w:rPr>
                <w:rFonts w:ascii="Arial" w:cs="Arial" w:eastAsia="Arial" w:hAnsi="Arial"/>
                <w:sz w:val="18"/>
                <w:szCs w:val="18"/>
                <w:color w:val="0000FF"/>
                <w:w w:val="93"/>
              </w:rPr>
            </w:pPr>
            <w:hyperlink r:id="rId149">
              <w:r>
                <w:rPr>
                  <w:rFonts w:ascii="Arial" w:cs="Arial" w:eastAsia="Arial" w:hAnsi="Arial"/>
                  <w:sz w:val="18"/>
                  <w:szCs w:val="18"/>
                  <w:color w:val="0000FF"/>
                  <w:w w:val="93"/>
                </w:rPr>
                <w:t>Grant), and Exhibit C (Form of Confidential Settlement Agreement and Release). Incorporated by reference to Exhibit 10.3 to Form</w:t>
              </w:r>
            </w:hyperlink>
          </w:p>
        </w:tc>
      </w:tr>
      <w:tr>
        <w:trPr>
          <w:trHeight w:val="155"/>
        </w:trPr>
        <w:tc>
          <w:tcPr>
            <w:tcW w:w="150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10-Q for the quarter ended September 30, 2017</w:t>
              </w:r>
              <w:r>
                <w:rPr>
                  <w:rFonts w:ascii="Arial" w:cs="Arial" w:eastAsia="Arial" w:hAnsi="Arial"/>
                  <w:sz w:val="18"/>
                  <w:szCs w:val="18"/>
                  <w:color w:val="000000"/>
                </w:rPr>
                <w:t>. (2)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10.32</w:t>
            </w:r>
          </w:p>
        </w:tc>
        <w:tc>
          <w:tcPr>
            <w:tcW w:w="9760" w:type="dxa"/>
            <w:vAlign w:val="bottom"/>
            <w:gridSpan w:val="36"/>
          </w:tcPr>
          <w:p>
            <w:pPr>
              <w:spacing w:after="0"/>
              <w:rPr>
                <w:rFonts w:ascii="Arial" w:cs="Arial" w:eastAsia="Arial" w:hAnsi="Arial"/>
                <w:sz w:val="18"/>
                <w:szCs w:val="18"/>
                <w:color w:val="0000FF"/>
                <w:w w:val="97"/>
              </w:rPr>
            </w:pPr>
            <w:hyperlink r:id="rId150">
              <w:r>
                <w:rPr>
                  <w:rFonts w:ascii="Arial" w:cs="Arial" w:eastAsia="Arial" w:hAnsi="Arial"/>
                  <w:sz w:val="18"/>
                  <w:szCs w:val="18"/>
                  <w:color w:val="0000FF"/>
                  <w:w w:val="97"/>
                </w:rPr>
                <w:t>First Amendment dated December 31, 2019, to the Employment Agreement of Eric W. Thornburg dated September 26, 2017.</w:t>
              </w:r>
            </w:hyperlink>
          </w:p>
        </w:tc>
      </w:tr>
      <w:tr>
        <w:trPr>
          <w:trHeight w:val="155"/>
        </w:trPr>
        <w:tc>
          <w:tcPr>
            <w:tcW w:w="1500" w:type="dxa"/>
            <w:vAlign w:val="bottom"/>
          </w:tcPr>
          <w:p>
            <w:pPr>
              <w:spacing w:after="0"/>
              <w:rPr>
                <w:sz w:val="13"/>
                <w:szCs w:val="13"/>
                <w:color w:val="auto"/>
              </w:rPr>
            </w:pPr>
          </w:p>
        </w:tc>
        <w:tc>
          <w:tcPr>
            <w:tcW w:w="90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Incorporated by reference to Exhibit 10.1 to the Form 8-K filed on January 7, 2020</w:t>
              </w:r>
              <w:r>
                <w:rPr>
                  <w:rFonts w:ascii="Arial" w:cs="Arial" w:eastAsia="Arial" w:hAnsi="Arial"/>
                  <w:sz w:val="18"/>
                  <w:szCs w:val="18"/>
                  <w:color w:val="000000"/>
                </w:rPr>
                <w:t>. (2)</w:t>
              </w:r>
            </w:hyperlink>
          </w:p>
        </w:tc>
        <w:tc>
          <w:tcPr>
            <w:tcW w:w="5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10.33</w:t>
            </w:r>
          </w:p>
        </w:tc>
        <w:tc>
          <w:tcPr>
            <w:tcW w:w="9760" w:type="dxa"/>
            <w:vAlign w:val="bottom"/>
            <w:gridSpan w:val="36"/>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Offer Letter to Mr. James P. Lynch dated September 22, 2010 and accepted September 27, 2010. Incorporated by reference to Exhibit</w:t>
              </w:r>
            </w:hyperlink>
          </w:p>
        </w:tc>
      </w:tr>
      <w:tr>
        <w:trPr>
          <w:trHeight w:val="155"/>
        </w:trPr>
        <w:tc>
          <w:tcPr>
            <w:tcW w:w="150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filed on October 1, 2010</w:t>
              </w:r>
              <w:r>
                <w:rPr>
                  <w:rFonts w:ascii="Arial" w:cs="Arial" w:eastAsia="Arial" w:hAnsi="Arial"/>
                  <w:sz w:val="18"/>
                  <w:szCs w:val="18"/>
                  <w:color w:val="000000"/>
                </w:rPr>
                <w:t>. (2)</w:t>
              </w:r>
            </w:hyperlink>
          </w:p>
        </w:tc>
        <w:tc>
          <w:tcPr>
            <w:tcW w:w="12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48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10.34</w:t>
            </w:r>
          </w:p>
        </w:tc>
        <w:tc>
          <w:tcPr>
            <w:tcW w:w="9760" w:type="dxa"/>
            <w:vAlign w:val="bottom"/>
            <w:gridSpan w:val="36"/>
          </w:tcPr>
          <w:p>
            <w:pPr>
              <w:spacing w:after="0"/>
              <w:rPr>
                <w:rFonts w:ascii="Arial" w:cs="Arial" w:eastAsia="Arial" w:hAnsi="Arial"/>
                <w:sz w:val="18"/>
                <w:szCs w:val="18"/>
                <w:color w:val="0000FF"/>
                <w:w w:val="93"/>
              </w:rPr>
            </w:pPr>
            <w:hyperlink r:id="rId152">
              <w:r>
                <w:rPr>
                  <w:rFonts w:ascii="Arial" w:cs="Arial" w:eastAsia="Arial" w:hAnsi="Arial"/>
                  <w:sz w:val="18"/>
                  <w:szCs w:val="18"/>
                  <w:color w:val="0000FF"/>
                  <w:w w:val="93"/>
                </w:rPr>
                <w:t>Standard Form of SJW Group Stock Option Agreement. Incorporated by reference to Exhibit 10.31 to Form 10-K for the year ended</w:t>
              </w:r>
            </w:hyperlink>
          </w:p>
        </w:tc>
      </w:tr>
      <w:tr>
        <w:trPr>
          <w:trHeight w:val="155"/>
        </w:trPr>
        <w:tc>
          <w:tcPr>
            <w:tcW w:w="150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December 31, 2016</w:t>
              </w:r>
              <w:r>
                <w:rPr>
                  <w:rFonts w:ascii="Arial" w:cs="Arial" w:eastAsia="Arial" w:hAnsi="Arial"/>
                  <w:sz w:val="18"/>
                  <w:szCs w:val="18"/>
                  <w:color w:val="000000"/>
                </w:rPr>
                <w:t>. (2)</w:t>
              </w:r>
            </w:hyperlink>
          </w:p>
        </w:tc>
        <w:tc>
          <w:tcPr>
            <w:tcW w:w="180" w:type="dxa"/>
            <w:vAlign w:val="bottom"/>
            <w:gridSpan w:val="9"/>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4480" w:type="dxa"/>
            <w:vAlign w:val="bottom"/>
            <w:gridSpan w:val="18"/>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10.35</w:t>
            </w:r>
          </w:p>
        </w:tc>
        <w:tc>
          <w:tcPr>
            <w:tcW w:w="9760" w:type="dxa"/>
            <w:vAlign w:val="bottom"/>
            <w:gridSpan w:val="36"/>
          </w:tcPr>
          <w:p>
            <w:pPr>
              <w:spacing w:after="0"/>
              <w:rPr>
                <w:rFonts w:ascii="Arial" w:cs="Arial" w:eastAsia="Arial" w:hAnsi="Arial"/>
                <w:sz w:val="18"/>
                <w:szCs w:val="18"/>
                <w:color w:val="0000FF"/>
                <w:w w:val="92"/>
              </w:rPr>
            </w:pPr>
            <w:hyperlink r:id="rId153">
              <w:r>
                <w:rPr>
                  <w:rFonts w:ascii="Arial" w:cs="Arial" w:eastAsia="Arial" w:hAnsi="Arial"/>
                  <w:sz w:val="18"/>
                  <w:szCs w:val="18"/>
                  <w:color w:val="0000FF"/>
                  <w:w w:val="92"/>
                </w:rPr>
                <w:t>SJW Group Amended and Restated Executive Officer Short-Term Incentive Plan dated October 28, 2020. Incorporated by reference</w:t>
              </w:r>
            </w:hyperlink>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3">
              <w:r>
                <w:rPr>
                  <w:rFonts w:ascii="Arial" w:cs="Arial" w:eastAsia="Arial" w:hAnsi="Arial"/>
                  <w:sz w:val="18"/>
                  <w:szCs w:val="18"/>
                  <w:color w:val="0000FF"/>
                </w:rPr>
                <w:t>as Exhibit 10.2 to Form 10-Q for the quarter ended September 30, 2020</w:t>
              </w:r>
              <w:r>
                <w:rPr>
                  <w:rFonts w:ascii="Arial" w:cs="Arial" w:eastAsia="Arial" w:hAnsi="Arial"/>
                  <w:sz w:val="18"/>
                  <w:szCs w:val="18"/>
                  <w:color w:val="000000"/>
                </w:rPr>
                <w:t>. (2)</w:t>
              </w:r>
            </w:hyperlink>
          </w:p>
        </w:tc>
        <w:tc>
          <w:tcPr>
            <w:tcW w:w="200" w:type="dxa"/>
            <w:vAlign w:val="bottom"/>
            <w:gridSpan w:val="10"/>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40" w:right="3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10.36</w:t>
            </w:r>
          </w:p>
        </w:tc>
        <w:tc>
          <w:tcPr>
            <w:tcW w:w="9720" w:type="dxa"/>
            <w:vAlign w:val="bottom"/>
            <w:gridSpan w:val="34"/>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First Amendment to the Executive Officer Short-Term Incentive Plan dated January 28, 2021. Incorporated by reference to Exhibit</w:t>
              </w:r>
            </w:hyperlink>
          </w:p>
        </w:tc>
      </w:tr>
      <w:tr>
        <w:trPr>
          <w:trHeight w:val="169"/>
        </w:trPr>
        <w:tc>
          <w:tcPr>
            <w:tcW w:w="1500" w:type="dxa"/>
            <w:vAlign w:val="bottom"/>
          </w:tcPr>
          <w:p>
            <w:pPr>
              <w:spacing w:after="0"/>
              <w:rPr>
                <w:sz w:val="14"/>
                <w:szCs w:val="14"/>
                <w:color w:val="auto"/>
              </w:rPr>
            </w:pPr>
          </w:p>
        </w:tc>
        <w:tc>
          <w:tcPr>
            <w:tcW w:w="940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39</w:t>
              </w:r>
              <w:r>
                <w:rPr>
                  <w:rFonts w:ascii="Arial" w:cs="Arial" w:eastAsia="Arial" w:hAnsi="Arial"/>
                  <w:sz w:val="18"/>
                  <w:szCs w:val="18"/>
                  <w:color w:val="0000FF"/>
                </w:rPr>
                <w:t xml:space="preserve"> to Form 10-K for the year ended December 31, 2020</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10.37</w:t>
            </w:r>
          </w:p>
        </w:tc>
        <w:tc>
          <w:tcPr>
            <w:tcW w:w="9720" w:type="dxa"/>
            <w:vAlign w:val="bottom"/>
            <w:gridSpan w:val="34"/>
          </w:tcPr>
          <w:p>
            <w:pPr>
              <w:spacing w:after="0"/>
              <w:rPr>
                <w:rFonts w:ascii="Arial" w:cs="Arial" w:eastAsia="Arial" w:hAnsi="Arial"/>
                <w:sz w:val="18"/>
                <w:szCs w:val="18"/>
                <w:color w:val="0000FF"/>
                <w:w w:val="91"/>
              </w:rPr>
            </w:pPr>
            <w:hyperlink r:id="rId156">
              <w:r>
                <w:rPr>
                  <w:rFonts w:ascii="Arial" w:cs="Arial" w:eastAsia="Arial" w:hAnsi="Arial"/>
                  <w:sz w:val="18"/>
                  <w:szCs w:val="18"/>
                  <w:color w:val="0000FF"/>
                  <w:w w:val="91"/>
                </w:rPr>
                <w:t>SJW Corp. Executive Severance Plan, as amended and restated, effective January 1, 2010 and amended effective October 26, 2010.</w:t>
              </w:r>
            </w:hyperlink>
          </w:p>
        </w:tc>
      </w:tr>
      <w:tr>
        <w:trPr>
          <w:trHeight w:val="156"/>
        </w:trPr>
        <w:tc>
          <w:tcPr>
            <w:tcW w:w="1500" w:type="dxa"/>
            <w:vAlign w:val="bottom"/>
          </w:tcPr>
          <w:p>
            <w:pPr>
              <w:spacing w:after="0"/>
              <w:rPr>
                <w:sz w:val="13"/>
                <w:szCs w:val="13"/>
                <w:color w:val="auto"/>
              </w:rPr>
            </w:pPr>
          </w:p>
        </w:tc>
        <w:tc>
          <w:tcPr>
            <w:tcW w:w="94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Incorporated by reference as Exhibit 10.23 to Form 10-K for the year ended December 31, 2010</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10.38</w:t>
            </w:r>
          </w:p>
        </w:tc>
        <w:tc>
          <w:tcPr>
            <w:tcW w:w="9720" w:type="dxa"/>
            <w:vAlign w:val="bottom"/>
            <w:gridSpan w:val="34"/>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First Amendment to the Executive Severance Plan dated November 15, 2016. Incorporated by reference as Exhibit 10.35 to Form 10-</w:t>
              </w:r>
            </w:hyperlink>
          </w:p>
        </w:tc>
      </w:tr>
      <w:tr>
        <w:trPr>
          <w:trHeight w:val="156"/>
        </w:trPr>
        <w:tc>
          <w:tcPr>
            <w:tcW w:w="1500" w:type="dxa"/>
            <w:vAlign w:val="bottom"/>
          </w:tcPr>
          <w:p>
            <w:pPr>
              <w:spacing w:after="0"/>
              <w:rPr>
                <w:sz w:val="13"/>
                <w:szCs w:val="13"/>
                <w:color w:val="auto"/>
              </w:rPr>
            </w:pPr>
          </w:p>
        </w:tc>
        <w:tc>
          <w:tcPr>
            <w:tcW w:w="96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K for the year ended December 31, 2016</w:t>
              </w:r>
              <w:r>
                <w:rPr>
                  <w:rFonts w:ascii="Arial" w:cs="Arial" w:eastAsia="Arial" w:hAnsi="Arial"/>
                  <w:sz w:val="18"/>
                  <w:szCs w:val="18"/>
                  <w:color w:val="000000"/>
                </w:rPr>
                <w:t>. (2)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10.39</w:t>
            </w:r>
          </w:p>
        </w:tc>
        <w:tc>
          <w:tcPr>
            <w:tcW w:w="9720" w:type="dxa"/>
            <w:vAlign w:val="bottom"/>
            <w:gridSpan w:val="34"/>
          </w:tcPr>
          <w:p>
            <w:pPr>
              <w:spacing w:after="0"/>
              <w:rPr>
                <w:rFonts w:ascii="Arial" w:cs="Arial" w:eastAsia="Arial" w:hAnsi="Arial"/>
                <w:sz w:val="18"/>
                <w:szCs w:val="18"/>
                <w:color w:val="0000FF"/>
                <w:w w:val="90"/>
              </w:rPr>
            </w:pPr>
            <w:hyperlink r:id="rId158">
              <w:r>
                <w:rPr>
                  <w:rFonts w:ascii="Arial" w:cs="Arial" w:eastAsia="Arial" w:hAnsi="Arial"/>
                  <w:sz w:val="18"/>
                  <w:szCs w:val="18"/>
                  <w:color w:val="0000FF"/>
                  <w:w w:val="90"/>
                </w:rPr>
                <w:t>Second Amendment to the Executive Severance Plan dated July 26, 2017. Incorporated by reference as Exhibit 10.1 to Form 10-Q for</w:t>
              </w:r>
            </w:hyperlink>
          </w:p>
        </w:tc>
      </w:tr>
      <w:tr>
        <w:trPr>
          <w:trHeight w:val="156"/>
        </w:trPr>
        <w:tc>
          <w:tcPr>
            <w:tcW w:w="150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the quarter ended September 30, 2017</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10.40</w:t>
            </w:r>
          </w:p>
        </w:tc>
        <w:tc>
          <w:tcPr>
            <w:tcW w:w="9720" w:type="dxa"/>
            <w:vAlign w:val="bottom"/>
            <w:gridSpan w:val="34"/>
          </w:tcPr>
          <w:p>
            <w:pPr>
              <w:spacing w:after="0"/>
              <w:rPr>
                <w:rFonts w:ascii="Arial" w:cs="Arial" w:eastAsia="Arial" w:hAnsi="Arial"/>
                <w:sz w:val="18"/>
                <w:szCs w:val="18"/>
                <w:color w:val="0000FF"/>
                <w:w w:val="93"/>
              </w:rPr>
            </w:pPr>
            <w:hyperlink r:id="rId159">
              <w:r>
                <w:rPr>
                  <w:rFonts w:ascii="Arial" w:cs="Arial" w:eastAsia="Arial" w:hAnsi="Arial"/>
                  <w:sz w:val="18"/>
                  <w:szCs w:val="18"/>
                  <w:color w:val="0000FF"/>
                  <w:w w:val="93"/>
                </w:rPr>
                <w:t>Third Amendment to the Executive Severance Plan effective November 6, 2017. Incorporated by reference as Exhibit 10.2 to Form</w:t>
              </w:r>
            </w:hyperlink>
          </w:p>
        </w:tc>
      </w:tr>
      <w:tr>
        <w:trPr>
          <w:trHeight w:val="156"/>
        </w:trPr>
        <w:tc>
          <w:tcPr>
            <w:tcW w:w="1500" w:type="dxa"/>
            <w:vAlign w:val="bottom"/>
          </w:tcPr>
          <w:p>
            <w:pPr>
              <w:spacing w:after="0"/>
              <w:rPr>
                <w:sz w:val="13"/>
                <w:szCs w:val="13"/>
                <w:color w:val="auto"/>
              </w:rPr>
            </w:pPr>
          </w:p>
        </w:tc>
        <w:tc>
          <w:tcPr>
            <w:tcW w:w="94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10-Q for the quarter ended September 30, 2017</w:t>
              </w:r>
              <w:r>
                <w:rPr>
                  <w:rFonts w:ascii="Arial" w:cs="Arial" w:eastAsia="Arial" w:hAnsi="Arial"/>
                  <w:sz w:val="18"/>
                  <w:szCs w:val="18"/>
                  <w:color w:val="000000"/>
                </w:rPr>
                <w:t>. (2)</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10.41</w:t>
            </w:r>
          </w:p>
        </w:tc>
        <w:tc>
          <w:tcPr>
            <w:tcW w:w="9720" w:type="dxa"/>
            <w:vAlign w:val="bottom"/>
            <w:gridSpan w:val="34"/>
          </w:tcPr>
          <w:p>
            <w:pPr>
              <w:spacing w:after="0"/>
              <w:rPr>
                <w:rFonts w:ascii="Arial" w:cs="Arial" w:eastAsia="Arial" w:hAnsi="Arial"/>
                <w:sz w:val="18"/>
                <w:szCs w:val="18"/>
                <w:color w:val="0000FF"/>
                <w:w w:val="91"/>
              </w:rPr>
            </w:pPr>
            <w:hyperlink r:id="rId160">
              <w:r>
                <w:rPr>
                  <w:rFonts w:ascii="Arial" w:cs="Arial" w:eastAsia="Arial" w:hAnsi="Arial"/>
                  <w:sz w:val="18"/>
                  <w:szCs w:val="18"/>
                  <w:color w:val="0000FF"/>
                  <w:w w:val="91"/>
                </w:rPr>
                <w:t>Fourth Amendment to the Executive Severance Plan effective October 9, 2019. Incorporated by reference as Exhibit 10.3 to Form 8-K</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filed on 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10.42</w:t>
            </w:r>
          </w:p>
        </w:tc>
        <w:tc>
          <w:tcPr>
            <w:tcW w:w="9720" w:type="dxa"/>
            <w:vAlign w:val="bottom"/>
            <w:gridSpan w:val="34"/>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Fifth Amendment to the Executive Severance Plan effective December 18, 2020. Incorporated by reference as Exhibit 10.1 to Form 8-</w:t>
              </w:r>
            </w:hyperlink>
          </w:p>
        </w:tc>
      </w:tr>
      <w:tr>
        <w:trPr>
          <w:trHeight w:val="169"/>
        </w:trPr>
        <w:tc>
          <w:tcPr>
            <w:tcW w:w="1500" w:type="dxa"/>
            <w:vAlign w:val="bottom"/>
          </w:tcPr>
          <w:p>
            <w:pPr>
              <w:spacing w:after="0"/>
              <w:rPr>
                <w:sz w:val="14"/>
                <w:szCs w:val="14"/>
                <w:color w:val="auto"/>
              </w:rPr>
            </w:pPr>
          </w:p>
        </w:tc>
        <w:tc>
          <w:tcPr>
            <w:tcW w:w="966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61">
              <w:r>
                <w:rPr>
                  <w:rFonts w:ascii="Arial" w:cs="Arial" w:eastAsia="Arial" w:hAnsi="Arial"/>
                  <w:sz w:val="18"/>
                  <w:szCs w:val="18"/>
                  <w:color w:val="0000FF"/>
                </w:rPr>
                <w:t>K filed on December 22, 2020</w:t>
              </w:r>
              <w:r>
                <w:rPr>
                  <w:rFonts w:ascii="Arial" w:cs="Arial" w:eastAsia="Arial" w:hAnsi="Arial"/>
                  <w:sz w:val="18"/>
                  <w:szCs w:val="18"/>
                  <w:color w:val="000000"/>
                </w:rPr>
                <w:t>. (2)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10.43</w:t>
            </w:r>
          </w:p>
        </w:tc>
        <w:tc>
          <w:tcPr>
            <w:tcW w:w="9720" w:type="dxa"/>
            <w:vAlign w:val="bottom"/>
            <w:gridSpan w:val="34"/>
          </w:tcPr>
          <w:p>
            <w:pPr>
              <w:spacing w:after="0"/>
              <w:rPr>
                <w:rFonts w:ascii="Arial" w:cs="Arial" w:eastAsia="Arial" w:hAnsi="Arial"/>
                <w:sz w:val="18"/>
                <w:szCs w:val="18"/>
                <w:color w:val="0000FF"/>
                <w:w w:val="95"/>
              </w:rPr>
            </w:pPr>
            <w:hyperlink r:id="rId162">
              <w:r>
                <w:rPr>
                  <w:rFonts w:ascii="Arial" w:cs="Arial" w:eastAsia="Arial" w:hAnsi="Arial"/>
                  <w:sz w:val="18"/>
                  <w:szCs w:val="18"/>
                  <w:color w:val="0000FF"/>
                  <w:w w:val="95"/>
                </w:rPr>
                <w:t>San Jose Water Company Special Deferral Election Plan, as amended and restated, effective January 1, 2013. Incorporated by</w:t>
              </w:r>
            </w:hyperlink>
          </w:p>
        </w:tc>
      </w:tr>
      <w:tr>
        <w:trPr>
          <w:trHeight w:val="156"/>
        </w:trPr>
        <w:tc>
          <w:tcPr>
            <w:tcW w:w="1500" w:type="dxa"/>
            <w:vAlign w:val="bottom"/>
          </w:tcPr>
          <w:p>
            <w:pPr>
              <w:spacing w:after="0"/>
              <w:rPr>
                <w:sz w:val="13"/>
                <w:szCs w:val="13"/>
                <w:color w:val="auto"/>
              </w:rPr>
            </w:pPr>
          </w:p>
        </w:tc>
        <w:tc>
          <w:tcPr>
            <w:tcW w:w="9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reference as Exhibit 10.36 to Form 10-K for the year ended December 31, 2012</w:t>
              </w:r>
              <w:r>
                <w:rPr>
                  <w:rFonts w:ascii="Arial" w:cs="Arial" w:eastAsia="Arial" w:hAnsi="Arial"/>
                  <w:sz w:val="18"/>
                  <w:szCs w:val="18"/>
                  <w:color w:val="000000"/>
                </w:rPr>
                <w:t>. (2)</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10.44</w:t>
            </w:r>
          </w:p>
        </w:tc>
        <w:tc>
          <w:tcPr>
            <w:tcW w:w="9720" w:type="dxa"/>
            <w:vAlign w:val="bottom"/>
            <w:gridSpan w:val="34"/>
          </w:tcPr>
          <w:p>
            <w:pPr>
              <w:spacing w:after="0"/>
              <w:rPr>
                <w:rFonts w:ascii="Arial" w:cs="Arial" w:eastAsia="Arial" w:hAnsi="Arial"/>
                <w:sz w:val="18"/>
                <w:szCs w:val="18"/>
                <w:color w:val="0000FF"/>
                <w:w w:val="93"/>
              </w:rPr>
            </w:pPr>
            <w:hyperlink r:id="rId163">
              <w:r>
                <w:rPr>
                  <w:rFonts w:ascii="Arial" w:cs="Arial" w:eastAsia="Arial" w:hAnsi="Arial"/>
                  <w:sz w:val="18"/>
                  <w:szCs w:val="18"/>
                  <w:color w:val="0000FF"/>
                  <w:w w:val="93"/>
                </w:rPr>
                <w:t>First Amendment to the Special Deferral Election Plan effective November 15, 2016. Incorporated by reference as Exhibit 10.37 to</w:t>
              </w:r>
            </w:hyperlink>
          </w:p>
        </w:tc>
      </w:tr>
      <w:tr>
        <w:trPr>
          <w:trHeight w:val="155"/>
        </w:trPr>
        <w:tc>
          <w:tcPr>
            <w:tcW w:w="150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Form 10-K for the year ended December 31, 2016</w:t>
              </w:r>
              <w:r>
                <w:rPr>
                  <w:rFonts w:ascii="Arial" w:cs="Arial" w:eastAsia="Arial" w:hAnsi="Arial"/>
                  <w:sz w:val="18"/>
                  <w:szCs w:val="18"/>
                  <w:color w:val="000000"/>
                </w:rPr>
                <w:t>. (2)</w:t>
              </w:r>
            </w:hyperlink>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10.45</w:t>
            </w:r>
          </w:p>
        </w:tc>
        <w:tc>
          <w:tcPr>
            <w:tcW w:w="9720" w:type="dxa"/>
            <w:vAlign w:val="bottom"/>
            <w:gridSpan w:val="34"/>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SJW Corp. Amended and Restated Deferred Restricted Stock Program, effective January 1, 2008. Incorporated by reference as Exhibit</w:t>
              </w:r>
            </w:hyperlink>
          </w:p>
        </w:tc>
      </w:tr>
      <w:tr>
        <w:trPr>
          <w:trHeight w:val="156"/>
        </w:trPr>
        <w:tc>
          <w:tcPr>
            <w:tcW w:w="1500" w:type="dxa"/>
            <w:vAlign w:val="bottom"/>
          </w:tcPr>
          <w:p>
            <w:pPr>
              <w:spacing w:after="0"/>
              <w:rPr>
                <w:sz w:val="13"/>
                <w:szCs w:val="13"/>
                <w:color w:val="auto"/>
              </w:rPr>
            </w:pPr>
          </w:p>
        </w:tc>
        <w:tc>
          <w:tcPr>
            <w:tcW w:w="97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10-Q for the quarter ended March 31, 2008</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10.46</w:t>
            </w:r>
          </w:p>
        </w:tc>
        <w:tc>
          <w:tcPr>
            <w:tcW w:w="9720" w:type="dxa"/>
            <w:vAlign w:val="bottom"/>
            <w:gridSpan w:val="34"/>
          </w:tcPr>
          <w:p>
            <w:pPr>
              <w:spacing w:after="0"/>
              <w:rPr>
                <w:rFonts w:ascii="Arial" w:cs="Arial" w:eastAsia="Arial" w:hAnsi="Arial"/>
                <w:sz w:val="18"/>
                <w:szCs w:val="18"/>
                <w:color w:val="0000FF"/>
                <w:w w:val="95"/>
              </w:rPr>
            </w:pPr>
            <w:hyperlink r:id="rId165">
              <w:r>
                <w:rPr>
                  <w:rFonts w:ascii="Arial" w:cs="Arial" w:eastAsia="Arial" w:hAnsi="Arial"/>
                  <w:sz w:val="18"/>
                  <w:szCs w:val="18"/>
                  <w:color w:val="0000FF"/>
                  <w:w w:val="95"/>
                </w:rPr>
                <w:t>First Amendment to the Amended and Restated Deferred Restricted Stock Program dated November 15, 2016. Incorporated by</w:t>
              </w:r>
            </w:hyperlink>
          </w:p>
        </w:tc>
      </w:tr>
      <w:tr>
        <w:trPr>
          <w:trHeight w:val="156"/>
        </w:trPr>
        <w:tc>
          <w:tcPr>
            <w:tcW w:w="150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reference as Exhibit 10.39 to Form 10-K for the year ended December 31, 2016</w:t>
              </w:r>
              <w:r>
                <w:rPr>
                  <w:rFonts w:ascii="Arial" w:cs="Arial" w:eastAsia="Arial" w:hAnsi="Arial"/>
                  <w:sz w:val="18"/>
                  <w:szCs w:val="18"/>
                  <w:color w:val="000000"/>
                </w:rPr>
                <w:t>. (2)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10.47</w:t>
            </w:r>
          </w:p>
        </w:tc>
        <w:tc>
          <w:tcPr>
            <w:tcW w:w="9720" w:type="dxa"/>
            <w:vAlign w:val="bottom"/>
            <w:gridSpan w:val="34"/>
          </w:tcPr>
          <w:p>
            <w:pPr>
              <w:spacing w:after="0"/>
              <w:rPr>
                <w:rFonts w:ascii="Arial" w:cs="Arial" w:eastAsia="Arial" w:hAnsi="Arial"/>
                <w:sz w:val="18"/>
                <w:szCs w:val="18"/>
                <w:color w:val="0000FF"/>
                <w:w w:val="95"/>
              </w:rPr>
            </w:pPr>
            <w:hyperlink r:id="rId166">
              <w:r>
                <w:rPr>
                  <w:rFonts w:ascii="Arial" w:cs="Arial" w:eastAsia="Arial" w:hAnsi="Arial"/>
                  <w:sz w:val="18"/>
                  <w:szCs w:val="18"/>
                  <w:color w:val="0000FF"/>
                  <w:w w:val="95"/>
                </w:rPr>
                <w:t>SJW Corp. Deferral Election Program for Non-Employee Board Members, as amended and restated effective October 30, 2013.</w:t>
              </w:r>
            </w:hyperlink>
          </w:p>
        </w:tc>
      </w:tr>
      <w:tr>
        <w:trPr>
          <w:trHeight w:val="155"/>
        </w:trPr>
        <w:tc>
          <w:tcPr>
            <w:tcW w:w="150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Incorporated by reference as Exhibit 10.32 to Form 10-K for the year ended December 31, 2013</w:t>
              </w:r>
              <w:r>
                <w:rPr>
                  <w:rFonts w:ascii="Arial" w:cs="Arial" w:eastAsia="Arial" w:hAnsi="Arial"/>
                  <w:sz w:val="18"/>
                  <w:szCs w:val="18"/>
                  <w:color w:val="000000"/>
                </w:rPr>
                <w:t>. (2)</w:t>
              </w:r>
            </w:hyperlink>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10.48</w:t>
            </w:r>
          </w:p>
        </w:tc>
        <w:tc>
          <w:tcPr>
            <w:tcW w:w="9720" w:type="dxa"/>
            <w:vAlign w:val="bottom"/>
            <w:gridSpan w:val="34"/>
          </w:tcPr>
          <w:p>
            <w:pPr>
              <w:spacing w:after="0"/>
              <w:rPr>
                <w:rFonts w:ascii="Arial" w:cs="Arial" w:eastAsia="Arial" w:hAnsi="Arial"/>
                <w:sz w:val="18"/>
                <w:szCs w:val="18"/>
                <w:color w:val="0000FF"/>
                <w:w w:val="94"/>
              </w:rPr>
            </w:pPr>
            <w:hyperlink r:id="rId167">
              <w:r>
                <w:rPr>
                  <w:rFonts w:ascii="Arial" w:cs="Arial" w:eastAsia="Arial" w:hAnsi="Arial"/>
                  <w:sz w:val="18"/>
                  <w:szCs w:val="18"/>
                  <w:color w:val="0000FF"/>
                  <w:w w:val="94"/>
                </w:rPr>
                <w:t>First Amendment to the Deferral Election Program for Non-Employee Board Members dated November 15, 2016. Incorporated by</w:t>
              </w:r>
            </w:hyperlink>
          </w:p>
        </w:tc>
      </w:tr>
      <w:tr>
        <w:trPr>
          <w:trHeight w:val="155"/>
        </w:trPr>
        <w:tc>
          <w:tcPr>
            <w:tcW w:w="150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reference as Exhibit 10.41 to Form 10-K for the year ended December 31, 2016</w:t>
              </w:r>
              <w:r>
                <w:rPr>
                  <w:rFonts w:ascii="Arial" w:cs="Arial" w:eastAsia="Arial" w:hAnsi="Arial"/>
                  <w:sz w:val="18"/>
                  <w:szCs w:val="18"/>
                  <w:color w:val="000000"/>
                </w:rPr>
                <w:t>. (2)</w:t>
              </w:r>
            </w:hyperlink>
          </w:p>
        </w:tc>
        <w:tc>
          <w:tcPr>
            <w:tcW w:w="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10.49</w:t>
            </w:r>
          </w:p>
        </w:tc>
        <w:tc>
          <w:tcPr>
            <w:tcW w:w="9720" w:type="dxa"/>
            <w:vAlign w:val="bottom"/>
            <w:gridSpan w:val="34"/>
          </w:tcPr>
          <w:p>
            <w:pPr>
              <w:spacing w:after="0"/>
              <w:rPr>
                <w:rFonts w:ascii="Arial" w:cs="Arial" w:eastAsia="Arial" w:hAnsi="Arial"/>
                <w:sz w:val="18"/>
                <w:szCs w:val="18"/>
                <w:color w:val="0000FF"/>
                <w:w w:val="96"/>
              </w:rPr>
            </w:pPr>
            <w:hyperlink r:id="rId168">
              <w:r>
                <w:rPr>
                  <w:rFonts w:ascii="Arial" w:cs="Arial" w:eastAsia="Arial" w:hAnsi="Arial"/>
                  <w:sz w:val="18"/>
                  <w:szCs w:val="18"/>
                  <w:color w:val="0000FF"/>
                  <w:w w:val="96"/>
                </w:rPr>
                <w:t>Form of SJW Group Restricted Stock Unit Award Agreement for Non-Employee Board Members. Incorporated by reference as</w:t>
              </w:r>
            </w:hyperlink>
          </w:p>
        </w:tc>
      </w:tr>
      <w:tr>
        <w:trPr>
          <w:trHeight w:val="155"/>
        </w:trPr>
        <w:tc>
          <w:tcPr>
            <w:tcW w:w="1500" w:type="dxa"/>
            <w:vAlign w:val="bottom"/>
          </w:tcPr>
          <w:p>
            <w:pPr>
              <w:spacing w:after="0"/>
              <w:rPr>
                <w:sz w:val="13"/>
                <w:szCs w:val="13"/>
                <w:color w:val="auto"/>
              </w:rPr>
            </w:pPr>
          </w:p>
        </w:tc>
        <w:tc>
          <w:tcPr>
            <w:tcW w:w="91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Exhibit 10.1 to Form 10-Q for the quarter ended June 30, 2017</w:t>
              </w:r>
              <w:r>
                <w:rPr>
                  <w:rFonts w:ascii="Arial" w:cs="Arial" w:eastAsia="Arial" w:hAnsi="Arial"/>
                  <w:sz w:val="18"/>
                  <w:szCs w:val="18"/>
                  <w:color w:val="000000"/>
                </w:rPr>
                <w:t>. (2)</w:t>
              </w:r>
            </w:hyperlink>
          </w:p>
        </w:tc>
        <w:tc>
          <w:tcPr>
            <w:tcW w:w="18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10.50</w:t>
            </w:r>
          </w:p>
        </w:tc>
        <w:tc>
          <w:tcPr>
            <w:tcW w:w="9720" w:type="dxa"/>
            <w:vAlign w:val="bottom"/>
            <w:gridSpan w:val="34"/>
          </w:tcPr>
          <w:p>
            <w:pPr>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Formulaic Equity Award Program for Non-Employee Board Members. Incorporated by reference as Exhibit 10.34 to Form 10-K for</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the year ended December 31, 2013</w:t>
              </w:r>
              <w:r>
                <w:rPr>
                  <w:rFonts w:ascii="Arial" w:cs="Arial" w:eastAsia="Arial" w:hAnsi="Arial"/>
                  <w:sz w:val="18"/>
                  <w:szCs w:val="18"/>
                  <w:color w:val="000000"/>
                </w:rPr>
                <w:t>. (2)</w:t>
              </w:r>
            </w:hyperlink>
          </w:p>
        </w:tc>
        <w:tc>
          <w:tcPr>
            <w:tcW w:w="6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10.51</w:t>
            </w:r>
          </w:p>
        </w:tc>
        <w:tc>
          <w:tcPr>
            <w:tcW w:w="9720" w:type="dxa"/>
            <w:vAlign w:val="bottom"/>
            <w:gridSpan w:val="34"/>
          </w:tcPr>
          <w:p>
            <w:pPr>
              <w:spacing w:after="0"/>
              <w:rPr>
                <w:rFonts w:ascii="Arial" w:cs="Arial" w:eastAsia="Arial" w:hAnsi="Arial"/>
                <w:sz w:val="18"/>
                <w:szCs w:val="18"/>
                <w:color w:val="0000FF"/>
                <w:w w:val="98"/>
              </w:rPr>
            </w:pPr>
            <w:hyperlink r:id="rId170">
              <w:r>
                <w:rPr>
                  <w:rFonts w:ascii="Arial" w:cs="Arial" w:eastAsia="Arial" w:hAnsi="Arial"/>
                  <w:sz w:val="18"/>
                  <w:szCs w:val="18"/>
                  <w:color w:val="0000FF"/>
                  <w:w w:val="98"/>
                </w:rPr>
                <w:t>Second Amendment to the Formulaic Equity Award Program for Non-Employee Board Members dated November 15, 2016.</w:t>
              </w:r>
            </w:hyperlink>
          </w:p>
        </w:tc>
      </w:tr>
      <w:tr>
        <w:trPr>
          <w:trHeight w:val="155"/>
        </w:trPr>
        <w:tc>
          <w:tcPr>
            <w:tcW w:w="1500" w:type="dxa"/>
            <w:vAlign w:val="bottom"/>
          </w:tcPr>
          <w:p>
            <w:pPr>
              <w:spacing w:after="0"/>
              <w:rPr>
                <w:sz w:val="13"/>
                <w:szCs w:val="13"/>
                <w:color w:val="auto"/>
              </w:rPr>
            </w:pPr>
          </w:p>
        </w:tc>
        <w:tc>
          <w:tcPr>
            <w:tcW w:w="89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Incorporated by reference as Exhibit 10.45 to Form 10-K for the year ended December 31, 2016</w:t>
              </w:r>
              <w:r>
                <w:rPr>
                  <w:rFonts w:ascii="Arial" w:cs="Arial" w:eastAsia="Arial" w:hAnsi="Arial"/>
                  <w:sz w:val="18"/>
                  <w:szCs w:val="18"/>
                  <w:color w:val="000000"/>
                </w:rPr>
                <w:t>. (2)</w:t>
              </w:r>
            </w:hyperlink>
          </w:p>
        </w:tc>
        <w:tc>
          <w:tcPr>
            <w:tcW w:w="400" w:type="dxa"/>
            <w:vAlign w:val="bottom"/>
            <w:gridSpan w:val="5"/>
          </w:tcPr>
          <w:p>
            <w:pPr>
              <w:spacing w:after="0"/>
              <w:rPr>
                <w:sz w:val="13"/>
                <w:szCs w:val="13"/>
                <w:color w:val="auto"/>
              </w:rPr>
            </w:pPr>
          </w:p>
        </w:tc>
        <w:tc>
          <w:tcPr>
            <w:tcW w:w="200" w:type="dxa"/>
            <w:vAlign w:val="bottom"/>
            <w:gridSpan w:val="7"/>
          </w:tcPr>
          <w:p>
            <w:pPr>
              <w:spacing w:after="0"/>
              <w:rPr>
                <w:sz w:val="13"/>
                <w:szCs w:val="13"/>
                <w:color w:val="auto"/>
              </w:rPr>
            </w:pPr>
          </w:p>
        </w:tc>
        <w:tc>
          <w:tcPr>
            <w:tcW w:w="16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720" w:type="dxa"/>
            <w:vAlign w:val="bottom"/>
            <w:gridSpan w:val="11"/>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10.52</w:t>
            </w:r>
          </w:p>
        </w:tc>
        <w:tc>
          <w:tcPr>
            <w:tcW w:w="9720" w:type="dxa"/>
            <w:vAlign w:val="bottom"/>
            <w:gridSpan w:val="34"/>
          </w:tcPr>
          <w:p>
            <w:pPr>
              <w:spacing w:after="0"/>
              <w:rPr>
                <w:rFonts w:ascii="Arial" w:cs="Arial" w:eastAsia="Arial" w:hAnsi="Arial"/>
                <w:sz w:val="18"/>
                <w:szCs w:val="18"/>
                <w:color w:val="0000FF"/>
                <w:w w:val="92"/>
              </w:rPr>
            </w:pPr>
            <w:hyperlink r:id="rId171">
              <w:r>
                <w:rPr>
                  <w:rFonts w:ascii="Arial" w:cs="Arial" w:eastAsia="Arial" w:hAnsi="Arial"/>
                  <w:sz w:val="18"/>
                  <w:szCs w:val="18"/>
                  <w:color w:val="0000FF"/>
                  <w:w w:val="92"/>
                </w:rPr>
                <w:t>Third Amendment to the Formulaic Equity Award Program for Non-employee Board members dated October 24, 2018. Incorporated</w:t>
              </w:r>
            </w:hyperlink>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by reference as Exhibit 10.48 to Form 10-K for the year ended December 31, 2018</w:t>
              </w:r>
              <w:r>
                <w:rPr>
                  <w:rFonts w:ascii="Arial" w:cs="Arial" w:eastAsia="Arial" w:hAnsi="Arial"/>
                  <w:sz w:val="18"/>
                  <w:szCs w:val="18"/>
                  <w:color w:val="000000"/>
                </w:rPr>
                <w:t>. (2)</w:t>
              </w:r>
            </w:hyperlink>
          </w:p>
        </w:tc>
        <w:tc>
          <w:tcPr>
            <w:tcW w:w="160" w:type="dxa"/>
            <w:vAlign w:val="bottom"/>
            <w:gridSpan w:val="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720" w:type="dxa"/>
            <w:vAlign w:val="bottom"/>
            <w:gridSpan w:val="11"/>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10.53</w:t>
            </w:r>
          </w:p>
        </w:tc>
        <w:tc>
          <w:tcPr>
            <w:tcW w:w="9720" w:type="dxa"/>
            <w:vAlign w:val="bottom"/>
            <w:gridSpan w:val="34"/>
          </w:tcPr>
          <w:p>
            <w:pPr>
              <w:spacing w:after="0"/>
              <w:rPr>
                <w:rFonts w:ascii="Arial" w:cs="Arial" w:eastAsia="Arial" w:hAnsi="Arial"/>
                <w:sz w:val="18"/>
                <w:szCs w:val="18"/>
                <w:color w:val="0000FF"/>
              </w:rPr>
            </w:pPr>
            <w:hyperlink r:id="rId172">
              <w:r>
                <w:rPr>
                  <w:rFonts w:ascii="Arial" w:cs="Arial" w:eastAsia="Arial" w:hAnsi="Arial"/>
                  <w:sz w:val="18"/>
                  <w:szCs w:val="18"/>
                  <w:color w:val="0000FF"/>
                </w:rPr>
                <w:t>Fourth Amendment to the Formulaic Equity Award Program for Non-Employee Board Members dated September 8, 2021.</w:t>
              </w:r>
            </w:hyperlink>
          </w:p>
        </w:tc>
      </w:tr>
      <w:tr>
        <w:trPr>
          <w:trHeight w:val="169"/>
        </w:trPr>
        <w:tc>
          <w:tcPr>
            <w:tcW w:w="1500" w:type="dxa"/>
            <w:vAlign w:val="bottom"/>
          </w:tcPr>
          <w:p>
            <w:pPr>
              <w:spacing w:after="0"/>
              <w:rPr>
                <w:sz w:val="14"/>
                <w:szCs w:val="14"/>
                <w:color w:val="auto"/>
              </w:rPr>
            </w:pPr>
          </w:p>
        </w:tc>
        <w:tc>
          <w:tcPr>
            <w:tcW w:w="88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72">
              <w:r>
                <w:rPr>
                  <w:rFonts w:ascii="Arial" w:cs="Arial" w:eastAsia="Arial" w:hAnsi="Arial"/>
                  <w:sz w:val="18"/>
                  <w:szCs w:val="18"/>
                  <w:color w:val="0000FF"/>
                </w:rPr>
                <w:t>Incorporated by reference to Exhibit 10.1 to Form 8-K filed on September 14, 2021</w:t>
              </w:r>
              <w:r>
                <w:rPr>
                  <w:rFonts w:ascii="Arial" w:cs="Arial" w:eastAsia="Arial" w:hAnsi="Arial"/>
                  <w:sz w:val="18"/>
                  <w:szCs w:val="18"/>
                  <w:color w:val="000000"/>
                </w:rPr>
                <w:t>. (2)</w:t>
              </w:r>
            </w:hyperlink>
          </w:p>
        </w:tc>
        <w:tc>
          <w:tcPr>
            <w:tcW w:w="520" w:type="dxa"/>
            <w:vAlign w:val="bottom"/>
            <w:gridSpan w:val="6"/>
          </w:tcPr>
          <w:p>
            <w:pPr>
              <w:spacing w:after="0"/>
              <w:rPr>
                <w:sz w:val="14"/>
                <w:szCs w:val="14"/>
                <w:color w:val="auto"/>
              </w:rPr>
            </w:pPr>
          </w:p>
        </w:tc>
        <w:tc>
          <w:tcPr>
            <w:tcW w:w="360" w:type="dxa"/>
            <w:vAlign w:val="bottom"/>
            <w:gridSpan w:val="1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5720" w:type="dxa"/>
            <w:vAlign w:val="bottom"/>
            <w:gridSpan w:val="11"/>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10.54</w:t>
            </w:r>
          </w:p>
        </w:tc>
        <w:tc>
          <w:tcPr>
            <w:tcW w:w="9720" w:type="dxa"/>
            <w:vAlign w:val="bottom"/>
            <w:gridSpan w:val="34"/>
          </w:tcPr>
          <w:p>
            <w:pPr>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SJW Group Amended and Restated Director Compensation and Expense Reimbursement Policies effective as of October 9, 2019.</w:t>
              </w:r>
            </w:hyperlink>
          </w:p>
        </w:tc>
      </w:tr>
      <w:tr>
        <w:trPr>
          <w:trHeight w:val="156"/>
        </w:trPr>
        <w:tc>
          <w:tcPr>
            <w:tcW w:w="1500" w:type="dxa"/>
            <w:vAlign w:val="bottom"/>
          </w:tcPr>
          <w:p>
            <w:pPr>
              <w:spacing w:after="0"/>
              <w:rPr>
                <w:sz w:val="13"/>
                <w:szCs w:val="13"/>
                <w:color w:val="auto"/>
              </w:rPr>
            </w:pPr>
          </w:p>
        </w:tc>
        <w:tc>
          <w:tcPr>
            <w:tcW w:w="93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Incorporated by reference to Exhibit 10.2 to Form 8-K filed on October 9, 2019</w:t>
              </w:r>
              <w:r>
                <w:rPr>
                  <w:rFonts w:ascii="Arial" w:cs="Arial" w:eastAsia="Arial" w:hAnsi="Arial"/>
                  <w:sz w:val="18"/>
                  <w:szCs w:val="18"/>
                  <w:color w:val="000000"/>
                </w:rPr>
                <w:t>. (2)</w:t>
              </w:r>
            </w:hyperlink>
          </w:p>
        </w:tc>
        <w:tc>
          <w:tcPr>
            <w:tcW w:w="360" w:type="dxa"/>
            <w:vAlign w:val="bottom"/>
            <w:gridSpan w:val="13"/>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10.55</w:t>
            </w:r>
          </w:p>
        </w:tc>
        <w:tc>
          <w:tcPr>
            <w:tcW w:w="9740" w:type="dxa"/>
            <w:vAlign w:val="bottom"/>
            <w:gridSpan w:val="33"/>
          </w:tcPr>
          <w:p>
            <w:pPr>
              <w:spacing w:after="0"/>
              <w:rPr>
                <w:rFonts w:ascii="Arial" w:cs="Arial" w:eastAsia="Arial" w:hAnsi="Arial"/>
                <w:sz w:val="18"/>
                <w:szCs w:val="18"/>
                <w:color w:val="0000FF"/>
                <w:w w:val="94"/>
              </w:rPr>
            </w:pPr>
            <w:hyperlink r:id="rId175">
              <w:r>
                <w:rPr>
                  <w:rFonts w:ascii="Arial" w:cs="Arial" w:eastAsia="Arial" w:hAnsi="Arial"/>
                  <w:sz w:val="18"/>
                  <w:szCs w:val="18"/>
                  <w:color w:val="0000FF"/>
                  <w:w w:val="94"/>
                </w:rPr>
                <w:t>Deferred Restricted Stock Award Agreement, amended and restated, as of October 22, 2008 for Non-Employee Board Members.</w:t>
              </w:r>
            </w:hyperlink>
          </w:p>
        </w:tc>
      </w:tr>
      <w:tr>
        <w:trPr>
          <w:trHeight w:val="156"/>
        </w:trPr>
        <w:tc>
          <w:tcPr>
            <w:tcW w:w="1500" w:type="dxa"/>
            <w:vAlign w:val="bottom"/>
          </w:tcPr>
          <w:p>
            <w:pPr>
              <w:spacing w:after="0"/>
              <w:rPr>
                <w:sz w:val="13"/>
                <w:szCs w:val="13"/>
                <w:color w:val="auto"/>
              </w:rPr>
            </w:pPr>
          </w:p>
        </w:tc>
        <w:tc>
          <w:tcPr>
            <w:tcW w:w="92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Incorporated by reference as Exhibit 10.21 to Form 10-K for the year ended December 31, 2008</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10.56</w:t>
            </w:r>
          </w:p>
        </w:tc>
        <w:tc>
          <w:tcPr>
            <w:tcW w:w="9740" w:type="dxa"/>
            <w:vAlign w:val="bottom"/>
            <w:gridSpan w:val="33"/>
          </w:tcPr>
          <w:p>
            <w:pPr>
              <w:spacing w:after="0"/>
              <w:rPr>
                <w:rFonts w:ascii="Arial" w:cs="Arial" w:eastAsia="Arial" w:hAnsi="Arial"/>
                <w:sz w:val="18"/>
                <w:szCs w:val="18"/>
                <w:color w:val="0000FF"/>
                <w:w w:val="92"/>
              </w:rPr>
            </w:pPr>
            <w:hyperlink r:id="rId176">
              <w:r>
                <w:rPr>
                  <w:rFonts w:ascii="Arial" w:cs="Arial" w:eastAsia="Arial" w:hAnsi="Arial"/>
                  <w:sz w:val="18"/>
                  <w:szCs w:val="18"/>
                  <w:color w:val="0000FF"/>
                  <w:w w:val="92"/>
                </w:rPr>
                <w:t>Form of SJW Group Restricted Stock Unit Issuance Agreement (TSR Goals). Incorporated by reference to Exhibit 10.55 to Form 10-</w:t>
              </w:r>
            </w:hyperlink>
          </w:p>
        </w:tc>
      </w:tr>
      <w:tr>
        <w:trPr>
          <w:trHeight w:val="155"/>
        </w:trPr>
        <w:tc>
          <w:tcPr>
            <w:tcW w:w="150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 xml:space="preserve">K for the year ended December 31, 2017. </w:t>
              </w:r>
              <w:r>
                <w:rPr>
                  <w:rFonts w:ascii="Arial" w:cs="Arial" w:eastAsia="Arial" w:hAnsi="Arial"/>
                  <w:sz w:val="18"/>
                  <w:szCs w:val="18"/>
                  <w:color w:val="000000"/>
                </w:rPr>
                <w:t>(2)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10.57</w:t>
            </w:r>
          </w:p>
        </w:tc>
        <w:tc>
          <w:tcPr>
            <w:tcW w:w="9740" w:type="dxa"/>
            <w:vAlign w:val="bottom"/>
            <w:gridSpan w:val="33"/>
          </w:tcPr>
          <w:p>
            <w:pPr>
              <w:spacing w:after="0"/>
              <w:rPr>
                <w:rFonts w:ascii="Arial" w:cs="Arial" w:eastAsia="Arial" w:hAnsi="Arial"/>
                <w:sz w:val="18"/>
                <w:szCs w:val="18"/>
                <w:color w:val="0000FF"/>
                <w:w w:val="91"/>
              </w:rPr>
            </w:pPr>
            <w:hyperlink r:id="rId177">
              <w:r>
                <w:rPr>
                  <w:rFonts w:ascii="Arial" w:cs="Arial" w:eastAsia="Arial" w:hAnsi="Arial"/>
                  <w:sz w:val="18"/>
                  <w:szCs w:val="18"/>
                  <w:color w:val="0000FF"/>
                  <w:w w:val="91"/>
                </w:rPr>
                <w:t>Form of SJW Group Restricted Stock Unit Issuance Agreement. Incorporated by reference as Exhibit 10.52 to Form 10-K for the year</w:t>
              </w:r>
            </w:hyperlink>
          </w:p>
        </w:tc>
      </w:tr>
      <w:tr>
        <w:trPr>
          <w:trHeight w:val="156"/>
        </w:trPr>
        <w:tc>
          <w:tcPr>
            <w:tcW w:w="1500" w:type="dxa"/>
            <w:vAlign w:val="bottom"/>
          </w:tcPr>
          <w:p>
            <w:pPr>
              <w:spacing w:after="0"/>
              <w:rPr>
                <w:sz w:val="13"/>
                <w:szCs w:val="13"/>
                <w:color w:val="auto"/>
              </w:rPr>
            </w:pPr>
          </w:p>
        </w:tc>
        <w:tc>
          <w:tcPr>
            <w:tcW w:w="96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ended December 31,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10.58</w:t>
            </w:r>
          </w:p>
        </w:tc>
        <w:tc>
          <w:tcPr>
            <w:tcW w:w="9740" w:type="dxa"/>
            <w:vAlign w:val="bottom"/>
            <w:gridSpan w:val="33"/>
          </w:tcPr>
          <w:p>
            <w:pPr>
              <w:spacing w:after="0"/>
              <w:rPr>
                <w:rFonts w:ascii="Arial" w:cs="Arial" w:eastAsia="Arial" w:hAnsi="Arial"/>
                <w:sz w:val="18"/>
                <w:szCs w:val="18"/>
                <w:color w:val="0000FF"/>
                <w:w w:val="91"/>
              </w:rPr>
            </w:pPr>
            <w:hyperlink r:id="rId178">
              <w:r>
                <w:rPr>
                  <w:rFonts w:ascii="Arial" w:cs="Arial" w:eastAsia="Arial" w:hAnsi="Arial"/>
                  <w:sz w:val="18"/>
                  <w:szCs w:val="18"/>
                  <w:color w:val="0000FF"/>
                  <w:w w:val="91"/>
                </w:rPr>
                <w:t>Form of SJW Group Restricted Stock Unit Issuance Agreement (ROE Goal). Incorporated by reference as Exhibit 10.54 to Form 10-K</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for the year ended December 31,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10.59</w:t>
            </w:r>
          </w:p>
        </w:tc>
        <w:tc>
          <w:tcPr>
            <w:tcW w:w="9740" w:type="dxa"/>
            <w:vAlign w:val="bottom"/>
            <w:gridSpan w:val="33"/>
          </w:tcPr>
          <w:p>
            <w:pPr>
              <w:spacing w:after="0"/>
              <w:rPr>
                <w:rFonts w:ascii="Arial" w:cs="Arial" w:eastAsia="Arial" w:hAnsi="Arial"/>
                <w:sz w:val="18"/>
                <w:szCs w:val="18"/>
                <w:color w:val="0000FF"/>
                <w:w w:val="91"/>
              </w:rPr>
            </w:pPr>
            <w:hyperlink r:id="rId179">
              <w:r>
                <w:rPr>
                  <w:rFonts w:ascii="Arial" w:cs="Arial" w:eastAsia="Arial" w:hAnsi="Arial"/>
                  <w:sz w:val="18"/>
                  <w:szCs w:val="18"/>
                  <w:color w:val="0000FF"/>
                  <w:w w:val="91"/>
                </w:rPr>
                <w:t>Form of SJW Group Restricted Stock Unit Issuance Agreement (EPS Goal). Incorporated by reference as Exhibit 10.55 to Form 10-K</w:t>
              </w:r>
            </w:hyperlink>
          </w:p>
        </w:tc>
      </w:tr>
      <w:tr>
        <w:trPr>
          <w:trHeight w:val="156"/>
        </w:trPr>
        <w:tc>
          <w:tcPr>
            <w:tcW w:w="1500" w:type="dxa"/>
            <w:vAlign w:val="bottom"/>
          </w:tcPr>
          <w:p>
            <w:pPr>
              <w:spacing w:after="0"/>
              <w:rPr>
                <w:sz w:val="13"/>
                <w:szCs w:val="13"/>
                <w:color w:val="auto"/>
              </w:rPr>
            </w:pPr>
          </w:p>
        </w:tc>
        <w:tc>
          <w:tcPr>
            <w:tcW w:w="96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for the year ended December 31, 2016</w:t>
              </w:r>
              <w:r>
                <w:rPr>
                  <w:rFonts w:ascii="Arial" w:cs="Arial" w:eastAsia="Arial" w:hAnsi="Arial"/>
                  <w:sz w:val="18"/>
                  <w:szCs w:val="18"/>
                  <w:color w:val="000000"/>
                </w:rPr>
                <w:t>. (2)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10.60</w:t>
            </w:r>
          </w:p>
        </w:tc>
        <w:tc>
          <w:tcPr>
            <w:tcW w:w="9740" w:type="dxa"/>
            <w:vAlign w:val="bottom"/>
            <w:gridSpan w:val="33"/>
          </w:tcPr>
          <w:p>
            <w:pPr>
              <w:spacing w:after="0"/>
              <w:rPr>
                <w:rFonts w:ascii="Arial" w:cs="Arial" w:eastAsia="Arial" w:hAnsi="Arial"/>
                <w:sz w:val="18"/>
                <w:szCs w:val="18"/>
                <w:color w:val="0000FF"/>
                <w:w w:val="93"/>
              </w:rPr>
            </w:pPr>
            <w:hyperlink r:id="rId180">
              <w:r>
                <w:rPr>
                  <w:rFonts w:ascii="Arial" w:cs="Arial" w:eastAsia="Arial" w:hAnsi="Arial"/>
                  <w:sz w:val="18"/>
                  <w:szCs w:val="18"/>
                  <w:color w:val="0000FF"/>
                  <w:w w:val="93"/>
                </w:rPr>
                <w:t>Form of Director and Officer Indemnification Agreement between SJW Group and its officers and Board members. Incorporated by</w:t>
              </w:r>
            </w:hyperlink>
          </w:p>
        </w:tc>
      </w:tr>
      <w:tr>
        <w:trPr>
          <w:trHeight w:val="156"/>
        </w:trPr>
        <w:tc>
          <w:tcPr>
            <w:tcW w:w="1500" w:type="dxa"/>
            <w:vAlign w:val="bottom"/>
          </w:tcPr>
          <w:p>
            <w:pPr>
              <w:spacing w:after="0"/>
              <w:rPr>
                <w:sz w:val="13"/>
                <w:szCs w:val="13"/>
                <w:color w:val="auto"/>
              </w:rPr>
            </w:pPr>
          </w:p>
        </w:tc>
        <w:tc>
          <w:tcPr>
            <w:tcW w:w="95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reference to Exhibit 10.1 to Form 8-K filed on November 15, 2016</w:t>
              </w:r>
              <w:r>
                <w:rPr>
                  <w:rFonts w:ascii="Arial" w:cs="Arial" w:eastAsia="Arial" w:hAnsi="Arial"/>
                  <w:sz w:val="18"/>
                  <w:szCs w:val="18"/>
                  <w:color w:val="000000"/>
                </w:rPr>
                <w:t>. (2)</w:t>
              </w:r>
            </w:hyperlink>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10.61</w:t>
            </w:r>
          </w:p>
        </w:tc>
        <w:tc>
          <w:tcPr>
            <w:tcW w:w="9740" w:type="dxa"/>
            <w:vAlign w:val="bottom"/>
            <w:gridSpan w:val="33"/>
          </w:tcPr>
          <w:p>
            <w:pPr>
              <w:spacing w:after="0"/>
              <w:rPr>
                <w:sz w:val="20"/>
                <w:szCs w:val="20"/>
                <w:color w:val="auto"/>
              </w:rPr>
            </w:pPr>
            <w:r>
              <w:rPr>
                <w:rFonts w:ascii="Arial" w:cs="Arial" w:eastAsia="Arial" w:hAnsi="Arial"/>
                <w:sz w:val="18"/>
                <w:szCs w:val="18"/>
                <w:color w:val="auto"/>
                <w:w w:val="97"/>
              </w:rPr>
              <w:t>Trust Agreement for The Connecticut Water Company Welfare Benefits Plan (VEBA) dated January 1, 1989. Incorporated by</w:t>
            </w:r>
          </w:p>
        </w:tc>
      </w:tr>
      <w:tr>
        <w:trPr>
          <w:trHeight w:val="230"/>
        </w:trPr>
        <w:tc>
          <w:tcPr>
            <w:tcW w:w="1500" w:type="dxa"/>
            <w:vAlign w:val="bottom"/>
          </w:tcPr>
          <w:p>
            <w:pPr>
              <w:spacing w:after="0"/>
              <w:rPr>
                <w:sz w:val="20"/>
                <w:szCs w:val="20"/>
                <w:color w:val="auto"/>
              </w:rPr>
            </w:pPr>
          </w:p>
        </w:tc>
        <w:tc>
          <w:tcPr>
            <w:tcW w:w="9740" w:type="dxa"/>
            <w:vAlign w:val="bottom"/>
            <w:gridSpan w:val="33"/>
          </w:tcPr>
          <w:p>
            <w:pPr>
              <w:spacing w:after="0"/>
              <w:rPr>
                <w:sz w:val="20"/>
                <w:szCs w:val="20"/>
                <w:color w:val="auto"/>
              </w:rPr>
            </w:pPr>
            <w:r>
              <w:rPr>
                <w:rFonts w:ascii="Arial" w:cs="Arial" w:eastAsia="Arial" w:hAnsi="Arial"/>
                <w:sz w:val="18"/>
                <w:szCs w:val="18"/>
                <w:color w:val="auto"/>
              </w:rPr>
              <w:t>reference to Exhibit 10.21 to Connecticut Water Service, Inc.’s Form 10-K for the year ended December 31, 1989. (2)</w:t>
            </w:r>
          </w:p>
        </w:tc>
      </w:tr>
      <w:tr>
        <w:trPr>
          <w:trHeight w:val="33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10.62</w:t>
            </w:r>
          </w:p>
        </w:tc>
        <w:tc>
          <w:tcPr>
            <w:tcW w:w="9740" w:type="dxa"/>
            <w:vAlign w:val="bottom"/>
            <w:gridSpan w:val="33"/>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Connecticut Water Service, Inc. 1994 Performance Stock Program. Incorporated by reference as Exhibit 99.3 to Form S-8 filed on</w:t>
              </w:r>
            </w:hyperlink>
          </w:p>
        </w:tc>
      </w:tr>
      <w:tr>
        <w:trPr>
          <w:trHeight w:val="156"/>
        </w:trPr>
        <w:tc>
          <w:tcPr>
            <w:tcW w:w="1500" w:type="dxa"/>
            <w:vAlign w:val="bottom"/>
          </w:tcPr>
          <w:p>
            <w:pPr>
              <w:spacing w:after="0"/>
              <w:rPr>
                <w:sz w:val="13"/>
                <w:szCs w:val="13"/>
                <w:color w:val="auto"/>
              </w:rPr>
            </w:pPr>
          </w:p>
        </w:tc>
        <w:tc>
          <w:tcPr>
            <w:tcW w:w="93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10.63</w:t>
            </w:r>
          </w:p>
        </w:tc>
        <w:tc>
          <w:tcPr>
            <w:tcW w:w="9740" w:type="dxa"/>
            <w:vAlign w:val="bottom"/>
            <w:gridSpan w:val="33"/>
          </w:tcPr>
          <w:p>
            <w:pPr>
              <w:spacing w:after="0"/>
              <w:rPr>
                <w:rFonts w:ascii="Arial" w:cs="Arial" w:eastAsia="Arial" w:hAnsi="Arial"/>
                <w:sz w:val="18"/>
                <w:szCs w:val="18"/>
                <w:color w:val="0000FF"/>
                <w:w w:val="91"/>
              </w:rPr>
            </w:pPr>
            <w:hyperlink r:id="rId182">
              <w:r>
                <w:rPr>
                  <w:rFonts w:ascii="Arial" w:cs="Arial" w:eastAsia="Arial" w:hAnsi="Arial"/>
                  <w:sz w:val="18"/>
                  <w:szCs w:val="18"/>
                  <w:color w:val="0000FF"/>
                  <w:w w:val="91"/>
                </w:rPr>
                <w:t>Connecticut Water Service, Inc. 2004 Performance Stock Program, effective as of April 23, 2004. Incorporated by reference as Exhibit</w:t>
              </w:r>
            </w:hyperlink>
          </w:p>
        </w:tc>
      </w:tr>
      <w:tr>
        <w:trPr>
          <w:trHeight w:val="155"/>
        </w:trPr>
        <w:tc>
          <w:tcPr>
            <w:tcW w:w="1500" w:type="dxa"/>
            <w:vAlign w:val="bottom"/>
          </w:tcPr>
          <w:p>
            <w:pPr>
              <w:spacing w:after="0"/>
              <w:rPr>
                <w:sz w:val="13"/>
                <w:szCs w:val="13"/>
                <w:color w:val="auto"/>
              </w:rPr>
            </w:pPr>
          </w:p>
        </w:tc>
        <w:tc>
          <w:tcPr>
            <w:tcW w:w="97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99.</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Form S-8 filed on 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10.64</w:t>
            </w:r>
          </w:p>
        </w:tc>
        <w:tc>
          <w:tcPr>
            <w:tcW w:w="9740" w:type="dxa"/>
            <w:vAlign w:val="bottom"/>
            <w:gridSpan w:val="33"/>
          </w:tcPr>
          <w:p>
            <w:pPr>
              <w:spacing w:after="0"/>
              <w:rPr>
                <w:rFonts w:ascii="Arial" w:cs="Arial" w:eastAsia="Arial" w:hAnsi="Arial"/>
                <w:sz w:val="18"/>
                <w:szCs w:val="18"/>
                <w:color w:val="0000FF"/>
                <w:w w:val="92"/>
              </w:rPr>
            </w:pPr>
            <w:hyperlink r:id="rId183">
              <w:r>
                <w:rPr>
                  <w:rFonts w:ascii="Arial" w:cs="Arial" w:eastAsia="Arial" w:hAnsi="Arial"/>
                  <w:sz w:val="18"/>
                  <w:szCs w:val="18"/>
                  <w:color w:val="0000FF"/>
                  <w:w w:val="92"/>
                </w:rPr>
                <w:t>First Amendment to The Connecticut Water Service, Inc. 2004 Performance Stock Program, dated January 7, 2004. Incorporated by</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reference to Exhibit 10.23f to Connecticut Water Service, Inc.’s Form 10-K for the year ended December 31, 2005</w:t>
              </w:r>
              <w:r>
                <w:rPr>
                  <w:rFonts w:ascii="Arial" w:cs="Arial" w:eastAsia="Arial" w:hAnsi="Arial"/>
                  <w:sz w:val="18"/>
                  <w:szCs w:val="18"/>
                  <w:color w:val="000000"/>
                </w:rPr>
                <w:t>. (2)</w:t>
              </w:r>
            </w:hyperlink>
          </w:p>
        </w:tc>
        <w:tc>
          <w:tcPr>
            <w:tcW w:w="2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10.65</w:t>
            </w:r>
          </w:p>
        </w:tc>
        <w:tc>
          <w:tcPr>
            <w:tcW w:w="9740" w:type="dxa"/>
            <w:vAlign w:val="bottom"/>
            <w:gridSpan w:val="33"/>
          </w:tcPr>
          <w:p>
            <w:pPr>
              <w:spacing w:after="0"/>
              <w:rPr>
                <w:rFonts w:ascii="Arial" w:cs="Arial" w:eastAsia="Arial" w:hAnsi="Arial"/>
                <w:sz w:val="18"/>
                <w:szCs w:val="18"/>
                <w:color w:val="0000FF"/>
                <w:w w:val="90"/>
              </w:rPr>
            </w:pPr>
            <w:hyperlink r:id="rId184">
              <w:r>
                <w:rPr>
                  <w:rFonts w:ascii="Arial" w:cs="Arial" w:eastAsia="Arial" w:hAnsi="Arial"/>
                  <w:sz w:val="18"/>
                  <w:szCs w:val="18"/>
                  <w:color w:val="0000FF"/>
                  <w:w w:val="90"/>
                </w:rPr>
                <w:t>Second Amendment to The Connecticut Water Service, Inc. 2004 Performance Stock Program, dated January 1, 2008. Incorporated by</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reference to Exhibit 10.6 to Connecticut Water Service, Inc.’s Form 8-K filed on January 31, 2008</w:t>
              </w:r>
              <w:r>
                <w:rPr>
                  <w:rFonts w:ascii="Arial" w:cs="Arial" w:eastAsia="Arial" w:hAnsi="Arial"/>
                  <w:sz w:val="18"/>
                  <w:szCs w:val="18"/>
                  <w:color w:val="000000"/>
                </w:rPr>
                <w:t>. (2)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10.66</w:t>
            </w:r>
          </w:p>
        </w:tc>
        <w:tc>
          <w:tcPr>
            <w:tcW w:w="9740" w:type="dxa"/>
            <w:vAlign w:val="bottom"/>
            <w:gridSpan w:val="33"/>
          </w:tcPr>
          <w:p>
            <w:pPr>
              <w:spacing w:after="0"/>
              <w:rPr>
                <w:rFonts w:ascii="Arial" w:cs="Arial" w:eastAsia="Arial" w:hAnsi="Arial"/>
                <w:sz w:val="18"/>
                <w:szCs w:val="18"/>
                <w:color w:val="0000FF"/>
                <w:w w:val="94"/>
              </w:rPr>
            </w:pPr>
            <w:hyperlink r:id="rId185">
              <w:r>
                <w:rPr>
                  <w:rFonts w:ascii="Arial" w:cs="Arial" w:eastAsia="Arial" w:hAnsi="Arial"/>
                  <w:sz w:val="18"/>
                  <w:szCs w:val="18"/>
                  <w:color w:val="0000FF"/>
                  <w:w w:val="94"/>
                </w:rPr>
                <w:t>Connecticut Water Service, Inc. 2014 Performance Stock Program. Incorporated by reference as Exhibit 99.1 to Form S-8 filed on</w:t>
              </w:r>
            </w:hyperlink>
          </w:p>
        </w:tc>
      </w:tr>
      <w:tr>
        <w:trPr>
          <w:trHeight w:val="155"/>
        </w:trPr>
        <w:tc>
          <w:tcPr>
            <w:tcW w:w="1500" w:type="dxa"/>
            <w:vAlign w:val="bottom"/>
          </w:tcPr>
          <w:p>
            <w:pPr>
              <w:spacing w:after="0"/>
              <w:rPr>
                <w:sz w:val="13"/>
                <w:szCs w:val="13"/>
                <w:color w:val="auto"/>
              </w:rPr>
            </w:pPr>
          </w:p>
        </w:tc>
        <w:tc>
          <w:tcPr>
            <w:tcW w:w="93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October 9,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10.67</w:t>
            </w:r>
          </w:p>
        </w:tc>
        <w:tc>
          <w:tcPr>
            <w:tcW w:w="9740" w:type="dxa"/>
            <w:vAlign w:val="bottom"/>
            <w:gridSpan w:val="33"/>
          </w:tcPr>
          <w:p>
            <w:pPr>
              <w:spacing w:after="0"/>
              <w:rPr>
                <w:rFonts w:ascii="Arial" w:cs="Arial" w:eastAsia="Arial" w:hAnsi="Arial"/>
                <w:sz w:val="18"/>
                <w:szCs w:val="18"/>
                <w:color w:val="0000FF"/>
                <w:w w:val="90"/>
              </w:rPr>
            </w:pPr>
            <w:hyperlink r:id="rId186">
              <w:r>
                <w:rPr>
                  <w:rFonts w:ascii="Arial" w:cs="Arial" w:eastAsia="Arial" w:hAnsi="Arial"/>
                  <w:sz w:val="18"/>
                  <w:szCs w:val="18"/>
                  <w:color w:val="0000FF"/>
                  <w:w w:val="90"/>
                </w:rPr>
                <w:t>First Amendment effective October 9, 2019 to The Connecticut Water Service, Inc. 2014 Performance Stock Program. Incorporated by</w:t>
              </w:r>
            </w:hyperlink>
          </w:p>
        </w:tc>
      </w:tr>
      <w:tr>
        <w:trPr>
          <w:trHeight w:val="156"/>
        </w:trPr>
        <w:tc>
          <w:tcPr>
            <w:tcW w:w="1500" w:type="dxa"/>
            <w:vAlign w:val="bottom"/>
          </w:tcPr>
          <w:p>
            <w:pPr>
              <w:spacing w:after="0"/>
              <w:rPr>
                <w:sz w:val="13"/>
                <w:szCs w:val="13"/>
                <w:color w:val="auto"/>
              </w:rPr>
            </w:pPr>
          </w:p>
        </w:tc>
        <w:tc>
          <w:tcPr>
            <w:tcW w:w="97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reference to Exhibit 10.69 to Form 10-K for the year ended December 31, 2019</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320" w:type="dxa"/>
            <w:vAlign w:val="bottom"/>
            <w:gridSpan w:val="6"/>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10.68</w:t>
            </w:r>
          </w:p>
        </w:tc>
        <w:tc>
          <w:tcPr>
            <w:tcW w:w="9740" w:type="dxa"/>
            <w:vAlign w:val="bottom"/>
            <w:gridSpan w:val="33"/>
          </w:tcPr>
          <w:p>
            <w:pPr>
              <w:spacing w:after="0"/>
              <w:rPr>
                <w:rFonts w:ascii="Arial" w:cs="Arial" w:eastAsia="Arial" w:hAnsi="Arial"/>
                <w:sz w:val="18"/>
                <w:szCs w:val="18"/>
                <w:color w:val="0000FF"/>
                <w:w w:val="94"/>
              </w:rPr>
            </w:pPr>
            <w:hyperlink r:id="rId187">
              <w:r>
                <w:rPr>
                  <w:rFonts w:ascii="Arial" w:cs="Arial" w:eastAsia="Arial" w:hAnsi="Arial"/>
                  <w:sz w:val="18"/>
                  <w:szCs w:val="18"/>
                  <w:color w:val="0000FF"/>
                  <w:w w:val="94"/>
                </w:rPr>
                <w:t>Form of Performance Unit Award Agreement (short-term vesting form) under Connecticut Water Service, Inc.’s 2014 Performance</w:t>
              </w:r>
            </w:hyperlink>
          </w:p>
        </w:tc>
      </w:tr>
      <w:tr>
        <w:trPr>
          <w:trHeight w:val="155"/>
        </w:trPr>
        <w:tc>
          <w:tcPr>
            <w:tcW w:w="1500" w:type="dxa"/>
            <w:vAlign w:val="bottom"/>
          </w:tcPr>
          <w:p>
            <w:pPr>
              <w:spacing w:after="0"/>
              <w:rPr>
                <w:sz w:val="13"/>
                <w:szCs w:val="13"/>
                <w:color w:val="auto"/>
              </w:rPr>
            </w:pPr>
          </w:p>
        </w:tc>
        <w:tc>
          <w:tcPr>
            <w:tcW w:w="944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187">
              <w:r>
                <w:rPr>
                  <w:rFonts w:ascii="Arial" w:cs="Arial" w:eastAsia="Arial" w:hAnsi="Arial"/>
                  <w:sz w:val="18"/>
                  <w:szCs w:val="18"/>
                  <w:color w:val="0000FF"/>
                  <w:w w:val="95"/>
                </w:rPr>
                <w:t>Stock Program. Incorporated by reference to Exhibit 10.9 to Connecticut Water Service, Inc.’s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89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December 31, 2016</w:t>
              </w:r>
              <w:r>
                <w:rPr>
                  <w:rFonts w:ascii="Arial" w:cs="Arial" w:eastAsia="Arial" w:hAnsi="Arial"/>
                  <w:sz w:val="18"/>
                  <w:szCs w:val="18"/>
                  <w:color w:val="000000"/>
                </w:rPr>
                <w:t>. (2)</w:t>
              </w:r>
            </w:hyperlink>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66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10.69</w:t>
            </w:r>
          </w:p>
        </w:tc>
        <w:tc>
          <w:tcPr>
            <w:tcW w:w="9740" w:type="dxa"/>
            <w:vAlign w:val="bottom"/>
            <w:gridSpan w:val="33"/>
          </w:tcPr>
          <w:p>
            <w:pPr>
              <w:spacing w:after="0"/>
              <w:rPr>
                <w:rFonts w:ascii="Arial" w:cs="Arial" w:eastAsia="Arial" w:hAnsi="Arial"/>
                <w:sz w:val="18"/>
                <w:szCs w:val="18"/>
                <w:color w:val="0000FF"/>
                <w:w w:val="94"/>
              </w:rPr>
            </w:pPr>
            <w:hyperlink r:id="rId188">
              <w:r>
                <w:rPr>
                  <w:rFonts w:ascii="Arial" w:cs="Arial" w:eastAsia="Arial" w:hAnsi="Arial"/>
                  <w:sz w:val="18"/>
                  <w:szCs w:val="18"/>
                  <w:color w:val="0000FF"/>
                  <w:w w:val="94"/>
                </w:rPr>
                <w:t>Form of Performance Unit Award Agreement (long-term vesting form) under Connecticut Water Service, Inc.’s 2014 Performance</w:t>
              </w:r>
            </w:hyperlink>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188">
              <w:r>
                <w:rPr>
                  <w:rFonts w:ascii="Arial" w:cs="Arial" w:eastAsia="Arial" w:hAnsi="Arial"/>
                  <w:sz w:val="18"/>
                  <w:szCs w:val="18"/>
                  <w:color w:val="0000FF"/>
                  <w:w w:val="94"/>
                </w:rPr>
                <w:t>Stock Program. Incorporated by reference to Exhibit 10.10 to Connecticut Water Service, Inc.’s Form 10-K for the year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0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December 31, 2016</w:t>
              </w:r>
              <w:r>
                <w:rPr>
                  <w:rFonts w:ascii="Arial" w:cs="Arial" w:eastAsia="Arial" w:hAnsi="Arial"/>
                  <w:sz w:val="18"/>
                  <w:szCs w:val="18"/>
                  <w:color w:val="000000"/>
                </w:rPr>
                <w:t>. (2)</w:t>
              </w:r>
            </w:hyperlink>
          </w:p>
        </w:tc>
        <w:tc>
          <w:tcPr>
            <w:tcW w:w="1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82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10.70</w:t>
            </w:r>
          </w:p>
        </w:tc>
        <w:tc>
          <w:tcPr>
            <w:tcW w:w="9740" w:type="dxa"/>
            <w:vAlign w:val="bottom"/>
            <w:gridSpan w:val="33"/>
          </w:tcPr>
          <w:p>
            <w:pPr>
              <w:spacing w:after="0"/>
              <w:rPr>
                <w:rFonts w:ascii="Arial" w:cs="Arial" w:eastAsia="Arial" w:hAnsi="Arial"/>
                <w:sz w:val="18"/>
                <w:szCs w:val="18"/>
                <w:color w:val="0000FF"/>
                <w:w w:val="93"/>
              </w:rPr>
            </w:pPr>
            <w:hyperlink r:id="rId189">
              <w:r>
                <w:rPr>
                  <w:rFonts w:ascii="Arial" w:cs="Arial" w:eastAsia="Arial" w:hAnsi="Arial"/>
                  <w:sz w:val="18"/>
                  <w:szCs w:val="18"/>
                  <w:color w:val="0000FF"/>
                  <w:w w:val="93"/>
                </w:rPr>
                <w:t>Form of Assumption Agreement for Incentive Awards under the Connecticut Water Service, Inc. 1994 Performance Stock Program,</w:t>
              </w:r>
            </w:hyperlink>
          </w:p>
        </w:tc>
      </w:tr>
      <w:tr>
        <w:trPr>
          <w:trHeight w:val="169"/>
        </w:trPr>
        <w:tc>
          <w:tcPr>
            <w:tcW w:w="1500" w:type="dxa"/>
            <w:vAlign w:val="bottom"/>
          </w:tcPr>
          <w:p>
            <w:pPr>
              <w:spacing w:after="0"/>
              <w:rPr>
                <w:sz w:val="14"/>
                <w:szCs w:val="14"/>
                <w:color w:val="auto"/>
              </w:rPr>
            </w:pPr>
          </w:p>
        </w:tc>
        <w:tc>
          <w:tcPr>
            <w:tcW w:w="9480" w:type="dxa"/>
            <w:vAlign w:val="bottom"/>
            <w:tcBorders>
              <w:top w:val="single" w:sz="8" w:color="0000FF"/>
            </w:tcBorders>
            <w:gridSpan w:val="24"/>
          </w:tcPr>
          <w:p>
            <w:pPr>
              <w:spacing w:after="0" w:line="169" w:lineRule="exact"/>
              <w:rPr>
                <w:rFonts w:ascii="Arial" w:cs="Arial" w:eastAsia="Arial" w:hAnsi="Arial"/>
                <w:sz w:val="18"/>
                <w:szCs w:val="18"/>
                <w:color w:val="0000FF"/>
                <w:w w:val="90"/>
              </w:rPr>
            </w:pPr>
            <w:hyperlink r:id="rId189">
              <w:r>
                <w:rPr>
                  <w:rFonts w:ascii="Arial" w:cs="Arial" w:eastAsia="Arial" w:hAnsi="Arial"/>
                  <w:sz w:val="18"/>
                  <w:szCs w:val="18"/>
                  <w:color w:val="0000FF"/>
                  <w:w w:val="90"/>
                </w:rPr>
                <w:t>2004 Performance Stock Program, and 2014 Performance Stock Program. Incorporated by reference to Exhibit 10.73 to Form 10-K</w:t>
              </w:r>
            </w:hyperlink>
          </w:p>
        </w:tc>
        <w:tc>
          <w:tcPr>
            <w:tcW w:w="260" w:type="dxa"/>
            <w:vAlign w:val="bottom"/>
            <w:gridSpan w:val="9"/>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946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89">
              <w:r>
                <w:rPr>
                  <w:rFonts w:ascii="Arial" w:cs="Arial" w:eastAsia="Arial" w:hAnsi="Arial"/>
                  <w:sz w:val="18"/>
                  <w:szCs w:val="18"/>
                  <w:color w:val="0000FF"/>
                </w:rPr>
                <w:t>for the year ended December 31, 2019</w:t>
              </w:r>
              <w:r>
                <w:rPr>
                  <w:rFonts w:ascii="Arial" w:cs="Arial" w:eastAsia="Arial" w:hAnsi="Arial"/>
                  <w:sz w:val="18"/>
                  <w:szCs w:val="18"/>
                  <w:color w:val="000000"/>
                </w:rPr>
                <w:t>. (2)</w:t>
              </w:r>
            </w:hyperlink>
          </w:p>
        </w:tc>
        <w:tc>
          <w:tcPr>
            <w:tcW w:w="280" w:type="dxa"/>
            <w:vAlign w:val="bottom"/>
            <w:gridSpan w:val="10"/>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10.71</w:t>
            </w:r>
          </w:p>
        </w:tc>
        <w:tc>
          <w:tcPr>
            <w:tcW w:w="9220" w:type="dxa"/>
            <w:vAlign w:val="bottom"/>
            <w:tcBorders>
              <w:bottom w:val="single" w:sz="8" w:color="0000FF"/>
            </w:tcBorders>
            <w:gridSpan w:val="15"/>
          </w:tcPr>
          <w:p>
            <w:pPr>
              <w:spacing w:after="0"/>
              <w:rPr>
                <w:rFonts w:ascii="Arial" w:cs="Arial" w:eastAsia="Arial" w:hAnsi="Arial"/>
                <w:sz w:val="18"/>
                <w:szCs w:val="18"/>
                <w:color w:val="0000FF"/>
                <w:w w:val="89"/>
              </w:rPr>
            </w:pPr>
            <w:hyperlink r:id="rId190">
              <w:r>
                <w:rPr>
                  <w:rFonts w:ascii="Arial" w:cs="Arial" w:eastAsia="Arial" w:hAnsi="Arial"/>
                  <w:sz w:val="18"/>
                  <w:szCs w:val="18"/>
                  <w:color w:val="0000FF"/>
                  <w:w w:val="89"/>
                </w:rPr>
                <w:t>Amended and Restated Supplemental Executive Retirement Agreement dated January 24, 2008 between The Connecticut Water</w:t>
              </w:r>
            </w:hyperlink>
          </w:p>
        </w:tc>
        <w:tc>
          <w:tcPr>
            <w:tcW w:w="520" w:type="dxa"/>
            <w:vAlign w:val="bottom"/>
            <w:gridSpan w:val="18"/>
          </w:tcPr>
          <w:p>
            <w:pPr>
              <w:spacing w:after="0"/>
              <w:rPr>
                <w:sz w:val="24"/>
                <w:szCs w:val="24"/>
                <w:color w:val="auto"/>
              </w:rPr>
            </w:pPr>
          </w:p>
        </w:tc>
      </w:tr>
      <w:tr>
        <w:trPr>
          <w:trHeight w:val="169"/>
        </w:trPr>
        <w:tc>
          <w:tcPr>
            <w:tcW w:w="1500" w:type="dxa"/>
            <w:vAlign w:val="bottom"/>
          </w:tcPr>
          <w:p>
            <w:pPr>
              <w:spacing w:after="0"/>
              <w:rPr>
                <w:sz w:val="14"/>
                <w:szCs w:val="14"/>
                <w:color w:val="auto"/>
              </w:rPr>
            </w:pPr>
          </w:p>
        </w:tc>
        <w:tc>
          <w:tcPr>
            <w:tcW w:w="9740" w:type="dxa"/>
            <w:vAlign w:val="bottom"/>
            <w:gridSpan w:val="33"/>
          </w:tcPr>
          <w:p>
            <w:pPr>
              <w:spacing w:after="0" w:line="169" w:lineRule="exact"/>
              <w:rPr>
                <w:rFonts w:ascii="Arial" w:cs="Arial" w:eastAsia="Arial" w:hAnsi="Arial"/>
                <w:sz w:val="18"/>
                <w:szCs w:val="18"/>
                <w:color w:val="0000FF"/>
                <w:w w:val="91"/>
              </w:rPr>
            </w:pPr>
            <w:hyperlink r:id="rId190">
              <w:r>
                <w:rPr>
                  <w:rFonts w:ascii="Arial" w:cs="Arial" w:eastAsia="Arial" w:hAnsi="Arial"/>
                  <w:sz w:val="18"/>
                  <w:szCs w:val="18"/>
                  <w:color w:val="0000FF"/>
                  <w:w w:val="91"/>
                </w:rPr>
                <w:t xml:space="preserve">Company and Eric W. Thornburg. Incorporated by reference to Exhibit 10.73 to Form 10-K for the year ended December 31, 2020 </w:t>
              </w:r>
            </w:hyperlink>
            <w:r>
              <w:rPr>
                <w:rFonts w:ascii="Arial" w:cs="Arial" w:eastAsia="Arial" w:hAnsi="Arial"/>
                <w:sz w:val="18"/>
                <w:szCs w:val="18"/>
                <w:color w:val="000000"/>
                <w:w w:val="91"/>
              </w:rPr>
              <w:t>(2)</w:t>
            </w: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920" w:type="dxa"/>
            <w:vAlign w:val="bottom"/>
            <w:gridSpan w:val="16"/>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10.72</w:t>
            </w:r>
          </w:p>
        </w:tc>
        <w:tc>
          <w:tcPr>
            <w:tcW w:w="9740" w:type="dxa"/>
            <w:vAlign w:val="bottom"/>
            <w:gridSpan w:val="33"/>
          </w:tcPr>
          <w:p>
            <w:pPr>
              <w:spacing w:after="0"/>
              <w:rPr>
                <w:rFonts w:ascii="Arial" w:cs="Arial" w:eastAsia="Arial" w:hAnsi="Arial"/>
                <w:sz w:val="18"/>
                <w:szCs w:val="18"/>
                <w:color w:val="0000FF"/>
                <w:w w:val="92"/>
              </w:rPr>
            </w:pPr>
            <w:hyperlink r:id="rId191">
              <w:r>
                <w:rPr>
                  <w:rFonts w:ascii="Arial" w:cs="Arial" w:eastAsia="Arial" w:hAnsi="Arial"/>
                  <w:sz w:val="18"/>
                  <w:szCs w:val="18"/>
                  <w:color w:val="0000FF"/>
                  <w:w w:val="92"/>
                </w:rPr>
                <w:t>Amended and Restated Supplemental Executive Retirement Agreement dated November 15, 2017 between The Connecticut Water</w:t>
              </w:r>
            </w:hyperlink>
          </w:p>
        </w:tc>
      </w:tr>
      <w:tr>
        <w:trPr>
          <w:trHeight w:val="169"/>
        </w:trPr>
        <w:tc>
          <w:tcPr>
            <w:tcW w:w="1500" w:type="dxa"/>
            <w:vAlign w:val="bottom"/>
          </w:tcPr>
          <w:p>
            <w:pPr>
              <w:spacing w:after="0"/>
              <w:rPr>
                <w:sz w:val="14"/>
                <w:szCs w:val="14"/>
                <w:color w:val="auto"/>
              </w:rPr>
            </w:pPr>
          </w:p>
        </w:tc>
        <w:tc>
          <w:tcPr>
            <w:tcW w:w="9420" w:type="dxa"/>
            <w:vAlign w:val="bottom"/>
            <w:tcBorders>
              <w:top w:val="single" w:sz="8" w:color="0000FF"/>
            </w:tcBorders>
            <w:gridSpan w:val="21"/>
          </w:tcPr>
          <w:p>
            <w:pPr>
              <w:spacing w:after="0" w:line="169"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Company and Maureen P. Westbrook. Incorporated by reference to Exhibit 10.74 to Form 10-K for the year ended December 31,</w:t>
              </w:r>
            </w:hyperlink>
          </w:p>
        </w:tc>
        <w:tc>
          <w:tcPr>
            <w:tcW w:w="320" w:type="dxa"/>
            <w:vAlign w:val="bottom"/>
            <w:gridSpan w:val="12"/>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1160" w:type="dxa"/>
            <w:vAlign w:val="bottom"/>
            <w:tcBorders>
              <w:top w:val="single" w:sz="8" w:color="0000FF"/>
            </w:tcBorders>
            <w:gridSpan w:val="2"/>
          </w:tcPr>
          <w:p>
            <w:pPr>
              <w:spacing w:after="0" w:line="169" w:lineRule="exact"/>
              <w:rPr>
                <w:rFonts w:ascii="Arial" w:cs="Arial" w:eastAsia="Arial" w:hAnsi="Arial"/>
                <w:sz w:val="18"/>
                <w:szCs w:val="18"/>
                <w:color w:val="0000FF"/>
              </w:rPr>
            </w:pPr>
            <w:hyperlink r:id="rId191">
              <w:r>
                <w:rPr>
                  <w:rFonts w:ascii="Arial" w:cs="Arial" w:eastAsia="Arial" w:hAnsi="Arial"/>
                  <w:sz w:val="18"/>
                  <w:szCs w:val="18"/>
                  <w:color w:val="0000FF"/>
                </w:rPr>
                <w:t>2019</w:t>
              </w:r>
              <w:r>
                <w:rPr>
                  <w:rFonts w:ascii="Arial" w:cs="Arial" w:eastAsia="Arial" w:hAnsi="Arial"/>
                  <w:sz w:val="18"/>
                  <w:szCs w:val="18"/>
                  <w:color w:val="000000"/>
                </w:rPr>
                <w:t>. (2)</w:t>
              </w:r>
            </w:hyperlink>
          </w:p>
        </w:tc>
        <w:tc>
          <w:tcPr>
            <w:tcW w:w="24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10.73</w:t>
            </w:r>
          </w:p>
        </w:tc>
        <w:tc>
          <w:tcPr>
            <w:tcW w:w="9760" w:type="dxa"/>
            <w:vAlign w:val="bottom"/>
            <w:gridSpan w:val="31"/>
          </w:tcPr>
          <w:p>
            <w:pPr>
              <w:spacing w:after="0"/>
              <w:rPr>
                <w:rFonts w:ascii="Arial" w:cs="Arial" w:eastAsia="Arial" w:hAnsi="Arial"/>
                <w:sz w:val="18"/>
                <w:szCs w:val="18"/>
                <w:color w:val="0000FF"/>
                <w:w w:val="92"/>
              </w:rPr>
            </w:pPr>
            <w:hyperlink r:id="rId193">
              <w:r>
                <w:rPr>
                  <w:rFonts w:ascii="Arial" w:cs="Arial" w:eastAsia="Arial" w:hAnsi="Arial"/>
                  <w:sz w:val="18"/>
                  <w:szCs w:val="18"/>
                  <w:color w:val="0000FF"/>
                  <w:w w:val="92"/>
                </w:rPr>
                <w:t>Amended and Restated Supplemental Executive Retirement Agreement dated November 15, 2017 between The Connecticut Water</w:t>
              </w:r>
            </w:hyperlink>
          </w:p>
        </w:tc>
      </w:tr>
      <w:tr>
        <w:trPr>
          <w:trHeight w:val="169"/>
        </w:trPr>
        <w:tc>
          <w:tcPr>
            <w:tcW w:w="1500" w:type="dxa"/>
            <w:vAlign w:val="bottom"/>
          </w:tcPr>
          <w:p>
            <w:pPr>
              <w:spacing w:after="0"/>
              <w:rPr>
                <w:sz w:val="14"/>
                <w:szCs w:val="14"/>
                <w:color w:val="auto"/>
              </w:rPr>
            </w:pPr>
          </w:p>
        </w:tc>
        <w:tc>
          <w:tcPr>
            <w:tcW w:w="9440" w:type="dxa"/>
            <w:vAlign w:val="bottom"/>
            <w:tcBorders>
              <w:top w:val="single" w:sz="8" w:color="0000FF"/>
            </w:tcBorders>
            <w:gridSpan w:val="17"/>
          </w:tcPr>
          <w:p>
            <w:pPr>
              <w:spacing w:after="0" w:line="169" w:lineRule="exact"/>
              <w:rPr>
                <w:rFonts w:ascii="Arial" w:cs="Arial" w:eastAsia="Arial" w:hAnsi="Arial"/>
                <w:sz w:val="18"/>
                <w:szCs w:val="18"/>
                <w:color w:val="0000FF"/>
                <w:w w:val="90"/>
              </w:rPr>
            </w:pPr>
            <w:hyperlink r:id="rId193">
              <w:r>
                <w:rPr>
                  <w:rFonts w:ascii="Arial" w:cs="Arial" w:eastAsia="Arial" w:hAnsi="Arial"/>
                  <w:sz w:val="18"/>
                  <w:szCs w:val="18"/>
                  <w:color w:val="0000FF"/>
                  <w:w w:val="90"/>
                </w:rPr>
                <w:t>Company and Kristen A. Johnson. Incorporated by reference to Exhibit 10.75 to Form 10-K for the year ended December 31, 2019</w:t>
              </w:r>
            </w:hyperlink>
          </w:p>
        </w:tc>
        <w:tc>
          <w:tcPr>
            <w:tcW w:w="40" w:type="dxa"/>
            <w:vAlign w:val="bottom"/>
            <w:gridSpan w:val="2"/>
          </w:tcPr>
          <w:p>
            <w:pPr>
              <w:jc w:val="right"/>
              <w:ind w:right="20"/>
              <w:spacing w:after="0"/>
              <w:rPr>
                <w:sz w:val="20"/>
                <w:szCs w:val="20"/>
                <w:color w:val="auto"/>
              </w:rPr>
            </w:pPr>
            <w:r>
              <w:rPr>
                <w:rFonts w:ascii="Arial" w:cs="Arial" w:eastAsia="Arial" w:hAnsi="Arial"/>
                <w:sz w:val="1"/>
                <w:szCs w:val="1"/>
                <w:color w:val="auto"/>
                <w:w w:val="42949672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4"/>
        </w:trPr>
        <w:tc>
          <w:tcPr>
            <w:tcW w:w="1500" w:type="dxa"/>
            <w:vAlign w:val="bottom"/>
          </w:tcPr>
          <w:p>
            <w:pPr>
              <w:spacing w:after="0"/>
              <w:rPr>
                <w:sz w:val="19"/>
                <w:szCs w:val="19"/>
                <w:color w:val="auto"/>
              </w:rPr>
            </w:pPr>
          </w:p>
        </w:tc>
        <w:tc>
          <w:tcPr>
            <w:tcW w:w="3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382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7"/>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10.74</w:t>
            </w:r>
          </w:p>
        </w:tc>
        <w:tc>
          <w:tcPr>
            <w:tcW w:w="9760" w:type="dxa"/>
            <w:vAlign w:val="bottom"/>
            <w:gridSpan w:val="31"/>
          </w:tcPr>
          <w:p>
            <w:pPr>
              <w:spacing w:after="0"/>
              <w:rPr>
                <w:rFonts w:ascii="Arial" w:cs="Arial" w:eastAsia="Arial" w:hAnsi="Arial"/>
                <w:sz w:val="18"/>
                <w:szCs w:val="18"/>
                <w:color w:val="0000FF"/>
                <w:w w:val="91"/>
              </w:rPr>
            </w:pPr>
            <w:hyperlink r:id="rId194">
              <w:r>
                <w:rPr>
                  <w:rFonts w:ascii="Arial" w:cs="Arial" w:eastAsia="Arial" w:hAnsi="Arial"/>
                  <w:sz w:val="18"/>
                  <w:szCs w:val="18"/>
                  <w:color w:val="0000FF"/>
                  <w:w w:val="91"/>
                </w:rPr>
                <w:t>Amendment to the Amended and Restated Supplemental Executive Retirement Agreement effective as of November 1, 2019 between</w:t>
              </w:r>
            </w:hyperlink>
          </w:p>
        </w:tc>
      </w:tr>
      <w:tr>
        <w:trPr>
          <w:trHeight w:val="169"/>
        </w:trPr>
        <w:tc>
          <w:tcPr>
            <w:tcW w:w="150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90"/>
              </w:rPr>
            </w:pPr>
            <w:hyperlink r:id="rId194">
              <w:r>
                <w:rPr>
                  <w:rFonts w:ascii="Arial" w:cs="Arial" w:eastAsia="Arial" w:hAnsi="Arial"/>
                  <w:sz w:val="18"/>
                  <w:szCs w:val="18"/>
                  <w:color w:val="0000FF"/>
                  <w:w w:val="90"/>
                </w:rPr>
                <w:t>Kristen A. Johnson and The Connecticut Water Company. Incorporated by reference to Exhibit 10.77 to Form 10-K for the year ended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9720" w:type="dxa"/>
            <w:vAlign w:val="bottom"/>
            <w:gridSpan w:val="29"/>
          </w:tcPr>
          <w:p>
            <w:pPr>
              <w:spacing w:after="0" w:line="169" w:lineRule="exact"/>
              <w:rPr>
                <w:rFonts w:ascii="Arial" w:cs="Arial" w:eastAsia="Arial" w:hAnsi="Arial"/>
                <w:sz w:val="18"/>
                <w:szCs w:val="18"/>
                <w:color w:val="0000FF"/>
              </w:rPr>
            </w:pPr>
            <w:hyperlink r:id="rId194">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10.75</w:t>
            </w:r>
          </w:p>
        </w:tc>
        <w:tc>
          <w:tcPr>
            <w:tcW w:w="9760" w:type="dxa"/>
            <w:vAlign w:val="bottom"/>
            <w:gridSpan w:val="31"/>
          </w:tcPr>
          <w:p>
            <w:pPr>
              <w:spacing w:after="0"/>
              <w:rPr>
                <w:rFonts w:ascii="Arial" w:cs="Arial" w:eastAsia="Arial" w:hAnsi="Arial"/>
                <w:sz w:val="18"/>
                <w:szCs w:val="18"/>
                <w:color w:val="0000FF"/>
                <w:w w:val="93"/>
              </w:rPr>
            </w:pPr>
            <w:hyperlink r:id="rId195">
              <w:r>
                <w:rPr>
                  <w:rFonts w:ascii="Arial" w:cs="Arial" w:eastAsia="Arial" w:hAnsi="Arial"/>
                  <w:sz w:val="18"/>
                  <w:szCs w:val="18"/>
                  <w:color w:val="0000FF"/>
                  <w:w w:val="93"/>
                </w:rPr>
                <w:t>Grantor Trust Agreement dated May 1, 2017, between Connecticut Water Service, Inc. and Matrix Trust Company. Incorporated by</w:t>
              </w:r>
            </w:hyperlink>
          </w:p>
        </w:tc>
      </w:tr>
      <w:tr>
        <w:trPr>
          <w:trHeight w:val="169"/>
        </w:trPr>
        <w:tc>
          <w:tcPr>
            <w:tcW w:w="1500" w:type="dxa"/>
            <w:vAlign w:val="bottom"/>
          </w:tcPr>
          <w:p>
            <w:pPr>
              <w:spacing w:after="0"/>
              <w:rPr>
                <w:sz w:val="14"/>
                <w:szCs w:val="14"/>
                <w:color w:val="auto"/>
              </w:rPr>
            </w:pPr>
          </w:p>
        </w:tc>
        <w:tc>
          <w:tcPr>
            <w:tcW w:w="94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reference to Exhibit 10.78 to Form 10-K for the year ended December 31, 2019</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10.76</w:t>
            </w:r>
          </w:p>
        </w:tc>
        <w:tc>
          <w:tcPr>
            <w:tcW w:w="9760" w:type="dxa"/>
            <w:vAlign w:val="bottom"/>
            <w:gridSpan w:val="31"/>
          </w:tcPr>
          <w:p>
            <w:pPr>
              <w:spacing w:after="0"/>
              <w:rPr>
                <w:rFonts w:ascii="Arial" w:cs="Arial" w:eastAsia="Arial" w:hAnsi="Arial"/>
                <w:sz w:val="18"/>
                <w:szCs w:val="18"/>
                <w:color w:val="0000FF"/>
                <w:w w:val="95"/>
              </w:rPr>
            </w:pPr>
            <w:hyperlink r:id="rId196">
              <w:r>
                <w:rPr>
                  <w:rFonts w:ascii="Arial" w:cs="Arial" w:eastAsia="Arial" w:hAnsi="Arial"/>
                  <w:sz w:val="18"/>
                  <w:szCs w:val="18"/>
                  <w:color w:val="0000FF"/>
                  <w:w w:val="95"/>
                </w:rPr>
                <w:t>Deferred Compensation Agreement dated December 8, 2011 between The Connecticut Water Company and Eric W. Thornburg.</w:t>
              </w:r>
            </w:hyperlink>
          </w:p>
        </w:tc>
      </w:tr>
      <w:tr>
        <w:trPr>
          <w:trHeight w:val="169"/>
        </w:trPr>
        <w:tc>
          <w:tcPr>
            <w:tcW w:w="1500" w:type="dxa"/>
            <w:vAlign w:val="bottom"/>
          </w:tcPr>
          <w:p>
            <w:pPr>
              <w:spacing w:after="0"/>
              <w:rPr>
                <w:sz w:val="14"/>
                <w:szCs w:val="14"/>
                <w:color w:val="auto"/>
              </w:rPr>
            </w:pPr>
          </w:p>
        </w:tc>
        <w:tc>
          <w:tcPr>
            <w:tcW w:w="920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196">
              <w:r>
                <w:rPr>
                  <w:rFonts w:ascii="Arial" w:cs="Arial" w:eastAsia="Arial" w:hAnsi="Arial"/>
                  <w:sz w:val="18"/>
                  <w:szCs w:val="18"/>
                  <w:color w:val="0000FF"/>
                </w:rPr>
                <w:t xml:space="preserve">Incorporated by reference to Exhibit </w:t>
              </w:r>
            </w:hyperlink>
            <w:r>
              <w:rPr>
                <w:rFonts w:ascii="Arial" w:cs="Arial" w:eastAsia="Arial" w:hAnsi="Arial"/>
                <w:sz w:val="18"/>
                <w:szCs w:val="18"/>
                <w:color w:val="0000FF"/>
              </w:rPr>
              <w:t xml:space="preserve">10.78 </w:t>
            </w:r>
            <w:hyperlink r:id="rId196">
              <w:r>
                <w:rPr>
                  <w:rFonts w:ascii="Arial" w:cs="Arial" w:eastAsia="Arial" w:hAnsi="Arial"/>
                  <w:sz w:val="18"/>
                  <w:szCs w:val="18"/>
                  <w:color w:val="0000FF"/>
                </w:rPr>
                <w:t>to Form 10-K for the year ended December 31, 2020</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10.77</w:t>
            </w:r>
          </w:p>
        </w:tc>
        <w:tc>
          <w:tcPr>
            <w:tcW w:w="9760" w:type="dxa"/>
            <w:vAlign w:val="bottom"/>
            <w:gridSpan w:val="31"/>
          </w:tcPr>
          <w:p>
            <w:pPr>
              <w:spacing w:after="0"/>
              <w:rPr>
                <w:rFonts w:ascii="Arial" w:cs="Arial" w:eastAsia="Arial" w:hAnsi="Arial"/>
                <w:sz w:val="18"/>
                <w:szCs w:val="18"/>
                <w:color w:val="0000FF"/>
                <w:w w:val="90"/>
              </w:rPr>
            </w:pPr>
            <w:hyperlink r:id="rId197">
              <w:r>
                <w:rPr>
                  <w:rFonts w:ascii="Arial" w:cs="Arial" w:eastAsia="Arial" w:hAnsi="Arial"/>
                  <w:sz w:val="18"/>
                  <w:szCs w:val="18"/>
                  <w:color w:val="0000FF"/>
                  <w:w w:val="90"/>
                </w:rPr>
                <w:t>Amended and Restated Deferred Compensation Agreement, effective January 1, 2011, between The Connecticut Water Company and</w:t>
              </w:r>
            </w:hyperlink>
          </w:p>
        </w:tc>
      </w:tr>
      <w:tr>
        <w:trPr>
          <w:trHeight w:val="169"/>
        </w:trPr>
        <w:tc>
          <w:tcPr>
            <w:tcW w:w="1500" w:type="dxa"/>
            <w:vAlign w:val="bottom"/>
          </w:tcPr>
          <w:p>
            <w:pPr>
              <w:spacing w:after="0"/>
              <w:rPr>
                <w:sz w:val="14"/>
                <w:szCs w:val="14"/>
                <w:color w:val="auto"/>
              </w:rPr>
            </w:pPr>
          </w:p>
        </w:tc>
        <w:tc>
          <w:tcPr>
            <w:tcW w:w="9640" w:type="dxa"/>
            <w:vAlign w:val="bottom"/>
            <w:tcBorders>
              <w:top w:val="single" w:sz="8" w:color="0000FF"/>
            </w:tcBorders>
            <w:gridSpan w:val="25"/>
          </w:tcPr>
          <w:p>
            <w:pPr>
              <w:spacing w:after="0" w:line="169" w:lineRule="exact"/>
              <w:rPr>
                <w:rFonts w:ascii="Arial" w:cs="Arial" w:eastAsia="Arial" w:hAnsi="Arial"/>
                <w:sz w:val="18"/>
                <w:szCs w:val="18"/>
                <w:color w:val="0000FF"/>
                <w:w w:val="97"/>
              </w:rPr>
            </w:pPr>
            <w:hyperlink r:id="rId197">
              <w:r>
                <w:rPr>
                  <w:rFonts w:ascii="Arial" w:cs="Arial" w:eastAsia="Arial" w:hAnsi="Arial"/>
                  <w:sz w:val="18"/>
                  <w:szCs w:val="18"/>
                  <w:color w:val="0000FF"/>
                  <w:w w:val="97"/>
                </w:rPr>
                <w:t>Maureen P. Westbrook. Incorporated by reference to Exhibit 10.79 to Form 10-K for the year ended December 31, 2019</w:t>
              </w:r>
              <w:r>
                <w:rPr>
                  <w:rFonts w:ascii="Arial" w:cs="Arial" w:eastAsia="Arial" w:hAnsi="Arial"/>
                  <w:sz w:val="18"/>
                  <w:szCs w:val="18"/>
                  <w:color w:val="000000"/>
                  <w:w w:val="97"/>
                </w:rPr>
                <w:t>. (2)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10.78</w:t>
            </w:r>
          </w:p>
        </w:tc>
        <w:tc>
          <w:tcPr>
            <w:tcW w:w="9760" w:type="dxa"/>
            <w:vAlign w:val="bottom"/>
            <w:gridSpan w:val="31"/>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Amended and Restated Deferred Compensation Agreement, effective January 1, 2011, between The Connecticut Water Company and</w:t>
              </w:r>
            </w:hyperlink>
          </w:p>
        </w:tc>
      </w:tr>
      <w:tr>
        <w:trPr>
          <w:trHeight w:val="169"/>
        </w:trPr>
        <w:tc>
          <w:tcPr>
            <w:tcW w:w="1500" w:type="dxa"/>
            <w:vAlign w:val="bottom"/>
          </w:tcPr>
          <w:p>
            <w:pPr>
              <w:spacing w:after="0"/>
              <w:rPr>
                <w:sz w:val="14"/>
                <w:szCs w:val="14"/>
                <w:color w:val="auto"/>
              </w:rPr>
            </w:pPr>
          </w:p>
        </w:tc>
        <w:tc>
          <w:tcPr>
            <w:tcW w:w="964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98">
              <w:r>
                <w:rPr>
                  <w:rFonts w:ascii="Arial" w:cs="Arial" w:eastAsia="Arial" w:hAnsi="Arial"/>
                  <w:sz w:val="18"/>
                  <w:szCs w:val="18"/>
                  <w:color w:val="0000FF"/>
                </w:rPr>
                <w:t>Kristen A. Johnson. Incorporated by reference to Exhibit 10.80 to Form 10-K for the year ended December 31, 2019</w:t>
              </w:r>
              <w:r>
                <w:rPr>
                  <w:rFonts w:ascii="Arial" w:cs="Arial" w:eastAsia="Arial" w:hAnsi="Arial"/>
                  <w:sz w:val="18"/>
                  <w:szCs w:val="18"/>
                  <w:color w:val="000000"/>
                </w:rPr>
                <w:t>. (2)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10.79</w:t>
            </w:r>
          </w:p>
        </w:tc>
        <w:tc>
          <w:tcPr>
            <w:tcW w:w="9760" w:type="dxa"/>
            <w:vAlign w:val="bottom"/>
            <w:gridSpan w:val="31"/>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First Amendment to the Amended and Restated Deferred Compensation Agreement, dated as of December 1, 2011, among Kristen A.</w:t>
              </w:r>
            </w:hyperlink>
          </w:p>
        </w:tc>
      </w:tr>
      <w:tr>
        <w:trPr>
          <w:trHeight w:val="169"/>
        </w:trPr>
        <w:tc>
          <w:tcPr>
            <w:tcW w:w="1500" w:type="dxa"/>
            <w:vAlign w:val="bottom"/>
          </w:tcPr>
          <w:p>
            <w:pPr>
              <w:spacing w:after="0"/>
              <w:rPr>
                <w:sz w:val="14"/>
                <w:szCs w:val="14"/>
                <w:color w:val="auto"/>
              </w:rPr>
            </w:pPr>
          </w:p>
        </w:tc>
        <w:tc>
          <w:tcPr>
            <w:tcW w:w="9680" w:type="dxa"/>
            <w:vAlign w:val="bottom"/>
            <w:tcBorders>
              <w:top w:val="single" w:sz="8" w:color="0000FF"/>
            </w:tcBorders>
            <w:gridSpan w:val="27"/>
          </w:tcPr>
          <w:p>
            <w:pPr>
              <w:spacing w:after="0" w:line="169"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Johnson and The Connecticut Water Company. Incorporated by reference to Exhibit 10.82 to Form 10-K for the year ended December</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140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r:id="rId199">
              <w:r>
                <w:rPr>
                  <w:rFonts w:ascii="Arial" w:cs="Arial" w:eastAsia="Arial" w:hAnsi="Arial"/>
                  <w:sz w:val="18"/>
                  <w:szCs w:val="18"/>
                  <w:color w:val="0000FF"/>
                </w:rPr>
                <w:t>31, 2019</w:t>
              </w:r>
              <w:r>
                <w:rPr>
                  <w:rFonts w:ascii="Arial" w:cs="Arial" w:eastAsia="Arial" w:hAnsi="Arial"/>
                  <w:sz w:val="18"/>
                  <w:szCs w:val="18"/>
                  <w:color w:val="000000"/>
                </w:rPr>
                <w:t>. (2)</w:t>
              </w:r>
            </w:hyperlink>
          </w:p>
        </w:tc>
        <w:tc>
          <w:tcPr>
            <w:tcW w:w="38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10.80</w:t>
            </w:r>
          </w:p>
        </w:tc>
        <w:tc>
          <w:tcPr>
            <w:tcW w:w="9760" w:type="dxa"/>
            <w:vAlign w:val="bottom"/>
            <w:gridSpan w:val="31"/>
          </w:tcPr>
          <w:p>
            <w:pPr>
              <w:spacing w:after="0"/>
              <w:rPr>
                <w:rFonts w:ascii="Arial" w:cs="Arial" w:eastAsia="Arial" w:hAnsi="Arial"/>
                <w:sz w:val="18"/>
                <w:szCs w:val="18"/>
                <w:color w:val="0000FF"/>
                <w:w w:val="89"/>
              </w:rPr>
            </w:pPr>
            <w:hyperlink r:id="rId200">
              <w:r>
                <w:rPr>
                  <w:rFonts w:ascii="Arial" w:cs="Arial" w:eastAsia="Arial" w:hAnsi="Arial"/>
                  <w:sz w:val="18"/>
                  <w:szCs w:val="18"/>
                  <w:color w:val="0000FF"/>
                  <w:w w:val="89"/>
                </w:rPr>
                <w:t>First Amendment to the Amended and Restated Deferred Compensation Agreement, dated as of December 8, 2011, among Maureen P.</w:t>
              </w:r>
            </w:hyperlink>
          </w:p>
        </w:tc>
      </w:tr>
      <w:tr>
        <w:trPr>
          <w:trHeight w:val="169"/>
        </w:trPr>
        <w:tc>
          <w:tcPr>
            <w:tcW w:w="1500" w:type="dxa"/>
            <w:vAlign w:val="bottom"/>
          </w:tcPr>
          <w:p>
            <w:pPr>
              <w:spacing w:after="0"/>
              <w:rPr>
                <w:sz w:val="14"/>
                <w:szCs w:val="14"/>
                <w:color w:val="auto"/>
              </w:rPr>
            </w:pPr>
          </w:p>
        </w:tc>
        <w:tc>
          <w:tcPr>
            <w:tcW w:w="9740" w:type="dxa"/>
            <w:vAlign w:val="bottom"/>
            <w:tcBorders>
              <w:top w:val="single" w:sz="8" w:color="0000FF"/>
            </w:tcBorders>
            <w:gridSpan w:val="30"/>
          </w:tcPr>
          <w:p>
            <w:pPr>
              <w:spacing w:after="0" w:line="169" w:lineRule="exact"/>
              <w:rPr>
                <w:rFonts w:ascii="Arial" w:cs="Arial" w:eastAsia="Arial" w:hAnsi="Arial"/>
                <w:sz w:val="18"/>
                <w:szCs w:val="18"/>
                <w:color w:val="0000FF"/>
                <w:w w:val="97"/>
              </w:rPr>
            </w:pPr>
            <w:hyperlink r:id="rId200">
              <w:r>
                <w:rPr>
                  <w:rFonts w:ascii="Arial" w:cs="Arial" w:eastAsia="Arial" w:hAnsi="Arial"/>
                  <w:sz w:val="18"/>
                  <w:szCs w:val="18"/>
                  <w:color w:val="0000FF"/>
                  <w:w w:val="97"/>
                </w:rPr>
                <w:t>Westbrook and The Connecticut Water Company. Incorporated by reference to Exhibit 10.83 to Form 10-K for the year ended</w:t>
              </w:r>
            </w:hyperlink>
          </w:p>
        </w:tc>
        <w:tc>
          <w:tcPr>
            <w:tcW w:w="20" w:type="dxa"/>
            <w:vAlign w:val="bottom"/>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906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00">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3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10.81</w:t>
            </w:r>
          </w:p>
        </w:tc>
        <w:tc>
          <w:tcPr>
            <w:tcW w:w="9760" w:type="dxa"/>
            <w:vAlign w:val="bottom"/>
            <w:gridSpan w:val="31"/>
          </w:tcPr>
          <w:p>
            <w:pPr>
              <w:spacing w:after="0"/>
              <w:rPr>
                <w:rFonts w:ascii="Arial" w:cs="Arial" w:eastAsia="Arial" w:hAnsi="Arial"/>
                <w:sz w:val="18"/>
                <w:szCs w:val="18"/>
                <w:color w:val="0000FF"/>
                <w:w w:val="91"/>
              </w:rPr>
            </w:pPr>
            <w:hyperlink r:id="rId201">
              <w:r>
                <w:rPr>
                  <w:rFonts w:ascii="Arial" w:cs="Arial" w:eastAsia="Arial" w:hAnsi="Arial"/>
                  <w:sz w:val="18"/>
                  <w:szCs w:val="18"/>
                  <w:color w:val="0000FF"/>
                  <w:w w:val="91"/>
                </w:rPr>
                <w:t>Second Amendment to the Amended and Restated Deferred Compensation Agreement, dated as of December 21, 2016, between the</w:t>
              </w:r>
            </w:hyperlink>
          </w:p>
        </w:tc>
      </w:tr>
      <w:tr>
        <w:trPr>
          <w:trHeight w:val="169"/>
        </w:trPr>
        <w:tc>
          <w:tcPr>
            <w:tcW w:w="150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89"/>
              </w:rPr>
            </w:pPr>
            <w:hyperlink r:id="rId201">
              <w:r>
                <w:rPr>
                  <w:rFonts w:ascii="Arial" w:cs="Arial" w:eastAsia="Arial" w:hAnsi="Arial"/>
                  <w:sz w:val="18"/>
                  <w:szCs w:val="18"/>
                  <w:color w:val="0000FF"/>
                  <w:w w:val="89"/>
                </w:rPr>
                <w:t>Connecticut Water Company and Maureen P. Westbrook. Incorporated by reference to Exhibit 10.85 to Form 10-K for the year ended</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9600" w:type="dxa"/>
            <w:vAlign w:val="bottom"/>
            <w:gridSpan w:val="23"/>
          </w:tcPr>
          <w:p>
            <w:pPr>
              <w:spacing w:after="0" w:line="169" w:lineRule="exact"/>
              <w:rPr>
                <w:rFonts w:ascii="Arial" w:cs="Arial" w:eastAsia="Arial" w:hAnsi="Arial"/>
                <w:sz w:val="18"/>
                <w:szCs w:val="18"/>
                <w:color w:val="0000FF"/>
              </w:rPr>
            </w:pPr>
            <w:hyperlink r:id="rId201">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10.82</w:t>
            </w:r>
          </w:p>
        </w:tc>
        <w:tc>
          <w:tcPr>
            <w:tcW w:w="9760" w:type="dxa"/>
            <w:vAlign w:val="bottom"/>
            <w:gridSpan w:val="31"/>
          </w:tcPr>
          <w:p>
            <w:pPr>
              <w:spacing w:after="0"/>
              <w:rPr>
                <w:rFonts w:ascii="Arial" w:cs="Arial" w:eastAsia="Arial" w:hAnsi="Arial"/>
                <w:sz w:val="18"/>
                <w:szCs w:val="18"/>
                <w:color w:val="0000FF"/>
                <w:w w:val="91"/>
              </w:rPr>
            </w:pPr>
            <w:hyperlink r:id="rId202">
              <w:r>
                <w:rPr>
                  <w:rFonts w:ascii="Arial" w:cs="Arial" w:eastAsia="Arial" w:hAnsi="Arial"/>
                  <w:sz w:val="18"/>
                  <w:szCs w:val="18"/>
                  <w:color w:val="0000FF"/>
                  <w:w w:val="91"/>
                </w:rPr>
                <w:t>Second Amendment to the Amended and Restated Deferred Compensation Agreement, dated as of December 20, 2016, between the</w:t>
              </w:r>
            </w:hyperlink>
          </w:p>
        </w:tc>
      </w:tr>
      <w:tr>
        <w:trPr>
          <w:trHeight w:val="169"/>
        </w:trPr>
        <w:tc>
          <w:tcPr>
            <w:tcW w:w="1500" w:type="dxa"/>
            <w:vAlign w:val="bottom"/>
          </w:tcPr>
          <w:p>
            <w:pPr>
              <w:spacing w:after="0"/>
              <w:rPr>
                <w:sz w:val="14"/>
                <w:szCs w:val="14"/>
                <w:color w:val="auto"/>
              </w:rPr>
            </w:pPr>
          </w:p>
        </w:tc>
        <w:tc>
          <w:tcPr>
            <w:tcW w:w="9520" w:type="dxa"/>
            <w:vAlign w:val="bottom"/>
            <w:tcBorders>
              <w:top w:val="single" w:sz="8" w:color="0000FF"/>
            </w:tcBorders>
            <w:gridSpan w:val="20"/>
          </w:tcPr>
          <w:p>
            <w:pPr>
              <w:spacing w:after="0" w:line="169" w:lineRule="exact"/>
              <w:rPr>
                <w:rFonts w:ascii="Arial" w:cs="Arial" w:eastAsia="Arial" w:hAnsi="Arial"/>
                <w:sz w:val="18"/>
                <w:szCs w:val="18"/>
                <w:color w:val="0000FF"/>
                <w:w w:val="92"/>
              </w:rPr>
            </w:pPr>
            <w:hyperlink r:id="rId202">
              <w:r>
                <w:rPr>
                  <w:rFonts w:ascii="Arial" w:cs="Arial" w:eastAsia="Arial" w:hAnsi="Arial"/>
                  <w:sz w:val="18"/>
                  <w:szCs w:val="18"/>
                  <w:color w:val="0000FF"/>
                  <w:w w:val="92"/>
                </w:rPr>
                <w:t>Connecticut Water Company and Kristen A. Johnson. Incorporated by reference to Exhibit 10.86 to Form 10-K for the year ended</w:t>
              </w:r>
            </w:hyperlink>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93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02">
              <w:r>
                <w:rPr>
                  <w:rFonts w:ascii="Arial" w:cs="Arial" w:eastAsia="Arial" w:hAnsi="Arial"/>
                  <w:sz w:val="18"/>
                  <w:szCs w:val="18"/>
                  <w:color w:val="0000FF"/>
                </w:rPr>
                <w:t>December 31, 2019</w:t>
              </w:r>
              <w:r>
                <w:rPr>
                  <w:rFonts w:ascii="Arial" w:cs="Arial" w:eastAsia="Arial" w:hAnsi="Arial"/>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10.83</w:t>
            </w:r>
          </w:p>
        </w:tc>
        <w:tc>
          <w:tcPr>
            <w:tcW w:w="9760" w:type="dxa"/>
            <w:vAlign w:val="bottom"/>
            <w:gridSpan w:val="31"/>
          </w:tcPr>
          <w:p>
            <w:pPr>
              <w:spacing w:after="0"/>
              <w:rPr>
                <w:rFonts w:ascii="Arial" w:cs="Arial" w:eastAsia="Arial" w:hAnsi="Arial"/>
                <w:sz w:val="18"/>
                <w:szCs w:val="18"/>
                <w:color w:val="0000FF"/>
                <w:w w:val="94"/>
              </w:rPr>
            </w:pPr>
            <w:hyperlink r:id="rId203">
              <w:r>
                <w:rPr>
                  <w:rFonts w:ascii="Arial" w:cs="Arial" w:eastAsia="Arial" w:hAnsi="Arial"/>
                  <w:sz w:val="18"/>
                  <w:szCs w:val="18"/>
                  <w:color w:val="0000FF"/>
                  <w:w w:val="94"/>
                </w:rPr>
                <w:t>Connecticut Water Company Deferred Compensation Plan, effective January 1, 2017. Incorporated by reference to Exhibit 10.1 to</w:t>
              </w:r>
            </w:hyperlink>
          </w:p>
        </w:tc>
      </w:tr>
      <w:tr>
        <w:trPr>
          <w:trHeight w:val="156"/>
        </w:trPr>
        <w:tc>
          <w:tcPr>
            <w:tcW w:w="1500" w:type="dxa"/>
            <w:vAlign w:val="bottom"/>
          </w:tcPr>
          <w:p>
            <w:pPr>
              <w:spacing w:after="0"/>
              <w:rPr>
                <w:sz w:val="13"/>
                <w:szCs w:val="13"/>
                <w:color w:val="auto"/>
              </w:rPr>
            </w:pPr>
          </w:p>
        </w:tc>
        <w:tc>
          <w:tcPr>
            <w:tcW w:w="938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Connecticut Water Service, Inc.’s Form 8-K filed on December 16, 2016</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10.84</w:t>
            </w:r>
          </w:p>
        </w:tc>
        <w:tc>
          <w:tcPr>
            <w:tcW w:w="9760" w:type="dxa"/>
            <w:vAlign w:val="bottom"/>
            <w:gridSpan w:val="31"/>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First Amendment, effective October 9, 2019, to the Connecticut Water Company Deferred Compensation Plan, dated January 1, 2017.</w:t>
              </w:r>
            </w:hyperlink>
          </w:p>
        </w:tc>
      </w:tr>
      <w:tr>
        <w:trPr>
          <w:trHeight w:val="169"/>
        </w:trPr>
        <w:tc>
          <w:tcPr>
            <w:tcW w:w="1500" w:type="dxa"/>
            <w:vAlign w:val="bottom"/>
          </w:tcPr>
          <w:p>
            <w:pPr>
              <w:spacing w:after="0"/>
              <w:rPr>
                <w:sz w:val="14"/>
                <w:szCs w:val="14"/>
                <w:color w:val="auto"/>
              </w:rPr>
            </w:pPr>
          </w:p>
        </w:tc>
        <w:tc>
          <w:tcPr>
            <w:tcW w:w="970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Incorporated by reference to Exhibit 10.89 to Form 10-K for the year ended December 31, 2019</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(2)</w:t>
            </w:r>
          </w:p>
        </w:tc>
        <w:tc>
          <w:tcPr>
            <w:tcW w:w="6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16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10.85</w:t>
            </w:r>
          </w:p>
        </w:tc>
        <w:tc>
          <w:tcPr>
            <w:tcW w:w="9760" w:type="dxa"/>
            <w:vAlign w:val="bottom"/>
            <w:gridSpan w:val="31"/>
          </w:tcPr>
          <w:p>
            <w:pPr>
              <w:spacing w:after="0"/>
              <w:rPr>
                <w:rFonts w:ascii="Arial" w:cs="Arial" w:eastAsia="Arial" w:hAnsi="Arial"/>
                <w:sz w:val="18"/>
                <w:szCs w:val="18"/>
                <w:color w:val="0000FF"/>
                <w:w w:val="93"/>
              </w:rPr>
            </w:pPr>
            <w:hyperlink r:id="rId205">
              <w:r>
                <w:rPr>
                  <w:rFonts w:ascii="Arial" w:cs="Arial" w:eastAsia="Arial" w:hAnsi="Arial"/>
                  <w:sz w:val="18"/>
                  <w:szCs w:val="18"/>
                  <w:color w:val="0000FF"/>
                  <w:w w:val="93"/>
                </w:rPr>
                <w:t>Second Amendment, effective October 9, 2019, to the Connecticut Water Company Deferred Compensation Plan, dated January 1,</w:t>
              </w:r>
            </w:hyperlink>
          </w:p>
        </w:tc>
      </w:tr>
      <w:tr>
        <w:trPr>
          <w:trHeight w:val="169"/>
        </w:trPr>
        <w:tc>
          <w:tcPr>
            <w:tcW w:w="1500" w:type="dxa"/>
            <w:vAlign w:val="bottom"/>
          </w:tcPr>
          <w:p>
            <w:pPr>
              <w:spacing w:after="0"/>
              <w:rPr>
                <w:sz w:val="14"/>
                <w:szCs w:val="14"/>
                <w:color w:val="auto"/>
              </w:rPr>
            </w:pPr>
          </w:p>
        </w:tc>
        <w:tc>
          <w:tcPr>
            <w:tcW w:w="94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205">
              <w:r>
                <w:rPr>
                  <w:rFonts w:ascii="Arial" w:cs="Arial" w:eastAsia="Arial" w:hAnsi="Arial"/>
                  <w:sz w:val="18"/>
                  <w:szCs w:val="18"/>
                  <w:color w:val="0000FF"/>
                </w:rPr>
                <w:t>2017. Incorporated by reference to Exhibit 10.90 to Form 10-K for the year ended December 31, 2019</w:t>
              </w:r>
              <w:r>
                <w:rPr>
                  <w:rFonts w:ascii="Arial" w:cs="Arial" w:eastAsia="Arial" w:hAnsi="Arial"/>
                  <w:sz w:val="18"/>
                  <w:szCs w:val="18"/>
                  <w:color w:val="000000"/>
                </w:rPr>
                <w:t>. (2)</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160" w:type="dxa"/>
            <w:vAlign w:val="bottom"/>
            <w:gridSpan w:val="5"/>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10.86</w:t>
            </w:r>
          </w:p>
        </w:tc>
        <w:tc>
          <w:tcPr>
            <w:tcW w:w="9760" w:type="dxa"/>
            <w:vAlign w:val="bottom"/>
            <w:gridSpan w:val="31"/>
          </w:tcPr>
          <w:p>
            <w:pPr>
              <w:spacing w:after="0"/>
              <w:rPr>
                <w:rFonts w:ascii="Arial" w:cs="Arial" w:eastAsia="Arial" w:hAnsi="Arial"/>
                <w:sz w:val="18"/>
                <w:szCs w:val="18"/>
                <w:color w:val="0000FF"/>
                <w:w w:val="92"/>
              </w:rPr>
            </w:pPr>
            <w:hyperlink r:id="rId206">
              <w:r>
                <w:rPr>
                  <w:rFonts w:ascii="Arial" w:cs="Arial" w:eastAsia="Arial" w:hAnsi="Arial"/>
                  <w:sz w:val="18"/>
                  <w:szCs w:val="18"/>
                  <w:color w:val="0000FF"/>
                  <w:w w:val="92"/>
                </w:rPr>
                <w:t>Third Amendment, effective July 28, 2021, to the Connecticut Water Company Deferred Compensation Plan, dated January 1, 2017.</w:t>
              </w:r>
            </w:hyperlink>
          </w:p>
        </w:tc>
      </w:tr>
      <w:tr>
        <w:trPr>
          <w:trHeight w:val="169"/>
        </w:trPr>
        <w:tc>
          <w:tcPr>
            <w:tcW w:w="1500" w:type="dxa"/>
            <w:vAlign w:val="bottom"/>
          </w:tcPr>
          <w:p>
            <w:pPr>
              <w:spacing w:after="0"/>
              <w:rPr>
                <w:sz w:val="14"/>
                <w:szCs w:val="14"/>
                <w:color w:val="auto"/>
              </w:rPr>
            </w:pPr>
          </w:p>
        </w:tc>
        <w:tc>
          <w:tcPr>
            <w:tcW w:w="95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206">
              <w:r>
                <w:rPr>
                  <w:rFonts w:ascii="Arial" w:cs="Arial" w:eastAsia="Arial" w:hAnsi="Arial"/>
                  <w:sz w:val="18"/>
                  <w:szCs w:val="18"/>
                  <w:color w:val="0000FF"/>
                </w:rPr>
                <w:t>Incorporated by reference as Exhibit 10.2 to Form 10-Q for the quarter ended June 30, 202</w:t>
              </w:r>
              <w:r>
                <w:rPr>
                  <w:rFonts w:ascii="Arial" w:cs="Arial" w:eastAsia="Arial" w:hAnsi="Arial"/>
                  <w:sz w:val="18"/>
                  <w:szCs w:val="18"/>
                  <w:color w:val="000000"/>
                </w:rPr>
                <w:t>1. (2)</w:t>
              </w:r>
            </w:hyperlink>
          </w:p>
        </w:tc>
        <w:tc>
          <w:tcPr>
            <w:tcW w:w="60" w:type="dxa"/>
            <w:vAlign w:val="bottom"/>
            <w:gridSpan w:val="2"/>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160" w:type="dxa"/>
            <w:vAlign w:val="bottom"/>
            <w:gridSpan w:val="5"/>
            <w:shd w:val="clear" w:color="auto" w:fill="0000FF"/>
          </w:tcPr>
          <w:p>
            <w:pPr>
              <w:spacing w:after="0" w:line="20" w:lineRule="exact"/>
              <w:rPr>
                <w:sz w:val="1"/>
                <w:szCs w:val="1"/>
                <w:color w:val="auto"/>
              </w:rPr>
            </w:pPr>
          </w:p>
        </w:tc>
        <w:tc>
          <w:tcPr>
            <w:tcW w:w="28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10.87</w:t>
            </w:r>
          </w:p>
        </w:tc>
        <w:tc>
          <w:tcPr>
            <w:tcW w:w="9760" w:type="dxa"/>
            <w:vAlign w:val="bottom"/>
            <w:gridSpan w:val="31"/>
          </w:tcPr>
          <w:p>
            <w:pPr>
              <w:spacing w:after="0"/>
              <w:rPr>
                <w:rFonts w:ascii="Arial" w:cs="Arial" w:eastAsia="Arial" w:hAnsi="Arial"/>
                <w:sz w:val="18"/>
                <w:szCs w:val="18"/>
                <w:color w:val="0000FF"/>
                <w:w w:val="90"/>
              </w:rPr>
            </w:pPr>
            <w:hyperlink r:id="rId207">
              <w:r>
                <w:rPr>
                  <w:rFonts w:ascii="Arial" w:cs="Arial" w:eastAsia="Arial" w:hAnsi="Arial"/>
                  <w:sz w:val="18"/>
                  <w:szCs w:val="18"/>
                  <w:color w:val="0000FF"/>
                  <w:w w:val="90"/>
                </w:rPr>
                <w:t>Amended and Restated Employment Agreement, dated October 9, 2019, among The Connecticut Water Company, Connecticut Water</w:t>
              </w:r>
            </w:hyperlink>
          </w:p>
        </w:tc>
      </w:tr>
      <w:tr>
        <w:trPr>
          <w:trHeight w:val="169"/>
        </w:trPr>
        <w:tc>
          <w:tcPr>
            <w:tcW w:w="1500" w:type="dxa"/>
            <w:vAlign w:val="bottom"/>
          </w:tcPr>
          <w:p>
            <w:pPr>
              <w:spacing w:after="0"/>
              <w:rPr>
                <w:sz w:val="14"/>
                <w:szCs w:val="14"/>
                <w:color w:val="auto"/>
              </w:rPr>
            </w:pPr>
          </w:p>
        </w:tc>
        <w:tc>
          <w:tcPr>
            <w:tcW w:w="9620" w:type="dxa"/>
            <w:vAlign w:val="bottom"/>
            <w:tcBorders>
              <w:top w:val="single" w:sz="8" w:color="0000FF"/>
            </w:tcBorders>
            <w:gridSpan w:val="24"/>
          </w:tcPr>
          <w:p>
            <w:pPr>
              <w:spacing w:after="0" w:line="169"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Service, Inc., and Maureen P. Westbrook. Incorporated by reference to Exhibit 10.93 to Form 10-K for the year ended December 31,</w:t>
              </w:r>
            </w:hyperlink>
          </w:p>
        </w:tc>
        <w:tc>
          <w:tcPr>
            <w:tcW w:w="140" w:type="dxa"/>
            <w:vAlign w:val="bottom"/>
            <w:gridSpan w:val="7"/>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140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2019</w:t>
              </w:r>
              <w:r>
                <w:rPr>
                  <w:rFonts w:ascii="Arial" w:cs="Arial" w:eastAsia="Arial" w:hAnsi="Arial"/>
                  <w:sz w:val="18"/>
                  <w:szCs w:val="18"/>
                  <w:color w:val="000000"/>
                </w:rPr>
                <w:t>. (2)</w:t>
              </w:r>
            </w:hyperlink>
          </w:p>
        </w:tc>
        <w:tc>
          <w:tcPr>
            <w:tcW w:w="38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4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Arial" w:cs="Arial" w:eastAsia="Arial" w:hAnsi="Arial"/>
                <w:sz w:val="18"/>
                <w:szCs w:val="18"/>
                <w:color w:val="auto"/>
                <w:w w:val="88"/>
              </w:rPr>
              <w:t>10.88</w:t>
            </w:r>
          </w:p>
        </w:tc>
        <w:tc>
          <w:tcPr>
            <w:tcW w:w="9760" w:type="dxa"/>
            <w:vAlign w:val="bottom"/>
            <w:gridSpan w:val="31"/>
          </w:tcPr>
          <w:p>
            <w:pPr>
              <w:spacing w:after="0"/>
              <w:rPr>
                <w:rFonts w:ascii="Arial" w:cs="Arial" w:eastAsia="Arial" w:hAnsi="Arial"/>
                <w:sz w:val="18"/>
                <w:szCs w:val="18"/>
                <w:color w:val="0000FF"/>
                <w:w w:val="93"/>
              </w:rPr>
            </w:pPr>
            <w:hyperlink r:id="rId208">
              <w:r>
                <w:rPr>
                  <w:rFonts w:ascii="Arial" w:cs="Arial" w:eastAsia="Arial" w:hAnsi="Arial"/>
                  <w:sz w:val="18"/>
                  <w:szCs w:val="18"/>
                  <w:color w:val="0000FF"/>
                  <w:w w:val="93"/>
                </w:rPr>
                <w:t>Amended and Restated Employment Agreement, dated December 30, 2008, among The Connecticut Water Company, Connecticut</w:t>
              </w:r>
            </w:hyperlink>
          </w:p>
        </w:tc>
      </w:tr>
      <w:tr>
        <w:trPr>
          <w:trHeight w:val="156"/>
        </w:trPr>
        <w:tc>
          <w:tcPr>
            <w:tcW w:w="150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r:id="rId208">
              <w:r>
                <w:rPr>
                  <w:rFonts w:ascii="Arial" w:cs="Arial" w:eastAsia="Arial" w:hAnsi="Arial"/>
                  <w:sz w:val="18"/>
                  <w:szCs w:val="18"/>
                  <w:color w:val="0000FF"/>
                  <w:w w:val="89"/>
                </w:rPr>
                <w:t>Water Service, Inc., and Kristen A. Johnson. Incorporated by reference to Exhibit 10.94 to Form 10-K for the year ended December</w:t>
              </w:r>
            </w:hyperlink>
          </w:p>
        </w:tc>
        <w:tc>
          <w:tcPr>
            <w:tcW w:w="80" w:type="dxa"/>
            <w:vAlign w:val="bottom"/>
            <w:tcBorders>
              <w:bottom w:val="single" w:sz="8" w:color="0000FF"/>
            </w:tcBorders>
            <w:gridSpan w:val="4"/>
          </w:tcPr>
          <w:p>
            <w:pPr>
              <w:spacing w:after="0"/>
              <w:rPr>
                <w:sz w:val="13"/>
                <w:szCs w:val="13"/>
                <w:color w:val="auto"/>
              </w:rPr>
            </w:pPr>
          </w:p>
        </w:tc>
        <w:tc>
          <w:tcPr>
            <w:tcW w:w="280" w:type="dxa"/>
            <w:vAlign w:val="bottom"/>
            <w:gridSpan w:val="12"/>
          </w:tcPr>
          <w:p>
            <w:pPr>
              <w:spacing w:after="0"/>
              <w:rPr>
                <w:sz w:val="13"/>
                <w:szCs w:val="13"/>
                <w:color w:val="auto"/>
              </w:rPr>
            </w:pPr>
          </w:p>
        </w:tc>
      </w:tr>
      <w:tr>
        <w:trPr>
          <w:trHeight w:val="155"/>
        </w:trPr>
        <w:tc>
          <w:tcPr>
            <w:tcW w:w="1500" w:type="dxa"/>
            <w:vAlign w:val="bottom"/>
          </w:tcPr>
          <w:p>
            <w:pPr>
              <w:spacing w:after="0"/>
              <w:rPr>
                <w:sz w:val="13"/>
                <w:szCs w:val="13"/>
                <w:color w:val="auto"/>
              </w:rPr>
            </w:pPr>
          </w:p>
        </w:tc>
        <w:tc>
          <w:tcPr>
            <w:tcW w:w="1400" w:type="dxa"/>
            <w:vAlign w:val="bottom"/>
            <w:gridSpan w:val="3"/>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31, 2019</w:t>
              </w:r>
              <w:r>
                <w:rPr>
                  <w:rFonts w:ascii="Arial" w:cs="Arial" w:eastAsia="Arial" w:hAnsi="Arial"/>
                  <w:sz w:val="18"/>
                  <w:szCs w:val="18"/>
                  <w:color w:val="000000"/>
                </w:rPr>
                <w:t>. (2)</w:t>
              </w:r>
            </w:hyperlink>
          </w:p>
        </w:tc>
        <w:tc>
          <w:tcPr>
            <w:tcW w:w="3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10.89</w:t>
            </w:r>
          </w:p>
        </w:tc>
        <w:tc>
          <w:tcPr>
            <w:tcW w:w="9660" w:type="dxa"/>
            <w:vAlign w:val="bottom"/>
            <w:gridSpan w:val="20"/>
          </w:tcPr>
          <w:p>
            <w:pPr>
              <w:spacing w:after="0"/>
              <w:rPr>
                <w:rFonts w:ascii="Arial" w:cs="Arial" w:eastAsia="Arial" w:hAnsi="Arial"/>
                <w:sz w:val="18"/>
                <w:szCs w:val="18"/>
                <w:color w:val="0000FF"/>
                <w:w w:val="90"/>
              </w:rPr>
            </w:pPr>
            <w:hyperlink r:id="rId210">
              <w:r>
                <w:rPr>
                  <w:rFonts w:ascii="Arial" w:cs="Arial" w:eastAsia="Arial" w:hAnsi="Arial"/>
                  <w:sz w:val="18"/>
                  <w:szCs w:val="18"/>
                  <w:color w:val="0000FF"/>
                  <w:w w:val="90"/>
                </w:rPr>
                <w:t>First Amendment to Amended and Restated Employment Agreement, dated March 8, 2013, among The Connecticut Water Company,</w:t>
              </w:r>
            </w:hyperlink>
          </w:p>
        </w:tc>
      </w:tr>
      <w:tr>
        <w:trPr>
          <w:trHeight w:val="156"/>
        </w:trPr>
        <w:tc>
          <w:tcPr>
            <w:tcW w:w="1500" w:type="dxa"/>
            <w:vAlign w:val="bottom"/>
          </w:tcPr>
          <w:p>
            <w:pPr>
              <w:spacing w:after="0"/>
              <w:rPr>
                <w:sz w:val="13"/>
                <w:szCs w:val="13"/>
                <w:color w:val="auto"/>
              </w:rPr>
            </w:pPr>
          </w:p>
        </w:tc>
        <w:tc>
          <w:tcPr>
            <w:tcW w:w="962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210">
              <w:r>
                <w:rPr>
                  <w:rFonts w:ascii="Arial" w:cs="Arial" w:eastAsia="Arial" w:hAnsi="Arial"/>
                  <w:sz w:val="18"/>
                  <w:szCs w:val="18"/>
                  <w:color w:val="0000FF"/>
                  <w:w w:val="93"/>
                </w:rPr>
                <w:t>Connecticut Water Service, Inc. and Kristen A. Johnson. Incorporated by reference to Exhibit 10.17 to Connecticut Water Service,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500" w:type="dxa"/>
            <w:vAlign w:val="bottom"/>
          </w:tcPr>
          <w:p>
            <w:pPr>
              <w:spacing w:after="0"/>
              <w:rPr>
                <w:sz w:val="13"/>
                <w:szCs w:val="13"/>
                <w:color w:val="auto"/>
              </w:rPr>
            </w:pPr>
          </w:p>
        </w:tc>
        <w:tc>
          <w:tcPr>
            <w:tcW w:w="93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Inc.’s Form 10-K for the year ended December 31, 2012</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10.90</w:t>
            </w:r>
          </w:p>
        </w:tc>
        <w:tc>
          <w:tcPr>
            <w:tcW w:w="9400" w:type="dxa"/>
            <w:vAlign w:val="bottom"/>
            <w:tcBorders>
              <w:bottom w:val="single" w:sz="8" w:color="0000FF"/>
            </w:tcBorders>
            <w:gridSpan w:val="13"/>
          </w:tcPr>
          <w:p>
            <w:pPr>
              <w:spacing w:after="0"/>
              <w:rPr>
                <w:rFonts w:ascii="Arial" w:cs="Arial" w:eastAsia="Arial" w:hAnsi="Arial"/>
                <w:sz w:val="18"/>
                <w:szCs w:val="18"/>
                <w:color w:val="0000FF"/>
                <w:w w:val="91"/>
              </w:rPr>
            </w:pPr>
            <w:hyperlink r:id="rId211">
              <w:r>
                <w:rPr>
                  <w:rFonts w:ascii="Arial" w:cs="Arial" w:eastAsia="Arial" w:hAnsi="Arial"/>
                  <w:sz w:val="18"/>
                  <w:szCs w:val="18"/>
                  <w:color w:val="0000FF"/>
                  <w:w w:val="91"/>
                </w:rPr>
                <w:t>Form of Second Amendment to Employment Agreement, dated April 2014, among The Connecticut Water Company, Connecticut</w:t>
              </w:r>
            </w:hyperlink>
          </w:p>
        </w:tc>
        <w:tc>
          <w:tcPr>
            <w:tcW w:w="260" w:type="dxa"/>
            <w:vAlign w:val="bottom"/>
            <w:gridSpan w:val="7"/>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9660" w:type="dxa"/>
            <w:vAlign w:val="bottom"/>
            <w:gridSpan w:val="20"/>
          </w:tcPr>
          <w:p>
            <w:pPr>
              <w:spacing w:after="0" w:line="156" w:lineRule="exact"/>
              <w:rPr>
                <w:rFonts w:ascii="Arial" w:cs="Arial" w:eastAsia="Arial" w:hAnsi="Arial"/>
                <w:sz w:val="18"/>
                <w:szCs w:val="18"/>
                <w:color w:val="0000FF"/>
                <w:w w:val="91"/>
              </w:rPr>
            </w:pPr>
            <w:hyperlink r:id="rId211">
              <w:r>
                <w:rPr>
                  <w:rFonts w:ascii="Arial" w:cs="Arial" w:eastAsia="Arial" w:hAnsi="Arial"/>
                  <w:sz w:val="18"/>
                  <w:szCs w:val="18"/>
                  <w:color w:val="0000FF"/>
                  <w:w w:val="91"/>
                </w:rPr>
                <w:t>Water Service, Inc. and Kristen A. Johnson. Incorporated by reference to Exhibit 10.2 to Connecticut Water Service, Inc.'s Form 8-K</w:t>
              </w:r>
            </w:hyperlink>
          </w:p>
        </w:tc>
      </w:tr>
      <w:tr>
        <w:trPr>
          <w:trHeight w:val="156"/>
        </w:trPr>
        <w:tc>
          <w:tcPr>
            <w:tcW w:w="150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filed on April 3, 2014</w:t>
              </w:r>
              <w:r>
                <w:rPr>
                  <w:rFonts w:ascii="Arial" w:cs="Arial" w:eastAsia="Arial" w:hAnsi="Arial"/>
                  <w:sz w:val="18"/>
                  <w:szCs w:val="18"/>
                  <w:color w:val="000000"/>
                </w:rPr>
                <w:t>. (2)</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10.91</w:t>
            </w:r>
          </w:p>
        </w:tc>
        <w:tc>
          <w:tcPr>
            <w:tcW w:w="9660" w:type="dxa"/>
            <w:vAlign w:val="bottom"/>
            <w:gridSpan w:val="20"/>
          </w:tcPr>
          <w:p>
            <w:pPr>
              <w:spacing w:after="0"/>
              <w:rPr>
                <w:rFonts w:ascii="Arial" w:cs="Arial" w:eastAsia="Arial" w:hAnsi="Arial"/>
                <w:sz w:val="18"/>
                <w:szCs w:val="18"/>
                <w:color w:val="0000FF"/>
                <w:w w:val="90"/>
              </w:rPr>
            </w:pPr>
            <w:hyperlink r:id="rId212">
              <w:r>
                <w:rPr>
                  <w:rFonts w:ascii="Arial" w:cs="Arial" w:eastAsia="Arial" w:hAnsi="Arial"/>
                  <w:sz w:val="18"/>
                  <w:szCs w:val="18"/>
                  <w:color w:val="0000FF"/>
                  <w:w w:val="90"/>
                </w:rPr>
                <w:t>Third Amendment to the Amended and Restated Employment Agreement, effective as of November 1, 2019, among The Connecticut</w:t>
              </w:r>
            </w:hyperlink>
          </w:p>
        </w:tc>
      </w:tr>
      <w:tr>
        <w:trPr>
          <w:trHeight w:val="169"/>
        </w:trPr>
        <w:tc>
          <w:tcPr>
            <w:tcW w:w="1500" w:type="dxa"/>
            <w:vAlign w:val="bottom"/>
          </w:tcPr>
          <w:p>
            <w:pPr>
              <w:spacing w:after="0"/>
              <w:rPr>
                <w:sz w:val="14"/>
                <w:szCs w:val="14"/>
                <w:color w:val="auto"/>
              </w:rPr>
            </w:pPr>
          </w:p>
        </w:tc>
        <w:tc>
          <w:tcPr>
            <w:tcW w:w="9640" w:type="dxa"/>
            <w:vAlign w:val="bottom"/>
            <w:tcBorders>
              <w:top w:val="single" w:sz="8" w:color="0000FF"/>
            </w:tcBorders>
            <w:gridSpan w:val="19"/>
          </w:tcPr>
          <w:p>
            <w:pPr>
              <w:spacing w:after="0" w:line="169" w:lineRule="exact"/>
              <w:rPr>
                <w:rFonts w:ascii="Arial" w:cs="Arial" w:eastAsia="Arial" w:hAnsi="Arial"/>
                <w:sz w:val="18"/>
                <w:szCs w:val="18"/>
                <w:color w:val="0000FF"/>
                <w:w w:val="92"/>
              </w:rPr>
            </w:pPr>
            <w:hyperlink r:id="rId212">
              <w:r>
                <w:rPr>
                  <w:rFonts w:ascii="Arial" w:cs="Arial" w:eastAsia="Arial" w:hAnsi="Arial"/>
                  <w:sz w:val="18"/>
                  <w:szCs w:val="18"/>
                  <w:color w:val="0000FF"/>
                  <w:w w:val="92"/>
                </w:rPr>
                <w:t>Water Company, Connecticut Water Service, Inc. and Kristen A. Johnson. Incorporated by reference to Exhibit 10.97 to Form 10-K</w:t>
              </w:r>
            </w:hyperlink>
          </w:p>
        </w:tc>
        <w:tc>
          <w:tcPr>
            <w:tcW w:w="20" w:type="dxa"/>
            <w:vAlign w:val="bottom"/>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946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for the year ended December 31, 2019</w:t>
              </w:r>
              <w:r>
                <w:rPr>
                  <w:rFonts w:ascii="Arial" w:cs="Arial" w:eastAsia="Arial" w:hAnsi="Arial"/>
                  <w:sz w:val="18"/>
                  <w:szCs w:val="18"/>
                  <w:color w:val="000000"/>
                </w:rPr>
                <w:t>. (2)</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10.92</w:t>
            </w:r>
          </w:p>
        </w:tc>
        <w:tc>
          <w:tcPr>
            <w:tcW w:w="9660" w:type="dxa"/>
            <w:vAlign w:val="bottom"/>
            <w:gridSpan w:val="20"/>
          </w:tcPr>
          <w:p>
            <w:pPr>
              <w:spacing w:after="0"/>
              <w:rPr>
                <w:rFonts w:ascii="Arial" w:cs="Arial" w:eastAsia="Arial" w:hAnsi="Arial"/>
                <w:sz w:val="18"/>
                <w:szCs w:val="18"/>
                <w:color w:val="0000FF"/>
                <w:w w:val="90"/>
              </w:rPr>
            </w:pPr>
            <w:hyperlink w:anchor="page102">
              <w:r>
                <w:rPr>
                  <w:rFonts w:ascii="Arial" w:cs="Arial" w:eastAsia="Arial" w:hAnsi="Arial"/>
                  <w:sz w:val="18"/>
                  <w:szCs w:val="18"/>
                  <w:color w:val="0000FF"/>
                  <w:w w:val="90"/>
                </w:rPr>
                <w:t>SJW Group Amended and Restated Director Compensation and Expense Reimbursement Policies effective as of January, 1 2022</w:t>
              </w:r>
            </w:hyperlink>
            <w:r>
              <w:rPr>
                <w:rFonts w:ascii="Arial" w:cs="Arial" w:eastAsia="Arial" w:hAnsi="Arial"/>
                <w:sz w:val="18"/>
                <w:szCs w:val="18"/>
                <w:color w:val="000000"/>
                <w:w w:val="90"/>
              </w:rPr>
              <w:t>.</w:t>
            </w:r>
            <w:r>
              <w:rPr>
                <w:rFonts w:ascii="Arial" w:cs="Arial" w:eastAsia="Arial" w:hAnsi="Arial"/>
                <w:sz w:val="18"/>
                <w:szCs w:val="18"/>
                <w:color w:val="0000FF"/>
                <w:w w:val="90"/>
              </w:rPr>
              <w:t xml:space="preserve"> </w:t>
            </w:r>
            <w:r>
              <w:rPr>
                <w:rFonts w:ascii="Arial" w:cs="Arial" w:eastAsia="Arial" w:hAnsi="Arial"/>
                <w:sz w:val="18"/>
                <w:szCs w:val="18"/>
                <w:color w:val="000000"/>
                <w:w w:val="90"/>
              </w:rPr>
              <w:t>(1)</w:t>
            </w:r>
          </w:p>
        </w:tc>
      </w:tr>
      <w:tr>
        <w:trPr>
          <w:trHeight w:val="224"/>
        </w:trPr>
        <w:tc>
          <w:tcPr>
            <w:tcW w:w="1500" w:type="dxa"/>
            <w:vAlign w:val="bottom"/>
          </w:tcPr>
          <w:p>
            <w:pPr>
              <w:spacing w:after="0"/>
              <w:rPr>
                <w:sz w:val="19"/>
                <w:szCs w:val="19"/>
                <w:color w:val="auto"/>
              </w:rPr>
            </w:pPr>
          </w:p>
        </w:tc>
        <w:tc>
          <w:tcPr>
            <w:tcW w:w="15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960" w:type="dxa"/>
            <w:vAlign w:val="bottom"/>
            <w:tcBorders>
              <w:top w:val="single" w:sz="8" w:color="0000FF"/>
            </w:tcBorders>
          </w:tcPr>
          <w:p>
            <w:pPr>
              <w:spacing w:after="0"/>
              <w:rPr>
                <w:sz w:val="19"/>
                <w:szCs w:val="19"/>
                <w:color w:val="auto"/>
              </w:rPr>
            </w:pPr>
          </w:p>
        </w:tc>
        <w:tc>
          <w:tcPr>
            <w:tcW w:w="2580" w:type="dxa"/>
            <w:vAlign w:val="bottom"/>
            <w:tcBorders>
              <w:top w:val="single" w:sz="8" w:color="0000FF"/>
            </w:tcBorders>
          </w:tcPr>
          <w:p>
            <w:pPr>
              <w:spacing w:after="0"/>
              <w:rPr>
                <w:sz w:val="19"/>
                <w:szCs w:val="19"/>
                <w:color w:val="auto"/>
              </w:rPr>
            </w:pPr>
          </w:p>
        </w:tc>
        <w:tc>
          <w:tcPr>
            <w:tcW w:w="25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10.93</w:t>
            </w:r>
          </w:p>
        </w:tc>
        <w:tc>
          <w:tcPr>
            <w:tcW w:w="9660" w:type="dxa"/>
            <w:vAlign w:val="bottom"/>
            <w:gridSpan w:val="20"/>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Amended and Restated Formulaic Equity Award Program for Non-Employee Board Members effective as of October 28, 2021</w:t>
              </w:r>
            </w:hyperlink>
            <w:r>
              <w:rPr>
                <w:rFonts w:ascii="Arial" w:cs="Arial" w:eastAsia="Arial" w:hAnsi="Arial"/>
                <w:sz w:val="18"/>
                <w:szCs w:val="18"/>
                <w:color w:val="000000"/>
                <w:w w:val="91"/>
              </w:rPr>
              <w:t>.</w:t>
            </w:r>
            <w:r>
              <w:rPr>
                <w:rFonts w:ascii="Arial" w:cs="Arial" w:eastAsia="Arial" w:hAnsi="Arial"/>
                <w:sz w:val="18"/>
                <w:szCs w:val="18"/>
                <w:color w:val="0000FF"/>
                <w:w w:val="91"/>
              </w:rPr>
              <w:t xml:space="preserve"> </w:t>
            </w:r>
            <w:r>
              <w:rPr>
                <w:rFonts w:ascii="Arial" w:cs="Arial" w:eastAsia="Arial" w:hAnsi="Arial"/>
                <w:sz w:val="18"/>
                <w:szCs w:val="18"/>
                <w:color w:val="000000"/>
                <w:w w:val="91"/>
              </w:rPr>
              <w:t>(1)(2)</w:t>
            </w:r>
          </w:p>
        </w:tc>
      </w:tr>
      <w:tr>
        <w:trPr>
          <w:trHeight w:val="20"/>
        </w:trPr>
        <w:tc>
          <w:tcPr>
            <w:tcW w:w="15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25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16.1</w:t>
            </w:r>
          </w:p>
        </w:tc>
        <w:tc>
          <w:tcPr>
            <w:tcW w:w="9660" w:type="dxa"/>
            <w:vAlign w:val="bottom"/>
            <w:gridSpan w:val="20"/>
          </w:tcPr>
          <w:p>
            <w:pPr>
              <w:spacing w:after="0"/>
              <w:rPr>
                <w:rFonts w:ascii="Arial" w:cs="Arial" w:eastAsia="Arial" w:hAnsi="Arial"/>
                <w:sz w:val="18"/>
                <w:szCs w:val="18"/>
                <w:color w:val="0000FF"/>
                <w:w w:val="93"/>
              </w:rPr>
            </w:pPr>
            <w:hyperlink r:id="rId213">
              <w:r>
                <w:rPr>
                  <w:rFonts w:ascii="Arial" w:cs="Arial" w:eastAsia="Arial" w:hAnsi="Arial"/>
                  <w:sz w:val="18"/>
                  <w:szCs w:val="18"/>
                  <w:color w:val="0000FF"/>
                  <w:w w:val="93"/>
                </w:rPr>
                <w:t>Letter from KPMG LLP to the Securities and Exchange Commission, dated August 14, 2020. Incorporated by reference to Exhibit</w:t>
              </w:r>
            </w:hyperlink>
          </w:p>
        </w:tc>
      </w:tr>
      <w:tr>
        <w:trPr>
          <w:trHeight w:val="169"/>
        </w:trPr>
        <w:tc>
          <w:tcPr>
            <w:tcW w:w="1500" w:type="dxa"/>
            <w:vAlign w:val="bottom"/>
          </w:tcPr>
          <w:p>
            <w:pPr>
              <w:spacing w:after="0"/>
              <w:rPr>
                <w:sz w:val="14"/>
                <w:szCs w:val="14"/>
                <w:color w:val="auto"/>
              </w:rPr>
            </w:pPr>
          </w:p>
        </w:tc>
        <w:tc>
          <w:tcPr>
            <w:tcW w:w="94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213">
              <w:r>
                <w:rPr>
                  <w:rFonts w:ascii="Arial" w:cs="Arial" w:eastAsia="Arial" w:hAnsi="Arial"/>
                  <w:sz w:val="18"/>
                  <w:szCs w:val="18"/>
                  <w:color w:val="0000FF"/>
                </w:rPr>
                <w:t>16.</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filed on August 17, 2020</w:t>
              </w:r>
              <w:r>
                <w:rPr>
                  <w:rFonts w:ascii="Arial" w:cs="Arial" w:eastAsia="Arial" w:hAnsi="Arial"/>
                  <w:sz w:val="18"/>
                  <w:szCs w:val="18"/>
                  <w:color w:val="000000"/>
                </w:rPr>
                <w:t>.</w:t>
              </w:r>
            </w:hyperlink>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21.1</w:t>
            </w:r>
          </w:p>
        </w:tc>
        <w:tc>
          <w:tcPr>
            <w:tcW w:w="3080" w:type="dxa"/>
            <w:vAlign w:val="bottom"/>
            <w:tcBorders>
              <w:top w:val="single" w:sz="8" w:color="0000FF"/>
            </w:tcBorders>
            <w:gridSpan w:val="7"/>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 xml:space="preserve">Subsidiaries of SJW Group. </w:t>
              </w:r>
            </w:hyperlink>
            <w:r>
              <w:rPr>
                <w:rFonts w:ascii="Arial" w:cs="Arial" w:eastAsia="Arial" w:hAnsi="Arial"/>
                <w:sz w:val="18"/>
                <w:szCs w:val="18"/>
                <w:color w:val="000000"/>
              </w:rPr>
              <w:t>(1)</w:t>
            </w:r>
          </w:p>
        </w:tc>
        <w:tc>
          <w:tcPr>
            <w:tcW w:w="6580" w:type="dxa"/>
            <w:vAlign w:val="bottom"/>
            <w:gridSpan w:val="13"/>
          </w:tcPr>
          <w:p>
            <w:pPr>
              <w:spacing w:after="0"/>
              <w:rPr>
                <w:sz w:val="24"/>
                <w:szCs w:val="24"/>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23.1</w:t>
            </w:r>
          </w:p>
        </w:tc>
        <w:tc>
          <w:tcPr>
            <w:tcW w:w="2000" w:type="dxa"/>
            <w:vAlign w:val="bottom"/>
            <w:tcBorders>
              <w:top w:val="single" w:sz="8" w:color="0000FF"/>
            </w:tcBorders>
            <w:gridSpan w:val="3"/>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 xml:space="preserve">Consent of KPMG LLP. </w:t>
              </w:r>
            </w:hyperlink>
            <w:r>
              <w:rPr>
                <w:rFonts w:ascii="Arial" w:cs="Arial" w:eastAsia="Arial" w:hAnsi="Arial"/>
                <w:sz w:val="18"/>
                <w:szCs w:val="18"/>
                <w:color w:val="000000"/>
                <w:w w:val="92"/>
              </w:rPr>
              <w:t>(1)</w:t>
            </w:r>
          </w:p>
        </w:tc>
        <w:tc>
          <w:tcPr>
            <w:tcW w:w="7660" w:type="dxa"/>
            <w:vAlign w:val="bottom"/>
            <w:gridSpan w:val="17"/>
          </w:tcPr>
          <w:p>
            <w:pPr>
              <w:spacing w:after="0"/>
              <w:rPr>
                <w:sz w:val="24"/>
                <w:szCs w:val="24"/>
                <w:color w:val="auto"/>
              </w:rPr>
            </w:pPr>
          </w:p>
        </w:tc>
      </w:tr>
      <w:tr>
        <w:trPr>
          <w:trHeight w:val="20"/>
        </w:trPr>
        <w:tc>
          <w:tcPr>
            <w:tcW w:w="15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23.2</w:t>
            </w:r>
          </w:p>
        </w:tc>
        <w:tc>
          <w:tcPr>
            <w:tcW w:w="9660" w:type="dxa"/>
            <w:vAlign w:val="bottom"/>
            <w:gridSpan w:val="20"/>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 xml:space="preserve">Consent of Deloitte &amp; Touche LLP. </w:t>
              </w:r>
            </w:hyperlink>
            <w:r>
              <w:rPr>
                <w:rFonts w:ascii="Arial" w:cs="Arial" w:eastAsia="Arial" w:hAnsi="Arial"/>
                <w:sz w:val="18"/>
                <w:szCs w:val="18"/>
                <w:color w:val="000000"/>
              </w:rPr>
              <w:t>(1)</w:t>
            </w:r>
          </w:p>
        </w:tc>
      </w:tr>
      <w:tr>
        <w:trPr>
          <w:trHeight w:val="20"/>
        </w:trPr>
        <w:tc>
          <w:tcPr>
            <w:tcW w:w="150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9660" w:type="dxa"/>
            <w:vAlign w:val="bottom"/>
            <w:gridSpan w:val="20"/>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Pursuant to Rule 13a-14(a)/15d-14(a) by President and Chief Executive Officer</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w:t>
            </w:r>
          </w:p>
        </w:tc>
      </w:tr>
      <w:tr>
        <w:trPr>
          <w:trHeight w:val="20"/>
        </w:trPr>
        <w:tc>
          <w:tcPr>
            <w:tcW w:w="150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580" w:type="dxa"/>
            <w:vAlign w:val="bottom"/>
            <w:tcBorders>
              <w:left w:val="single" w:sz="8" w:color="0000FF"/>
            </w:tcBorders>
            <w:gridSpan w:val="5"/>
            <w:shd w:val="clear" w:color="auto" w:fill="0000FF"/>
          </w:tcPr>
          <w:p>
            <w:pPr>
              <w:spacing w:after="0" w:line="20" w:lineRule="exact"/>
              <w:rPr>
                <w:sz w:val="1"/>
                <w:szCs w:val="1"/>
                <w:color w:val="auto"/>
              </w:rPr>
            </w:pPr>
          </w:p>
        </w:tc>
        <w:tc>
          <w:tcPr>
            <w:tcW w:w="2920" w:type="dxa"/>
            <w:vAlign w:val="bottom"/>
            <w:tcBorders>
              <w:left w:val="single" w:sz="8" w:color="0000FF"/>
            </w:tcBorders>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9660" w:type="dxa"/>
            <w:vAlign w:val="bottom"/>
            <w:gridSpan w:val="20"/>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Pursuant to Rule 13a-14(a)/15d-14(a) by Chief Financial Officer and Treasurer</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(1)</w:t>
            </w:r>
          </w:p>
        </w:tc>
      </w:tr>
      <w:tr>
        <w:trPr>
          <w:trHeight w:val="20"/>
        </w:trPr>
        <w:tc>
          <w:tcPr>
            <w:tcW w:w="150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580" w:type="dxa"/>
            <w:vAlign w:val="bottom"/>
            <w:tcBorders>
              <w:left w:val="single" w:sz="8" w:color="0000FF"/>
            </w:tcBorders>
            <w:gridSpan w:val="5"/>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9660" w:type="dxa"/>
            <w:vAlign w:val="bottom"/>
            <w:gridSpan w:val="20"/>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Certification Pursuant to 18 U.S.C. Section 1350 by President and Chief Executive Officer, as adopted pursuant to Section 906 of the</w:t>
              </w:r>
            </w:hyperlink>
          </w:p>
        </w:tc>
      </w:tr>
      <w:tr>
        <w:trPr>
          <w:trHeight w:val="169"/>
        </w:trPr>
        <w:tc>
          <w:tcPr>
            <w:tcW w:w="1500" w:type="dxa"/>
            <w:vAlign w:val="bottom"/>
          </w:tcPr>
          <w:p>
            <w:pPr>
              <w:spacing w:after="0"/>
              <w:rPr>
                <w:sz w:val="14"/>
                <w:szCs w:val="14"/>
                <w:color w:val="auto"/>
              </w:rPr>
            </w:pPr>
          </w:p>
        </w:tc>
        <w:tc>
          <w:tcPr>
            <w:tcW w:w="95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112">
              <w:r>
                <w:rPr>
                  <w:rFonts w:ascii="Arial" w:cs="Arial" w:eastAsia="Arial" w:hAnsi="Arial"/>
                  <w:sz w:val="18"/>
                  <w:szCs w:val="18"/>
                  <w:color w:val="0000FF"/>
                </w:rPr>
                <w:t>Sarbanes-Oxley Act of 2002</w:t>
              </w:r>
              <w:r>
                <w:rPr>
                  <w:rFonts w:ascii="Arial" w:cs="Arial" w:eastAsia="Arial" w:hAnsi="Arial"/>
                  <w:sz w:val="18"/>
                  <w:szCs w:val="18"/>
                  <w:color w:val="000000"/>
                </w:rPr>
                <w:t>. (1)</w:t>
              </w:r>
            </w:hyperlink>
          </w:p>
        </w:tc>
        <w:tc>
          <w:tcPr>
            <w:tcW w:w="8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7500" w:type="dxa"/>
            <w:vAlign w:val="bottom"/>
            <w:tcBorders>
              <w:left w:val="single" w:sz="8" w:color="0000FF"/>
            </w:tcBorders>
            <w:gridSpan w:val="11"/>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Arial" w:cs="Arial" w:eastAsia="Arial" w:hAnsi="Arial"/>
                <w:sz w:val="18"/>
                <w:szCs w:val="18"/>
                <w:color w:val="auto"/>
              </w:rPr>
              <w:t>32.2</w:t>
            </w:r>
          </w:p>
        </w:tc>
        <w:tc>
          <w:tcPr>
            <w:tcW w:w="9660" w:type="dxa"/>
            <w:vAlign w:val="bottom"/>
            <w:gridSpan w:val="20"/>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Certification Pursuant to 18 U.S.C. Section 1350 by Chief Financial Officer and Treasurer, as adopted pursuant to Section 906 of the</w:t>
              </w:r>
            </w:hyperlink>
          </w:p>
        </w:tc>
      </w:tr>
      <w:tr>
        <w:trPr>
          <w:trHeight w:val="169"/>
        </w:trPr>
        <w:tc>
          <w:tcPr>
            <w:tcW w:w="1500" w:type="dxa"/>
            <w:vAlign w:val="bottom"/>
          </w:tcPr>
          <w:p>
            <w:pPr>
              <w:spacing w:after="0"/>
              <w:rPr>
                <w:sz w:val="14"/>
                <w:szCs w:val="14"/>
                <w:color w:val="auto"/>
              </w:rPr>
            </w:pPr>
          </w:p>
        </w:tc>
        <w:tc>
          <w:tcPr>
            <w:tcW w:w="95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113">
              <w:r>
                <w:rPr>
                  <w:rFonts w:ascii="Arial" w:cs="Arial" w:eastAsia="Arial" w:hAnsi="Arial"/>
                  <w:sz w:val="18"/>
                  <w:szCs w:val="18"/>
                  <w:color w:val="0000FF"/>
                </w:rPr>
                <w:t>Sarbanes-Oxley Act of 2002</w:t>
              </w:r>
              <w:r>
                <w:rPr>
                  <w:rFonts w:ascii="Arial" w:cs="Arial" w:eastAsia="Arial" w:hAnsi="Arial"/>
                  <w:sz w:val="18"/>
                  <w:szCs w:val="18"/>
                  <w:color w:val="000000"/>
                </w:rPr>
                <w:t>. (1)</w:t>
              </w:r>
            </w:hyperlink>
          </w:p>
        </w:tc>
        <w:tc>
          <w:tcPr>
            <w:tcW w:w="120" w:type="dxa"/>
            <w:vAlign w:val="bottom"/>
            <w:gridSpan w:val="5"/>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7620" w:type="dxa"/>
            <w:vAlign w:val="bottom"/>
            <w:gridSpan w:val="16"/>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20"/>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1500" w:type="dxa"/>
            <w:vAlign w:val="bottom"/>
          </w:tcPr>
          <w:p>
            <w:pPr>
              <w:spacing w:after="0"/>
              <w:rPr>
                <w:sz w:val="20"/>
                <w:szCs w:val="20"/>
                <w:color w:val="auto"/>
              </w:rPr>
            </w:pPr>
          </w:p>
        </w:tc>
        <w:tc>
          <w:tcPr>
            <w:tcW w:w="966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r>
      <w:tr>
        <w:trPr>
          <w:trHeight w:val="377"/>
        </w:trPr>
        <w:tc>
          <w:tcPr>
            <w:tcW w:w="150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150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ind w:left="1500" w:hanging="1494"/>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71" w:lineRule="exact"/>
        <w:rPr>
          <w:rFonts w:ascii="Arial" w:cs="Arial" w:eastAsia="Arial" w:hAnsi="Arial"/>
          <w:sz w:val="18"/>
          <w:szCs w:val="18"/>
          <w:color w:val="auto"/>
        </w:rPr>
      </w:pPr>
    </w:p>
    <w:p>
      <w:pPr>
        <w:ind w:left="1500" w:hanging="252"/>
        <w:spacing w:after="0"/>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3" w:lineRule="exact"/>
        <w:rPr>
          <w:rFonts w:ascii="Arial" w:cs="Arial" w:eastAsia="Arial" w:hAnsi="Arial"/>
          <w:sz w:val="18"/>
          <w:szCs w:val="18"/>
          <w:color w:val="auto"/>
        </w:rPr>
      </w:pPr>
    </w:p>
    <w:p>
      <w:pPr>
        <w:ind w:left="1500" w:hanging="252"/>
        <w:spacing w:after="0"/>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agreement.</w:t>
      </w:r>
    </w:p>
    <w:p>
      <w:pPr>
        <w:spacing w:after="0" w:line="22" w:lineRule="exact"/>
        <w:rPr>
          <w:rFonts w:ascii="Arial" w:cs="Arial" w:eastAsia="Arial" w:hAnsi="Arial"/>
          <w:sz w:val="18"/>
          <w:szCs w:val="18"/>
          <w:color w:val="auto"/>
        </w:rPr>
      </w:pPr>
    </w:p>
    <w:p>
      <w:pPr>
        <w:ind w:left="1240" w:right="400" w:firstLine="8"/>
        <w:spacing w:after="0" w:line="234" w:lineRule="auto"/>
        <w:tabs>
          <w:tab w:leader="none" w:pos="14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Pursuant to Item 601(b)(2) of Regulation S-K, certain exhibits and schedules have been omitted. The registrant hereby agrees to furnish supplementally a copy of any omitted exhibit or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040" w:right="43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SJW Group</w:t>
      </w:r>
    </w:p>
    <w:p>
      <w:pPr>
        <w:spacing w:after="0" w:line="77" w:lineRule="exact"/>
        <w:rPr>
          <w:sz w:val="20"/>
          <w:szCs w:val="20"/>
          <w:color w:val="auto"/>
        </w:rPr>
      </w:pPr>
    </w:p>
    <w:p>
      <w:pPr>
        <w:ind w:left="200"/>
        <w:spacing w:after="0"/>
        <w:tabs>
          <w:tab w:leader="none" w:pos="6220" w:val="left"/>
          <w:tab w:leader="none" w:pos="804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086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95"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ERIC W. THORNBURG,</w:t>
      </w:r>
    </w:p>
    <w:p>
      <w:pPr>
        <w:jc w:val="center"/>
        <w:ind w:left="6400"/>
        <w:spacing w:after="0" w:line="203" w:lineRule="auto"/>
        <w:rPr>
          <w:sz w:val="20"/>
          <w:szCs w:val="20"/>
          <w:color w:val="auto"/>
        </w:rPr>
      </w:pPr>
      <w:r>
        <w:rPr>
          <w:rFonts w:ascii="Arial" w:cs="Arial" w:eastAsia="Arial" w:hAnsi="Arial"/>
          <w:sz w:val="18"/>
          <w:szCs w:val="18"/>
          <w:color w:val="auto"/>
        </w:rPr>
        <w:t>President, Chief Executive Officer and</w:t>
      </w:r>
    </w:p>
    <w:p>
      <w:pPr>
        <w:jc w:val="center"/>
        <w:ind w:left="6440"/>
        <w:spacing w:after="0" w:line="203" w:lineRule="auto"/>
        <w:rPr>
          <w:sz w:val="20"/>
          <w:szCs w:val="20"/>
          <w:color w:val="auto"/>
        </w:rPr>
      </w:pPr>
      <w:r>
        <w:rPr>
          <w:rFonts w:ascii="Arial" w:cs="Arial" w:eastAsia="Arial" w:hAnsi="Arial"/>
          <w:sz w:val="18"/>
          <w:szCs w:val="18"/>
          <w:color w:val="auto"/>
        </w:rPr>
        <w:t>Chair of the Board</w:t>
      </w:r>
    </w:p>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(Principal executive officer)</w:t>
      </w: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51" w:lineRule="exact"/>
        <w:rPr>
          <w:sz w:val="20"/>
          <w:szCs w:val="20"/>
          <w:color w:val="auto"/>
        </w:rPr>
      </w:pPr>
    </w:p>
    <w:p>
      <w:pPr>
        <w:ind w:left="200"/>
        <w:spacing w:after="0"/>
        <w:tabs>
          <w:tab w:leader="none" w:pos="6220" w:val="left"/>
          <w:tab w:leader="none" w:pos="804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086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6">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ERIC W. THORNBURG,</w:t>
      </w:r>
    </w:p>
    <w:p>
      <w:pPr>
        <w:jc w:val="center"/>
        <w:ind w:left="6400"/>
        <w:spacing w:after="0" w:line="203" w:lineRule="auto"/>
        <w:rPr>
          <w:sz w:val="20"/>
          <w:szCs w:val="20"/>
          <w:color w:val="auto"/>
        </w:rPr>
      </w:pPr>
      <w:r>
        <w:rPr>
          <w:rFonts w:ascii="Arial" w:cs="Arial" w:eastAsia="Arial" w:hAnsi="Arial"/>
          <w:sz w:val="18"/>
          <w:szCs w:val="18"/>
          <w:color w:val="auto"/>
        </w:rPr>
        <w:t>President, Chief Executive Officer and</w:t>
      </w:r>
    </w:p>
    <w:p>
      <w:pPr>
        <w:jc w:val="center"/>
        <w:ind w:left="6440"/>
        <w:spacing w:after="0" w:line="203" w:lineRule="auto"/>
        <w:rPr>
          <w:sz w:val="20"/>
          <w:szCs w:val="20"/>
          <w:color w:val="auto"/>
        </w:rPr>
      </w:pPr>
      <w:r>
        <w:rPr>
          <w:rFonts w:ascii="Arial" w:cs="Arial" w:eastAsia="Arial" w:hAnsi="Arial"/>
          <w:sz w:val="18"/>
          <w:szCs w:val="18"/>
          <w:color w:val="auto"/>
        </w:rPr>
        <w:t>Chair of the Board</w:t>
      </w:r>
    </w:p>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(Principal executive officer)</w:t>
      </w:r>
    </w:p>
    <w:p>
      <w:pPr>
        <w:spacing w:after="0" w:line="128" w:lineRule="exact"/>
        <w:rPr>
          <w:sz w:val="20"/>
          <w:szCs w:val="20"/>
          <w:color w:val="auto"/>
        </w:rPr>
      </w:pPr>
    </w:p>
    <w:p>
      <w:pPr>
        <w:ind w:left="200"/>
        <w:spacing w:after="0"/>
        <w:tabs>
          <w:tab w:leader="none" w:pos="6220" w:val="left"/>
          <w:tab w:leader="none" w:pos="804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086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ANDREW F. WALTERS,</w:t>
      </w:r>
    </w:p>
    <w:p>
      <w:pPr>
        <w:jc w:val="center"/>
        <w:ind w:left="6440"/>
        <w:spacing w:after="0" w:line="203" w:lineRule="auto"/>
        <w:rPr>
          <w:sz w:val="20"/>
          <w:szCs w:val="20"/>
          <w:color w:val="auto"/>
        </w:rPr>
      </w:pPr>
      <w:r>
        <w:rPr>
          <w:rFonts w:ascii="Arial" w:cs="Arial" w:eastAsia="Arial" w:hAnsi="Arial"/>
          <w:sz w:val="18"/>
          <w:szCs w:val="18"/>
          <w:color w:val="auto"/>
        </w:rPr>
        <w:t>Chief Financial Officer and Treasurer</w:t>
      </w:r>
    </w:p>
    <w:p>
      <w:pPr>
        <w:jc w:val="center"/>
        <w:ind w:left="6440"/>
        <w:spacing w:after="0"/>
        <w:rPr>
          <w:sz w:val="20"/>
          <w:szCs w:val="20"/>
          <w:color w:val="auto"/>
        </w:rPr>
      </w:pPr>
      <w:r>
        <w:rPr>
          <w:rFonts w:ascii="Arial" w:cs="Arial" w:eastAsia="Arial" w:hAnsi="Arial"/>
          <w:sz w:val="18"/>
          <w:szCs w:val="18"/>
          <w:color w:val="auto"/>
        </w:rPr>
        <w:t>(Principal financial officer)</w:t>
      </w:r>
    </w:p>
    <w:p>
      <w:pPr>
        <w:spacing w:after="0" w:line="88" w:lineRule="exact"/>
        <w:rPr>
          <w:sz w:val="20"/>
          <w:szCs w:val="20"/>
          <w:color w:val="auto"/>
        </w:rPr>
      </w:pPr>
    </w:p>
    <w:p>
      <w:pPr>
        <w:ind w:left="200"/>
        <w:spacing w:after="0"/>
        <w:tabs>
          <w:tab w:leader="none" w:pos="6220" w:val="left"/>
          <w:tab w:leader="none" w:pos="816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P.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14605</wp:posOffset>
            </wp:positionV>
            <wp:extent cx="30086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8">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JAMES P. LYNCH,</w:t>
      </w:r>
    </w:p>
    <w:p>
      <w:pPr>
        <w:jc w:val="center"/>
        <w:ind w:left="6440"/>
        <w:spacing w:after="0" w:line="203" w:lineRule="auto"/>
        <w:rPr>
          <w:sz w:val="20"/>
          <w:szCs w:val="20"/>
          <w:color w:val="auto"/>
        </w:rPr>
      </w:pPr>
      <w:r>
        <w:rPr>
          <w:rFonts w:ascii="Arial" w:cs="Arial" w:eastAsia="Arial" w:hAnsi="Arial"/>
          <w:sz w:val="18"/>
          <w:szCs w:val="18"/>
          <w:color w:val="auto"/>
        </w:rPr>
        <w:t>Chief Accounting Officer</w:t>
      </w:r>
    </w:p>
    <w:p>
      <w:pPr>
        <w:jc w:val="center"/>
        <w:ind w:left="6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Katharine Armstrong</w:t>
            </w:r>
          </w:p>
        </w:tc>
      </w:tr>
      <w:tr>
        <w:trPr>
          <w:trHeight w:val="182"/>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7"/>
              </w:rPr>
              <w:t>KATHARINE ARMSTRONG,</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Walter J. Bishop</w:t>
            </w:r>
          </w:p>
        </w:tc>
      </w:tr>
      <w:tr>
        <w:trPr>
          <w:trHeight w:val="169"/>
        </w:trPr>
        <w:tc>
          <w:tcPr>
            <w:tcW w:w="3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740" w:type="dxa"/>
            <w:vAlign w:val="bottom"/>
          </w:tcPr>
          <w:p>
            <w:pPr>
              <w:jc w:val="center"/>
              <w:spacing w:after="0" w:line="169" w:lineRule="exact"/>
              <w:rPr>
                <w:sz w:val="20"/>
                <w:szCs w:val="20"/>
                <w:color w:val="auto"/>
              </w:rPr>
            </w:pPr>
            <w:r>
              <w:rPr>
                <w:rFonts w:ascii="Arial" w:cs="Arial" w:eastAsia="Arial" w:hAnsi="Arial"/>
                <w:sz w:val="18"/>
                <w:szCs w:val="18"/>
                <w:color w:val="auto"/>
                <w:w w:val="91"/>
              </w:rPr>
              <w:t>WALTER J. BISHOP,</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Carl Guardino</w:t>
            </w:r>
          </w:p>
        </w:tc>
      </w:tr>
      <w:tr>
        <w:trPr>
          <w:trHeight w:val="183"/>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8"/>
              </w:rPr>
              <w:t>CARL GUARDINO,</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Mary Ann Hanley</w:t>
            </w:r>
          </w:p>
        </w:tc>
      </w:tr>
      <w:tr>
        <w:trPr>
          <w:trHeight w:val="183"/>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9"/>
              </w:rPr>
              <w:t>MARY ANN HANLEY,</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Heather Hunt</w:t>
            </w:r>
          </w:p>
        </w:tc>
      </w:tr>
      <w:tr>
        <w:trPr>
          <w:trHeight w:val="183"/>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5"/>
              </w:rPr>
              <w:t>HEATHER HUNT,</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Rebecca A. Klein</w:t>
            </w:r>
          </w:p>
        </w:tc>
      </w:tr>
      <w:tr>
        <w:trPr>
          <w:trHeight w:val="183"/>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8"/>
              </w:rPr>
              <w:t>REBECCA A. KLEIN,</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Gregory P. Landis</w:t>
            </w:r>
          </w:p>
        </w:tc>
      </w:tr>
      <w:tr>
        <w:trPr>
          <w:trHeight w:val="182"/>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4"/>
              </w:rPr>
              <w:t>GREGORY P. LANDIS,</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Daniel B. More</w:t>
            </w:r>
          </w:p>
        </w:tc>
      </w:tr>
      <w:tr>
        <w:trPr>
          <w:trHeight w:val="183"/>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7"/>
              </w:rPr>
              <w:t>DANIEL B. MORE,</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r>
        <w:trPr>
          <w:trHeight w:val="283"/>
        </w:trPr>
        <w:tc>
          <w:tcPr>
            <w:tcW w:w="3900" w:type="dxa"/>
            <w:vAlign w:val="bottom"/>
          </w:tcPr>
          <w:p>
            <w:pPr>
              <w:spacing w:after="0"/>
              <w:rPr>
                <w:sz w:val="20"/>
                <w:szCs w:val="20"/>
                <w:color w:val="auto"/>
              </w:rPr>
            </w:pPr>
            <w:r>
              <w:rPr>
                <w:rFonts w:ascii="Arial" w:cs="Arial" w:eastAsia="Arial" w:hAnsi="Arial"/>
                <w:sz w:val="18"/>
                <w:szCs w:val="18"/>
                <w:color w:val="auto"/>
              </w:rPr>
              <w:t>Date: February 25, 2022</w:t>
            </w:r>
          </w:p>
        </w:tc>
        <w:tc>
          <w:tcPr>
            <w:tcW w:w="2380" w:type="dxa"/>
            <w:vAlign w:val="bottom"/>
          </w:tcPr>
          <w:p>
            <w:pPr>
              <w:ind w:left="2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Carol P. Wallace</w:t>
            </w:r>
          </w:p>
        </w:tc>
      </w:tr>
      <w:tr>
        <w:trPr>
          <w:trHeight w:val="183"/>
        </w:trPr>
        <w:tc>
          <w:tcPr>
            <w:tcW w:w="39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740" w:type="dxa"/>
            <w:vAlign w:val="bottom"/>
          </w:tcPr>
          <w:p>
            <w:pPr>
              <w:jc w:val="center"/>
              <w:spacing w:after="0" w:line="182" w:lineRule="exact"/>
              <w:rPr>
                <w:sz w:val="20"/>
                <w:szCs w:val="20"/>
                <w:color w:val="auto"/>
              </w:rPr>
            </w:pPr>
            <w:r>
              <w:rPr>
                <w:rFonts w:ascii="Arial" w:cs="Arial" w:eastAsia="Arial" w:hAnsi="Arial"/>
                <w:sz w:val="18"/>
                <w:szCs w:val="18"/>
                <w:color w:val="auto"/>
                <w:w w:val="95"/>
              </w:rPr>
              <w:t>CAROL P. WALLACE,</w:t>
            </w:r>
          </w:p>
        </w:tc>
      </w:tr>
      <w:tr>
        <w:trPr>
          <w:trHeight w:val="230"/>
        </w:trPr>
        <w:tc>
          <w:tcPr>
            <w:tcW w:w="39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Member,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520" w:top="1151" w:right="3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760"/>
        <w:spacing w:after="0"/>
        <w:rPr>
          <w:sz w:val="20"/>
          <w:szCs w:val="20"/>
          <w:color w:val="auto"/>
        </w:rPr>
      </w:pPr>
      <w:r>
        <w:rPr>
          <w:rFonts w:ascii="Arial" w:cs="Arial" w:eastAsia="Arial" w:hAnsi="Arial"/>
          <w:sz w:val="24"/>
          <w:szCs w:val="24"/>
          <w:b w:val="1"/>
          <w:bCs w:val="1"/>
          <w:u w:val="single" w:color="auto"/>
          <w:color w:val="auto"/>
        </w:rPr>
        <w:t>SJW GROUP</w:t>
      </w:r>
    </w:p>
    <w:p>
      <w:pPr>
        <w:spacing w:after="0" w:line="219" w:lineRule="exact"/>
        <w:rPr>
          <w:sz w:val="20"/>
          <w:szCs w:val="20"/>
          <w:color w:val="auto"/>
        </w:rPr>
      </w:pPr>
    </w:p>
    <w:p>
      <w:pPr>
        <w:jc w:val="right"/>
        <w:ind w:left="4860"/>
        <w:spacing w:after="0" w:line="235" w:lineRule="auto"/>
        <w:rPr>
          <w:sz w:val="20"/>
          <w:szCs w:val="20"/>
          <w:color w:val="auto"/>
        </w:rPr>
      </w:pPr>
      <w:r>
        <w:rPr>
          <w:rFonts w:ascii="Arial" w:cs="Arial" w:eastAsia="Arial" w:hAnsi="Arial"/>
          <w:sz w:val="22"/>
          <w:szCs w:val="22"/>
          <w:b w:val="1"/>
          <w:bCs w:val="1"/>
          <w:color w:val="auto"/>
        </w:rPr>
        <w:t>AMENDED AND RESTATED DIRECTOR COMPENSATION AND EXPENSE REIMBURSEMENT POLICIES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Effective as of January 1, 2022</w:t>
      </w:r>
    </w:p>
    <w:p>
      <w:pPr>
        <w:spacing w:after="0" w:line="206"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DIRECTOR COMPENSATION.</w:t>
      </w:r>
    </w:p>
    <w:p>
      <w:pPr>
        <w:spacing w:after="0" w:line="206"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ROLE OF THE EXECUTIVE COMPENSATION COMMITTEE.</w:t>
      </w:r>
    </w:p>
    <w:p>
      <w:pPr>
        <w:spacing w:after="0" w:line="212" w:lineRule="exact"/>
        <w:rPr>
          <w:sz w:val="20"/>
          <w:szCs w:val="20"/>
          <w:color w:val="auto"/>
        </w:rPr>
      </w:pPr>
    </w:p>
    <w:p>
      <w:pPr>
        <w:ind w:right="240" w:firstLine="212"/>
        <w:spacing w:after="0" w:line="218" w:lineRule="auto"/>
        <w:rPr>
          <w:sz w:val="20"/>
          <w:szCs w:val="20"/>
          <w:color w:val="auto"/>
        </w:rPr>
      </w:pPr>
      <w:r>
        <w:rPr>
          <w:rFonts w:ascii="Arial" w:cs="Arial" w:eastAsia="Arial" w:hAnsi="Arial"/>
          <w:sz w:val="22"/>
          <w:szCs w:val="22"/>
          <w:color w:val="auto"/>
        </w:rPr>
        <w:t>The SJW Group Board, through its Executive Compensation Committee, will review, or request management or outside consultants to review, appropriate compensation policies for the directors serving on the Board and its committees. This review may consider board compensation practices of other similar public companies, contributions to Board functions, service as committee chairs, and other appropriate factors.</w:t>
      </w:r>
    </w:p>
    <w:p>
      <w:pPr>
        <w:spacing w:after="0" w:line="182" w:lineRule="exact"/>
        <w:rPr>
          <w:sz w:val="20"/>
          <w:szCs w:val="20"/>
          <w:color w:val="auto"/>
        </w:rPr>
      </w:pPr>
    </w:p>
    <w:p>
      <w:pPr>
        <w:ind w:left="480" w:hanging="472"/>
        <w:spacing w:after="0"/>
        <w:tabs>
          <w:tab w:leader="none" w:pos="48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POLICIES.</w:t>
      </w:r>
    </w:p>
    <w:p>
      <w:pPr>
        <w:spacing w:after="0" w:line="185" w:lineRule="exact"/>
        <w:rPr>
          <w:rFonts w:ascii="Arial" w:cs="Arial" w:eastAsia="Arial" w:hAnsi="Arial"/>
          <w:sz w:val="22"/>
          <w:szCs w:val="22"/>
          <w:b w:val="1"/>
          <w:bCs w:val="1"/>
          <w:color w:val="auto"/>
        </w:rPr>
      </w:pPr>
    </w:p>
    <w:p>
      <w:pPr>
        <w:ind w:left="600" w:hanging="376"/>
        <w:spacing w:after="0"/>
        <w:tabs>
          <w:tab w:leader="none" w:pos="60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Annual Retainer</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SJW Group (“SJW”) shall pay the Chairman of its Board who is not employed by SJW or any of its subsidiaries (a “Non-Employee Director”) an annual retainer of $100,000.</w:t>
      </w:r>
    </w:p>
    <w:p>
      <w:pPr>
        <w:spacing w:after="0" w:line="159" w:lineRule="exact"/>
        <w:rPr>
          <w:sz w:val="20"/>
          <w:szCs w:val="20"/>
          <w:color w:val="auto"/>
        </w:rPr>
      </w:pPr>
    </w:p>
    <w:p>
      <w:pPr>
        <w:jc w:val="both"/>
        <w:ind w:right="460" w:firstLine="648"/>
        <w:spacing w:after="0" w:line="268" w:lineRule="auto"/>
        <w:rPr>
          <w:sz w:val="20"/>
          <w:szCs w:val="20"/>
          <w:color w:val="auto"/>
        </w:rPr>
      </w:pPr>
      <w:r>
        <w:rPr>
          <w:rFonts w:ascii="Arial" w:cs="Arial" w:eastAsia="Arial" w:hAnsi="Arial"/>
          <w:sz w:val="19"/>
          <w:szCs w:val="19"/>
          <w:color w:val="auto"/>
        </w:rPr>
        <w:t>SJW shall pay each of its other Non-Employee Directors an annual retainer of $70,000. SJW shall also pay an annual retainer of $15,000 to the SJW Audit Committee Chair, $12,500 to the SJW Executive Compensation Committee Chair and $10,000 to each of the other SJW Board Committee Chairs who are each Non-Employee Directors.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SJW shall pay its Lead Independent Director an additional annual retainer of $25,000.</w:t>
      </w:r>
    </w:p>
    <w:p>
      <w:pPr>
        <w:spacing w:after="0" w:line="179" w:lineRule="exact"/>
        <w:rPr>
          <w:sz w:val="20"/>
          <w:szCs w:val="20"/>
          <w:color w:val="auto"/>
        </w:rPr>
      </w:pPr>
    </w:p>
    <w:p>
      <w:pPr>
        <w:ind w:right="100" w:firstLine="648"/>
        <w:spacing w:after="0" w:line="234" w:lineRule="auto"/>
        <w:rPr>
          <w:sz w:val="20"/>
          <w:szCs w:val="20"/>
          <w:color w:val="auto"/>
        </w:rPr>
      </w:pPr>
      <w:r>
        <w:rPr>
          <w:rFonts w:ascii="Arial" w:cs="Arial" w:eastAsia="Arial" w:hAnsi="Arial"/>
          <w:sz w:val="21"/>
          <w:szCs w:val="21"/>
          <w:color w:val="auto"/>
        </w:rPr>
        <w:t>No additional retainer shall be paid to a Non-Employee Director for serving on a subsidiary board, except that the special independent director who will serve on the board of SJWNE LLC (and will not be serving on the SJW Board) will receive an aggregate annual retainer of $50,000 for serving on such board and any other subsidiary boards.</w:t>
      </w:r>
    </w:p>
    <w:p>
      <w:pPr>
        <w:spacing w:after="0" w:line="158" w:lineRule="exact"/>
        <w:rPr>
          <w:sz w:val="20"/>
          <w:szCs w:val="20"/>
          <w:color w:val="auto"/>
        </w:rPr>
      </w:pPr>
    </w:p>
    <w:p>
      <w:pPr>
        <w:ind w:left="600" w:hanging="376"/>
        <w:spacing w:after="0"/>
        <w:tabs>
          <w:tab w:leader="none" w:pos="6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Board and Committee Meetings Held In Person</w:t>
      </w:r>
      <w:r>
        <w:rPr>
          <w:rFonts w:ascii="Arial" w:cs="Arial" w:eastAsia="Arial" w:hAnsi="Arial"/>
          <w:sz w:val="22"/>
          <w:szCs w:val="22"/>
          <w:color w:val="auto"/>
        </w:rPr>
        <w:t>.</w:t>
      </w:r>
    </w:p>
    <w:p>
      <w:pPr>
        <w:spacing w:after="0" w:line="179" w:lineRule="exact"/>
        <w:rPr>
          <w:sz w:val="20"/>
          <w:szCs w:val="20"/>
          <w:color w:val="auto"/>
        </w:rPr>
      </w:pPr>
    </w:p>
    <w:p>
      <w:pPr>
        <w:ind w:right="80" w:firstLine="648"/>
        <w:spacing w:after="0" w:line="232" w:lineRule="auto"/>
        <w:rPr>
          <w:sz w:val="20"/>
          <w:szCs w:val="20"/>
          <w:color w:val="auto"/>
        </w:rPr>
      </w:pPr>
      <w:r>
        <w:rPr>
          <w:rFonts w:ascii="Arial" w:cs="Arial" w:eastAsia="Arial" w:hAnsi="Arial"/>
          <w:sz w:val="22"/>
          <w:szCs w:val="22"/>
          <w:color w:val="auto"/>
        </w:rPr>
        <w:t>The meeting fees set forth in this section shall be paid to the Non-Employee Directors in connection with SJW Board and SJW Committee meetings held in person.</w:t>
      </w:r>
    </w:p>
    <w:p>
      <w:pPr>
        <w:spacing w:after="0" w:line="159" w:lineRule="exact"/>
        <w:rPr>
          <w:sz w:val="20"/>
          <w:szCs w:val="20"/>
          <w:color w:val="auto"/>
        </w:rPr>
      </w:pPr>
    </w:p>
    <w:p>
      <w:pPr>
        <w:ind w:right="320" w:firstLine="648"/>
        <w:spacing w:after="0" w:line="232" w:lineRule="auto"/>
        <w:rPr>
          <w:sz w:val="20"/>
          <w:szCs w:val="20"/>
          <w:color w:val="auto"/>
        </w:rPr>
      </w:pPr>
      <w:r>
        <w:rPr>
          <w:rFonts w:ascii="Arial" w:cs="Arial" w:eastAsia="Arial" w:hAnsi="Arial"/>
          <w:sz w:val="22"/>
          <w:szCs w:val="22"/>
          <w:color w:val="auto"/>
        </w:rPr>
        <w:t>All Non-Employee Directors of SJW shall be paid $1,500 for each SJW Board or SJW Committee meeting attended in person, including the SJW strategic planning meeting.</w:t>
      </w:r>
    </w:p>
    <w:p>
      <w:pPr>
        <w:spacing w:after="0" w:line="159" w:lineRule="exact"/>
        <w:rPr>
          <w:sz w:val="20"/>
          <w:szCs w:val="20"/>
          <w:color w:val="auto"/>
        </w:rPr>
      </w:pPr>
    </w:p>
    <w:p>
      <w:pPr>
        <w:ind w:right="260" w:firstLine="648"/>
        <w:spacing w:after="0" w:line="268" w:lineRule="auto"/>
        <w:rPr>
          <w:sz w:val="20"/>
          <w:szCs w:val="20"/>
          <w:color w:val="auto"/>
        </w:rPr>
      </w:pPr>
      <w:r>
        <w:rPr>
          <w:rFonts w:ascii="Arial" w:cs="Arial" w:eastAsia="Arial" w:hAnsi="Arial"/>
          <w:sz w:val="19"/>
          <w:szCs w:val="19"/>
          <w:color w:val="auto"/>
        </w:rPr>
        <w:t>In the event a Non-Employee Director attends an in-person SJW Board or SJW Committee meeting by telephone, he or she shall be entitled to receive the meeting fees set forth above in this section for the first meeting attended by telephone in a calendar year and half of such meeting fees for subsequent meetings attended by telephone in the same calendar year.</w:t>
      </w:r>
    </w:p>
    <w:p>
      <w:pPr>
        <w:spacing w:after="0" w:line="132" w:lineRule="exact"/>
        <w:rPr>
          <w:sz w:val="20"/>
          <w:szCs w:val="20"/>
          <w:color w:val="auto"/>
        </w:rPr>
      </w:pPr>
    </w:p>
    <w:p>
      <w:pPr>
        <w:ind w:left="600" w:hanging="376"/>
        <w:spacing w:after="0"/>
        <w:tabs>
          <w:tab w:leader="none" w:pos="6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Board and Committee Meetings Held Telephonically</w:t>
      </w:r>
      <w:r>
        <w:rPr>
          <w:rFonts w:ascii="Arial" w:cs="Arial" w:eastAsia="Arial" w:hAnsi="Arial"/>
          <w:sz w:val="22"/>
          <w:szCs w:val="22"/>
          <w:color w:val="auto"/>
        </w:rPr>
        <w:t>.</w:t>
      </w:r>
    </w:p>
    <w:p>
      <w:pPr>
        <w:spacing w:after="0" w:line="179" w:lineRule="exact"/>
        <w:rPr>
          <w:sz w:val="20"/>
          <w:szCs w:val="20"/>
          <w:color w:val="auto"/>
        </w:rPr>
      </w:pPr>
    </w:p>
    <w:p>
      <w:pPr>
        <w:ind w:right="400" w:firstLine="648"/>
        <w:spacing w:after="0" w:line="232" w:lineRule="auto"/>
        <w:rPr>
          <w:sz w:val="20"/>
          <w:szCs w:val="20"/>
          <w:color w:val="auto"/>
        </w:rPr>
      </w:pPr>
      <w:r>
        <w:rPr>
          <w:rFonts w:ascii="Arial" w:cs="Arial" w:eastAsia="Arial" w:hAnsi="Arial"/>
          <w:sz w:val="22"/>
          <w:szCs w:val="22"/>
          <w:color w:val="auto"/>
        </w:rPr>
        <w:t>The meeting fees set forth in this section shall be paid to Non-Employee Directors in connection with SJW Board and SJW Committee meetings held telephonically.</w:t>
      </w:r>
    </w:p>
    <w:p>
      <w:pPr>
        <w:sectPr>
          <w:pgSz w:w="11900" w:h="16838" w:orient="portrait"/>
          <w:cols w:equalWidth="0" w:num="1">
            <w:col w:w="11240"/>
          </w:cols>
          <w:pgMar w:left="320" w:top="108" w:right="339" w:bottom="1440" w:gutter="0" w:footer="0" w:header="0"/>
        </w:sectPr>
      </w:pPr>
    </w:p>
    <w:bookmarkStart w:id="102" w:name="page103"/>
    <w:bookmarkEnd w:id="102"/>
    <w:p>
      <w:pPr>
        <w:ind w:right="320" w:firstLine="648"/>
        <w:spacing w:after="0" w:line="232" w:lineRule="auto"/>
        <w:rPr>
          <w:sz w:val="20"/>
          <w:szCs w:val="20"/>
          <w:color w:val="auto"/>
        </w:rPr>
      </w:pPr>
      <w:r>
        <w:rPr>
          <w:rFonts w:ascii="Arial" w:cs="Arial" w:eastAsia="Arial" w:hAnsi="Arial"/>
          <w:sz w:val="22"/>
          <w:szCs w:val="22"/>
          <w:color w:val="auto"/>
        </w:rPr>
        <w:t>All Non-Employee Directors of SJW shall be paid $1,500 for each SJW Board or SJW Committee meeting attended, including the SJW strategic planning meeting.</w:t>
      </w:r>
    </w:p>
    <w:p>
      <w:pPr>
        <w:spacing w:after="0" w:line="159" w:lineRule="exact"/>
        <w:rPr>
          <w:sz w:val="20"/>
          <w:szCs w:val="20"/>
          <w:color w:val="auto"/>
        </w:rPr>
      </w:pPr>
    </w:p>
    <w:p>
      <w:pPr>
        <w:ind w:left="600" w:hanging="376"/>
        <w:spacing w:after="0"/>
        <w:tabs>
          <w:tab w:leader="none" w:pos="6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Long-Term Incentive Plan</w:t>
      </w:r>
      <w:r>
        <w:rPr>
          <w:rFonts w:ascii="Arial" w:cs="Arial" w:eastAsia="Arial" w:hAnsi="Arial"/>
          <w:sz w:val="22"/>
          <w:szCs w:val="22"/>
          <w:color w:val="auto"/>
        </w:rPr>
        <w:t>.</w:t>
      </w:r>
    </w:p>
    <w:p>
      <w:pPr>
        <w:spacing w:after="0" w:line="179" w:lineRule="exact"/>
        <w:rPr>
          <w:sz w:val="20"/>
          <w:szCs w:val="20"/>
          <w:color w:val="auto"/>
        </w:rPr>
      </w:pPr>
    </w:p>
    <w:p>
      <w:pPr>
        <w:ind w:right="160" w:firstLine="216"/>
        <w:spacing w:after="0" w:line="223" w:lineRule="auto"/>
        <w:rPr>
          <w:sz w:val="20"/>
          <w:szCs w:val="20"/>
          <w:color w:val="auto"/>
        </w:rPr>
      </w:pPr>
      <w:r>
        <w:rPr>
          <w:rFonts w:ascii="Arial" w:cs="Arial" w:eastAsia="Arial" w:hAnsi="Arial"/>
          <w:sz w:val="22"/>
          <w:szCs w:val="22"/>
          <w:color w:val="auto"/>
        </w:rPr>
        <w:t>Non-Employee Directors may be eligible to participate in SJW’s Long-Term Incentive Plan, as amended (“LTIP”), and may also be eligible to participate in programs now or hereafter established thereunder, as more fully set forth in the LTIP and the programs established thereunder.</w:t>
      </w:r>
    </w:p>
    <w:p>
      <w:pPr>
        <w:spacing w:after="0" w:line="159" w:lineRule="exact"/>
        <w:rPr>
          <w:sz w:val="20"/>
          <w:szCs w:val="20"/>
          <w:color w:val="auto"/>
        </w:rPr>
      </w:pPr>
    </w:p>
    <w:p>
      <w:pPr>
        <w:ind w:left="600" w:hanging="376"/>
        <w:spacing w:after="0"/>
        <w:tabs>
          <w:tab w:leader="none" w:pos="60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Director Pension Plan.</w:t>
      </w:r>
    </w:p>
    <w:p>
      <w:pPr>
        <w:spacing w:after="0" w:line="179" w:lineRule="exact"/>
        <w:rPr>
          <w:sz w:val="20"/>
          <w:szCs w:val="20"/>
          <w:color w:val="auto"/>
        </w:rPr>
      </w:pPr>
    </w:p>
    <w:p>
      <w:pPr>
        <w:ind w:firstLine="648"/>
        <w:spacing w:after="0" w:line="220" w:lineRule="auto"/>
        <w:rPr>
          <w:sz w:val="20"/>
          <w:szCs w:val="20"/>
          <w:color w:val="auto"/>
        </w:rPr>
      </w:pPr>
      <w:r>
        <w:rPr>
          <w:rFonts w:ascii="Arial" w:cs="Arial" w:eastAsia="Arial" w:hAnsi="Arial"/>
          <w:sz w:val="21"/>
          <w:szCs w:val="21"/>
          <w:color w:val="auto"/>
        </w:rPr>
        <w:t>As more fully set forth in a resolution adopted by SJW’s Board of Directors on October 25, 2007 which amends the September 22, 1999 resolution, when a director ceases to be a director of SJW, he or she shall receive a benefit equal to one half of the aggregate annual retainer for service on the Board of Directors of SJW and the Boards of Directors of San Jose Water Company and SJW Land Company as in effect at the time such director ceases to be a director (the “Director Pension Plan”). This benefit will be paid to the director, his beneficiary or his estate, for the number of years the director served on the SJW Board until December 31, 2007 up to a maximum of 10 years. These payments will be made with the same frequency as the ongoing Directors retainers. Only Non-Employee Directors who were on the SJW Board in 2003 and did not elect, in 2003, to have their existing Director Pension Plan benefits converted into deferred restricted stock pursuant to the Deferred Restricted Stock Program participate in the Director Pension Plan. All other Non-Employee Directors are not eligible to participate in the Director Pension Plan.</w:t>
      </w:r>
    </w:p>
    <w:p>
      <w:pPr>
        <w:spacing w:after="0" w:line="18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 REIMBURSEMENT.</w:t>
      </w:r>
    </w:p>
    <w:p>
      <w:pPr>
        <w:spacing w:after="0" w:line="226" w:lineRule="exact"/>
        <w:rPr>
          <w:sz w:val="20"/>
          <w:szCs w:val="20"/>
          <w:color w:val="auto"/>
        </w:rPr>
      </w:pPr>
    </w:p>
    <w:p>
      <w:pPr>
        <w:jc w:val="both"/>
        <w:ind w:right="580"/>
        <w:spacing w:after="0"/>
        <w:rPr>
          <w:sz w:val="20"/>
          <w:szCs w:val="20"/>
          <w:color w:val="auto"/>
        </w:rPr>
      </w:pPr>
      <w:r>
        <w:rPr>
          <w:rFonts w:ascii="Arial" w:cs="Arial" w:eastAsia="Arial" w:hAnsi="Arial"/>
          <w:sz w:val="22"/>
          <w:szCs w:val="22"/>
          <w:color w:val="auto"/>
        </w:rPr>
        <w:t>All reasonable expenses incurred by a Non-Employee Director in connection with his or her attendance at an SJW Board Meeting, a subsidiary board meeting, SJW Committee Meeting or other SJW meeting, which shall include the expense of traveling first class for any travel within the United States, shall be reimbursed.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20" w:type="dxa"/>
            <w:vAlign w:val="bottom"/>
          </w:tcPr>
          <w:p>
            <w:pPr>
              <w:spacing w:after="0"/>
              <w:rPr>
                <w:sz w:val="20"/>
                <w:szCs w:val="20"/>
                <w:color w:val="auto"/>
              </w:rPr>
            </w:pPr>
            <w:r>
              <w:rPr>
                <w:rFonts w:ascii="Arial" w:cs="Arial" w:eastAsia="Arial" w:hAnsi="Arial"/>
                <w:sz w:val="22"/>
                <w:szCs w:val="22"/>
                <w:color w:val="auto"/>
                <w:w w:val="92"/>
              </w:rPr>
              <w:t>Adopted By the Board effective as of January, 1, 2022</w:t>
            </w:r>
          </w:p>
        </w:tc>
        <w:tc>
          <w:tcPr>
            <w:tcW w:w="5180" w:type="dxa"/>
            <w:vAlign w:val="bottom"/>
            <w:gridSpan w:val="2"/>
          </w:tcPr>
          <w:p>
            <w:pPr>
              <w:ind w:left="220"/>
              <w:spacing w:after="0"/>
              <w:rPr>
                <w:sz w:val="20"/>
                <w:szCs w:val="20"/>
                <w:color w:val="auto"/>
              </w:rPr>
            </w:pPr>
            <w:r>
              <w:rPr>
                <w:rFonts w:ascii="Arial" w:cs="Arial" w:eastAsia="Arial" w:hAnsi="Arial"/>
                <w:sz w:val="22"/>
                <w:szCs w:val="22"/>
                <w:color w:val="auto"/>
              </w:rPr>
              <w:t>/s/ Willie Brown</w:t>
            </w:r>
          </w:p>
        </w:tc>
      </w:tr>
      <w:tr>
        <w:trPr>
          <w:trHeight w:val="268"/>
        </w:trPr>
        <w:tc>
          <w:tcPr>
            <w:tcW w:w="4920" w:type="dxa"/>
            <w:vAlign w:val="bottom"/>
          </w:tcPr>
          <w:p>
            <w:pPr>
              <w:spacing w:after="0"/>
              <w:rPr>
                <w:sz w:val="23"/>
                <w:szCs w:val="23"/>
                <w:color w:val="auto"/>
              </w:rPr>
            </w:pPr>
          </w:p>
        </w:tc>
        <w:tc>
          <w:tcPr>
            <w:tcW w:w="2080" w:type="dxa"/>
            <w:vAlign w:val="bottom"/>
            <w:tcBorders>
              <w:top w:val="single" w:sz="8" w:color="auto"/>
            </w:tcBorders>
          </w:tcPr>
          <w:p>
            <w:pPr>
              <w:ind w:left="280"/>
              <w:spacing w:after="0"/>
              <w:rPr>
                <w:sz w:val="20"/>
                <w:szCs w:val="20"/>
                <w:color w:val="auto"/>
              </w:rPr>
            </w:pPr>
            <w:r>
              <w:rPr>
                <w:rFonts w:ascii="Arial" w:cs="Arial" w:eastAsia="Arial" w:hAnsi="Arial"/>
                <w:sz w:val="22"/>
                <w:szCs w:val="22"/>
                <w:color w:val="auto"/>
              </w:rPr>
              <w:t>Willie Brown, VP,</w:t>
            </w:r>
          </w:p>
        </w:tc>
        <w:tc>
          <w:tcPr>
            <w:tcW w:w="3100" w:type="dxa"/>
            <w:vAlign w:val="bottom"/>
          </w:tcPr>
          <w:p>
            <w:pPr>
              <w:spacing w:after="0"/>
              <w:rPr>
                <w:sz w:val="20"/>
                <w:szCs w:val="20"/>
                <w:color w:val="auto"/>
              </w:rPr>
            </w:pPr>
            <w:r>
              <w:rPr>
                <w:rFonts w:ascii="Arial" w:cs="Arial" w:eastAsia="Arial" w:hAnsi="Arial"/>
                <w:sz w:val="22"/>
                <w:szCs w:val="22"/>
                <w:color w:val="auto"/>
                <w:w w:val="82"/>
              </w:rPr>
              <w:t>General Counsel, and Corp.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1401" w:right="4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SJW GROUP</w:t>
      </w:r>
    </w:p>
    <w:p>
      <w:pPr>
        <w:spacing w:after="0" w:line="193"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AMENDED AND RESTATED FORMULAIC EQUITY AWARD PROGRAM</w:t>
      </w:r>
    </w:p>
    <w:p>
      <w:pPr>
        <w:jc w:val="center"/>
        <w:spacing w:after="0"/>
        <w:rPr>
          <w:sz w:val="20"/>
          <w:szCs w:val="20"/>
          <w:color w:val="auto"/>
        </w:rPr>
      </w:pPr>
      <w:r>
        <w:rPr>
          <w:rFonts w:ascii="Arial" w:cs="Arial" w:eastAsia="Arial" w:hAnsi="Arial"/>
          <w:sz w:val="22"/>
          <w:szCs w:val="22"/>
          <w:b w:val="1"/>
          <w:bCs w:val="1"/>
          <w:color w:val="auto"/>
        </w:rPr>
        <w:t>FOR NON-EMPLOYEE BOARD MEMBERS</w:t>
      </w:r>
    </w:p>
    <w:p>
      <w:pPr>
        <w:spacing w:after="0" w:line="182"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IMPLEMENTATION</w:t>
      </w:r>
    </w:p>
    <w:p>
      <w:pPr>
        <w:spacing w:after="0" w:line="185"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This award program (the “Automatic Grant Program”) is implemented under the SJW Group Long-Term Incentive Plan, as amended and restated July 29, 2015 (the “Plan”) and shall become effective at the close of business on October 28, 2021, subject to ratification by the Board of Directors (the “Board”) of SJW Group (the “Corporation”).</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Unless indicated to the contrary, all capitalized terms in this Automatic Grant Program shall have the meanings assigned to them in the Appendix to the Plan.</w:t>
      </w:r>
    </w:p>
    <w:p>
      <w:pPr>
        <w:spacing w:after="0" w:line="153"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AWARD TERMS</w:t>
      </w:r>
    </w:p>
    <w:p>
      <w:pPr>
        <w:spacing w:after="0" w:line="18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w:t>
      </w:r>
      <w:r>
        <w:rPr>
          <w:rFonts w:ascii="Arial" w:cs="Arial" w:eastAsia="Arial" w:hAnsi="Arial"/>
          <w:sz w:val="19"/>
          <w:szCs w:val="19"/>
          <w:u w:val="single" w:color="auto"/>
          <w:color w:val="auto"/>
        </w:rPr>
        <w:t>Automatic Grants</w:t>
      </w:r>
      <w:r>
        <w:rPr>
          <w:rFonts w:ascii="Arial" w:cs="Arial" w:eastAsia="Arial" w:hAnsi="Arial"/>
          <w:sz w:val="19"/>
          <w:szCs w:val="19"/>
          <w:color w:val="auto"/>
        </w:rPr>
        <w:t>. The Awards to be made pursuant to the Automatic Grant Program shall be as follows:</w:t>
      </w:r>
    </w:p>
    <w:p>
      <w:pPr>
        <w:spacing w:after="0" w:line="179" w:lineRule="exact"/>
        <w:rPr>
          <w:rFonts w:ascii="Arial" w:cs="Arial" w:eastAsia="Arial" w:hAnsi="Arial"/>
          <w:sz w:val="22"/>
          <w:szCs w:val="22"/>
          <w:b w:val="1"/>
          <w:bCs w:val="1"/>
          <w:color w:val="auto"/>
        </w:rPr>
      </w:pPr>
    </w:p>
    <w:p>
      <w:pPr>
        <w:jc w:val="both"/>
        <w:ind w:firstLine="1304"/>
        <w:spacing w:after="0" w:line="221" w:lineRule="auto"/>
        <w:tabs>
          <w:tab w:leader="none" w:pos="1944" w:val="left"/>
        </w:tabs>
        <w:numPr>
          <w:ilvl w:val="2"/>
          <w:numId w:val="42"/>
        </w:numPr>
        <w:rPr>
          <w:rFonts w:ascii="Arial" w:cs="Arial" w:eastAsia="Arial" w:hAnsi="Arial"/>
          <w:sz w:val="21"/>
          <w:szCs w:val="21"/>
          <w:color w:val="auto"/>
        </w:rPr>
      </w:pPr>
      <w:r>
        <w:rPr>
          <w:rFonts w:ascii="Arial" w:cs="Arial" w:eastAsia="Arial" w:hAnsi="Arial"/>
          <w:sz w:val="21"/>
          <w:szCs w:val="21"/>
          <w:color w:val="auto"/>
        </w:rPr>
        <w:t>At the close of business on the date of each annual meeting of the Corporation’s shareholders, beginning with the 2022 Annual Meeting, each individual who is elected or re-elected to serve as a non-employee Board member shall automatically be granted an Award in the form of restricted stock units covering that number of shares of Common Stock (rounded up to the next whole share) determined by dividing the Applicable Annual Amount (as defined below) by the Fair Market Value per share on such date. There shall be no limit on the number of such annual grants any one continuing non-employee Board member may receive over his or her period of Board service, and non-employee Board members who have previously been in the employ of the Corporation (or any Parent or Subsidiary) shall be eligible to receive one or more such annual grants over their period of continued Board service.</w:t>
      </w:r>
    </w:p>
    <w:p>
      <w:pPr>
        <w:spacing w:after="0" w:line="165" w:lineRule="exact"/>
        <w:rPr>
          <w:rFonts w:ascii="Arial" w:cs="Arial" w:eastAsia="Arial" w:hAnsi="Arial"/>
          <w:sz w:val="21"/>
          <w:szCs w:val="21"/>
          <w:color w:val="auto"/>
        </w:rPr>
      </w:pPr>
    </w:p>
    <w:p>
      <w:pPr>
        <w:jc w:val="both"/>
        <w:ind w:firstLine="1304"/>
        <w:spacing w:after="0" w:line="243" w:lineRule="auto"/>
        <w:tabs>
          <w:tab w:leader="none" w:pos="1944" w:val="left"/>
        </w:tabs>
        <w:numPr>
          <w:ilvl w:val="2"/>
          <w:numId w:val="42"/>
        </w:numPr>
        <w:rPr>
          <w:rFonts w:ascii="Arial" w:cs="Arial" w:eastAsia="Arial" w:hAnsi="Arial"/>
          <w:sz w:val="19"/>
          <w:szCs w:val="19"/>
          <w:color w:val="auto"/>
        </w:rPr>
      </w:pPr>
      <w:r>
        <w:rPr>
          <w:rFonts w:ascii="Arial" w:cs="Arial" w:eastAsia="Arial" w:hAnsi="Arial"/>
          <w:sz w:val="19"/>
          <w:szCs w:val="19"/>
          <w:color w:val="auto"/>
        </w:rPr>
        <w:t>Each individual who commences service as a non-employee Board member following the date of an annual meeting of the Corporation’s shareholders, but before the date that is two months prior to the next annual meeting of the Corporation’s shareholders (the “New Non-Employee Director”), shall automatically be granted an Award (the “New Non-Employee Director Award”) on the date of commencement of such service in the form of restricted stock units covering that number of shares of Common Stock (rounded up to the next whole share) determined by (i) dividing the Applicable Annual Amount by the Fair Market Value per share on the date of grant of the New Non-Employee Director Award, and (ii) multiplying the number obtained from clause (i) by a fraction, with the numerator being the number of months (with each partial month rounded up to a whole number) elapsed from the date the New Non-Employee Director commenced service to the estimated date of the next annual meeting of the Corporation’s shareholders, and the denominator being twelve (12). Each New Non-Employee Director shall be eligible for an Award pursuant to the terms of paragraph A.1 of this Section as of the next annual meeting following the date the New Non-Employee Director commences service as a non-employee Board member.</w:t>
      </w:r>
    </w:p>
    <w:p>
      <w:pPr>
        <w:spacing w:after="0" w:line="158" w:lineRule="exact"/>
        <w:rPr>
          <w:rFonts w:ascii="Arial" w:cs="Arial" w:eastAsia="Arial" w:hAnsi="Arial"/>
          <w:sz w:val="19"/>
          <w:szCs w:val="19"/>
          <w:color w:val="auto"/>
        </w:rPr>
      </w:pPr>
    </w:p>
    <w:p>
      <w:pPr>
        <w:jc w:val="both"/>
        <w:ind w:right="20" w:firstLine="1304"/>
        <w:spacing w:after="0" w:line="223" w:lineRule="auto"/>
        <w:tabs>
          <w:tab w:leader="none" w:pos="1944" w:val="left"/>
        </w:tabs>
        <w:numPr>
          <w:ilvl w:val="2"/>
          <w:numId w:val="42"/>
        </w:numPr>
        <w:rPr>
          <w:rFonts w:ascii="Arial" w:cs="Arial" w:eastAsia="Arial" w:hAnsi="Arial"/>
          <w:sz w:val="22"/>
          <w:szCs w:val="22"/>
          <w:color w:val="auto"/>
        </w:rPr>
      </w:pPr>
      <w:r>
        <w:rPr>
          <w:rFonts w:ascii="Arial" w:cs="Arial" w:eastAsia="Arial" w:hAnsi="Arial"/>
          <w:sz w:val="22"/>
          <w:szCs w:val="22"/>
          <w:color w:val="auto"/>
        </w:rPr>
        <w:t>The Applicable Annual Amount shall be Ninety-Two Thousand Five-Hundred Dollars ($92,500.00) per non-employee Board member for the Awards to be made at each annual meeting of the Corporation’s shareholders, commencing with the 2022 Annual Meeting.</w:t>
      </w:r>
    </w:p>
    <w:p>
      <w:pPr>
        <w:sectPr>
          <w:pgSz w:w="11900" w:h="16838" w:orient="portrait"/>
          <w:cols w:equalWidth="0" w:num="1">
            <w:col w:w="11240"/>
          </w:cols>
          <w:pgMar w:left="320" w:top="108" w:right="339" w:bottom="1440" w:gutter="0" w:footer="0" w:header="0"/>
        </w:sectPr>
      </w:pPr>
    </w:p>
    <w:bookmarkStart w:id="104" w:name="page105"/>
    <w:bookmarkEnd w:id="104"/>
    <w:p>
      <w:pPr>
        <w:ind w:firstLine="1304"/>
        <w:spacing w:after="0" w:line="232" w:lineRule="auto"/>
        <w:tabs>
          <w:tab w:leader="none" w:pos="1944" w:val="left"/>
        </w:tabs>
        <w:numPr>
          <w:ilvl w:val="2"/>
          <w:numId w:val="43"/>
        </w:numPr>
        <w:rPr>
          <w:rFonts w:ascii="Arial" w:cs="Arial" w:eastAsia="Arial" w:hAnsi="Arial"/>
          <w:sz w:val="22"/>
          <w:szCs w:val="22"/>
          <w:color w:val="auto"/>
        </w:rPr>
      </w:pPr>
      <w:r>
        <w:rPr>
          <w:rFonts w:ascii="Arial" w:cs="Arial" w:eastAsia="Arial" w:hAnsi="Arial"/>
          <w:sz w:val="22"/>
          <w:szCs w:val="22"/>
          <w:color w:val="auto"/>
        </w:rPr>
        <w:t>Each restricted unit awarded under the Automatic Grant Program shall entitle the non-employee Board member to one share of Common Stock on the applicable vesting date of that unit.</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Vesting of Awards and Issuance of Shares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34" w:lineRule="auto"/>
        <w:tabs>
          <w:tab w:leader="none" w:pos="1944" w:val="left"/>
        </w:tabs>
        <w:numPr>
          <w:ilvl w:val="2"/>
          <w:numId w:val="44"/>
        </w:numPr>
        <w:rPr>
          <w:rFonts w:ascii="Arial" w:cs="Arial" w:eastAsia="Arial" w:hAnsi="Arial"/>
          <w:sz w:val="21"/>
          <w:szCs w:val="21"/>
          <w:color w:val="auto"/>
        </w:rPr>
      </w:pPr>
      <w:r>
        <w:rPr>
          <w:rFonts w:ascii="Arial" w:cs="Arial" w:eastAsia="Arial" w:hAnsi="Arial"/>
          <w:sz w:val="21"/>
          <w:szCs w:val="21"/>
          <w:color w:val="auto"/>
        </w:rPr>
        <w:t>Each restricted stock unit award granted under paragraph A.1. of this Section shall vest in full upon the non-employee Board member’s continuation in Board service through the date of the first annual shareholders meeting following the annual shareholders meeting at which that restricted stock unit award was made.</w:t>
      </w:r>
    </w:p>
    <w:p>
      <w:pPr>
        <w:spacing w:after="0" w:line="157" w:lineRule="exact"/>
        <w:rPr>
          <w:rFonts w:ascii="Arial" w:cs="Arial" w:eastAsia="Arial" w:hAnsi="Arial"/>
          <w:sz w:val="21"/>
          <w:szCs w:val="21"/>
          <w:color w:val="auto"/>
        </w:rPr>
      </w:pPr>
    </w:p>
    <w:p>
      <w:pPr>
        <w:jc w:val="both"/>
        <w:ind w:firstLine="1304"/>
        <w:spacing w:after="0" w:line="223" w:lineRule="auto"/>
        <w:tabs>
          <w:tab w:leader="none" w:pos="1944" w:val="left"/>
        </w:tabs>
        <w:numPr>
          <w:ilvl w:val="2"/>
          <w:numId w:val="44"/>
        </w:numPr>
        <w:rPr>
          <w:rFonts w:ascii="Arial" w:cs="Arial" w:eastAsia="Arial" w:hAnsi="Arial"/>
          <w:sz w:val="22"/>
          <w:szCs w:val="22"/>
          <w:color w:val="auto"/>
        </w:rPr>
      </w:pPr>
      <w:r>
        <w:rPr>
          <w:rFonts w:ascii="Arial" w:cs="Arial" w:eastAsia="Arial" w:hAnsi="Arial"/>
          <w:sz w:val="22"/>
          <w:szCs w:val="22"/>
          <w:color w:val="auto"/>
        </w:rPr>
        <w:t>Each restricted stock unit award granted under paragraph A.2. of this Section shall vest on the one-year anniversary of the date such award was granted, subject to the non-employee Board member’s continuation in Board service through such date.</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4" w:val="left"/>
        </w:tabs>
        <w:numPr>
          <w:ilvl w:val="2"/>
          <w:numId w:val="44"/>
        </w:numPr>
        <w:rPr>
          <w:rFonts w:ascii="Arial" w:cs="Arial" w:eastAsia="Arial" w:hAnsi="Arial"/>
          <w:sz w:val="22"/>
          <w:szCs w:val="22"/>
          <w:color w:val="auto"/>
        </w:rPr>
      </w:pPr>
      <w:r>
        <w:rPr>
          <w:rFonts w:ascii="Arial" w:cs="Arial" w:eastAsia="Arial" w:hAnsi="Arial"/>
          <w:sz w:val="22"/>
          <w:szCs w:val="22"/>
          <w:color w:val="auto"/>
        </w:rPr>
        <w:t>In the event that the non-employee Board member (including any New Non-Employee Director) ceases Board service by reason of death or Permanent Disability prior to the vesting date set forth herein, then his or her restricted stock unit award outstanding under the Automatic Grant Program at the time of such cessation of Board service shall immediately vest in full at that time.</w:t>
      </w:r>
    </w:p>
    <w:p>
      <w:pPr>
        <w:spacing w:after="0" w:line="160" w:lineRule="exact"/>
        <w:rPr>
          <w:rFonts w:ascii="Arial" w:cs="Arial" w:eastAsia="Arial" w:hAnsi="Arial"/>
          <w:sz w:val="22"/>
          <w:szCs w:val="22"/>
          <w:color w:val="auto"/>
        </w:rPr>
      </w:pPr>
    </w:p>
    <w:p>
      <w:pPr>
        <w:jc w:val="both"/>
        <w:ind w:right="20" w:firstLine="1304"/>
        <w:spacing w:after="0" w:line="223" w:lineRule="auto"/>
        <w:tabs>
          <w:tab w:leader="none" w:pos="1944"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shares of Common Stock underlying each restricted stock unit award which vests in accordance with the foregoing vesting provisions shall be issued as soon as administratively practicable following the vesting date, but in no event more than fifteen (15) business days after such vesting date.</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92"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Dividend Equivalent Rights</w:t>
      </w:r>
      <w:r>
        <w:rPr>
          <w:rFonts w:ascii="Arial" w:cs="Arial" w:eastAsia="Arial" w:hAnsi="Arial"/>
          <w:sz w:val="22"/>
          <w:szCs w:val="22"/>
          <w:color w:val="auto"/>
        </w:rPr>
        <w:t>. None of the restricted stock unit awards granted under the Automatic Grant Program shall include any dividend equivalent rights, and the holder of each restricted stock unit award under the Automatic Grant Program shall not have any shareholder rights with respect to the shares of Common Stock subject to that award until the award vests and the shares of Common Stock are issued to such holder.</w:t>
      </w:r>
    </w:p>
    <w:p>
      <w:pPr>
        <w:spacing w:after="0" w:line="160" w:lineRule="exact"/>
        <w:rPr>
          <w:rFonts w:ascii="Arial" w:cs="Arial" w:eastAsia="Arial" w:hAnsi="Arial"/>
          <w:sz w:val="22"/>
          <w:szCs w:val="22"/>
          <w:color w:val="auto"/>
        </w:rPr>
      </w:pPr>
    </w:p>
    <w:p>
      <w:pPr>
        <w:jc w:val="both"/>
        <w:ind w:firstLine="656"/>
        <w:spacing w:after="0" w:line="221" w:lineRule="auto"/>
        <w:tabs>
          <w:tab w:leader="none" w:pos="1290"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Retention of Issued Shares</w:t>
      </w:r>
      <w:r>
        <w:rPr>
          <w:rFonts w:ascii="Arial" w:cs="Arial" w:eastAsia="Arial" w:hAnsi="Arial"/>
          <w:sz w:val="21"/>
          <w:szCs w:val="21"/>
          <w:color w:val="auto"/>
        </w:rPr>
        <w:t>. Each non-employee Board member who participates in the Automatic Grant Program shall, with respect to each restricted stock unit award he or she receives under such program, retain beneficial ownership of at least fifty percent (50%) of the shares of Common Stock issued in connection with the vesting of that award until such time as such individual is in compliance with the equity ownership guidelines that the Corporation from time to time establishes for its non-employee Board members. In no event may the non-employee Board member sell or otherwise transfer beneficial ownership of more than fifty percent (50%) of the shares issued to him or her under the Automatic Grant Program unless he or she is at the time of such sale or transfer in full compliance with the equity ownership guidelines in effect at that time for the non-employee Board members.</w:t>
      </w:r>
    </w:p>
    <w:p>
      <w:pPr>
        <w:spacing w:after="0" w:line="159" w:lineRule="exact"/>
        <w:rPr>
          <w:rFonts w:ascii="Arial" w:cs="Arial" w:eastAsia="Arial" w:hAnsi="Arial"/>
          <w:sz w:val="21"/>
          <w:szCs w:val="21"/>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18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Should the non-employee Board member continue in Board service until the effective date of an actual Change in Control</w:t>
      </w:r>
    </w:p>
    <w:p>
      <w:pPr>
        <w:spacing w:after="0" w:line="1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transaction, then the shares of Common Stock subject to any outstanding restricted stock unit award made to such Board member under the Automatic Grant Program shall, immediately prior to the effective date of that Change in Control transaction, vest in full and shall be issued to him or her as soon as administratively practicable thereafter, but in no event more than fifteen (15) business days after such effective date, or shall otherwise be converted into the right to receive the same consideration per share of Common Stock payable to the other stockholders in the Change in Control and distributed at the same time as such stockholder payments, but in no event later than the later of (i) the close of the calendar year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05" w:name="page106"/>
    <w:bookmarkEnd w:id="105"/>
    <w:p>
      <w:pPr>
        <w:spacing w:after="0" w:line="232" w:lineRule="auto"/>
        <w:rPr>
          <w:sz w:val="20"/>
          <w:szCs w:val="20"/>
          <w:color w:val="auto"/>
        </w:rPr>
      </w:pPr>
      <w:r>
        <w:rPr>
          <w:rFonts w:ascii="Arial" w:cs="Arial" w:eastAsia="Arial" w:hAnsi="Arial"/>
          <w:sz w:val="22"/>
          <w:szCs w:val="22"/>
          <w:color w:val="auto"/>
        </w:rPr>
        <w:t>which such Change in Control is effected or (ii) the fifteenth (15th) day of the third (3rd) calendar month following the effective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06" w:name="page107"/>
    <w:bookmarkEnd w:id="106"/>
    <w:p>
      <w:pPr>
        <w:ind w:left="400"/>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SUBSIDIARIES OF SJW GROUP</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is a list of the subsidiaries of SJW Group as of December 31, 2021, each of which, unless otherwise indicated, is wholly owned by the company either directly or through another subsidiary.</w:t>
      </w:r>
    </w:p>
    <w:p>
      <w:pPr>
        <w:sectPr>
          <w:pgSz w:w="11900" w:h="16838" w:orient="portrait"/>
          <w:cols w:equalWidth="0" w:num="1">
            <w:col w:w="11160"/>
          </w:cols>
          <w:pgMar w:left="320" w:top="162" w:right="4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Jose Water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SJW Land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SJWTX, Inc., also doing business as Canyon Lake Water Service Company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SJWTX Holdings,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Texas Water Operation Services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SJWNE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Connecticut Water Service,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Connecticut Water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Chester Realty,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England Water Utility Services,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Maine Water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Organization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Maine</w:t>
      </w:r>
    </w:p>
    <w:p>
      <w:pPr>
        <w:sectPr>
          <w:pgSz w:w="11900" w:h="16838" w:orient="portrait"/>
          <w:cols w:equalWidth="0" w:num="2">
            <w:col w:w="7140" w:space="720"/>
            <w:col w:w="3300"/>
          </w:cols>
          <w:pgMar w:left="320" w:top="162" w:right="419" w:bottom="1440" w:gutter="0" w:footer="0" w:header="0"/>
          <w:type w:val="continuous"/>
        </w:sectPr>
      </w:pPr>
    </w:p>
    <w:bookmarkStart w:id="107" w:name="page108"/>
    <w:bookmarkEnd w:id="107"/>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No. 333-228548 and 333-261161 on Form S-3 and registration statements No. 333-234140, 333-195796, and 333-105010 on Form S-8 of our report dated March 2, 2020, except for Schedule I, as to which date is March 1, 2021, with respect to the consolidated financial statements and financial statement schedule II of SJW Group and the effectiveness of internal control over financial reporting.</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333-228548 and 333-261161 on Form S-3 and Registration Nos. 333- 234140, 333-105010 and 333-195796 on Form S-8 of our reports dated February 25, 2022, relating to the 2021 financial statements of SJW Group and the effectiveness of SJW Group's internal control over financial reporting appearing in this Annual Report on Form 10-K for the year ended December 31, 2021.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440"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44" w:lineRule="exact"/>
        <w:rPr>
          <w:sz w:val="20"/>
          <w:szCs w:val="20"/>
          <w:color w:val="auto"/>
        </w:rPr>
      </w:pPr>
    </w:p>
    <w:p>
      <w:pPr>
        <w:ind w:left="880" w:hanging="305"/>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SJW Group (the “registrant”);</w:t>
      </w:r>
    </w:p>
    <w:p>
      <w:pPr>
        <w:spacing w:after="0" w:line="157" w:lineRule="exact"/>
        <w:rPr>
          <w:rFonts w:ascii="Arial" w:cs="Arial" w:eastAsia="Arial" w:hAnsi="Arial"/>
          <w:sz w:val="18"/>
          <w:szCs w:val="18"/>
          <w:color w:val="auto"/>
        </w:rPr>
      </w:pPr>
    </w:p>
    <w:p>
      <w:pPr>
        <w:ind w:right="140" w:firstLine="575"/>
        <w:spacing w:after="0" w:line="263" w:lineRule="auto"/>
        <w:tabs>
          <w:tab w:leader="none" w:pos="8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right="120" w:firstLine="575"/>
        <w:spacing w:after="0" w:line="308" w:lineRule="auto"/>
        <w:tabs>
          <w:tab w:leader="none" w:pos="882"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right="80" w:firstLine="575"/>
        <w:spacing w:after="0" w:line="263" w:lineRule="auto"/>
        <w:tabs>
          <w:tab w:leader="none" w:pos="8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firstLine="1101"/>
        <w:spacing w:after="0" w:line="263" w:lineRule="auto"/>
        <w:tabs>
          <w:tab w:leader="none" w:pos="14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right="40" w:firstLine="1101"/>
        <w:spacing w:after="0" w:line="263" w:lineRule="auto"/>
        <w:tabs>
          <w:tab w:leader="none" w:pos="14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right="140" w:firstLine="1101"/>
        <w:spacing w:after="0" w:line="308" w:lineRule="auto"/>
        <w:tabs>
          <w:tab w:leader="none" w:pos="1413"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right="120" w:firstLine="1101"/>
        <w:spacing w:after="0" w:line="263" w:lineRule="auto"/>
        <w:tabs>
          <w:tab w:leader="none" w:pos="14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right="40" w:firstLine="575"/>
        <w:spacing w:after="0" w:line="308" w:lineRule="auto"/>
        <w:tabs>
          <w:tab w:leader="none" w:pos="87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rFonts w:ascii="Arial" w:cs="Arial" w:eastAsia="Arial" w:hAnsi="Arial"/>
          <w:sz w:val="17"/>
          <w:szCs w:val="17"/>
          <w:color w:val="auto"/>
        </w:rPr>
      </w:pPr>
    </w:p>
    <w:p>
      <w:pPr>
        <w:ind w:right="380" w:firstLine="1101"/>
        <w:spacing w:after="0" w:line="308" w:lineRule="auto"/>
        <w:tabs>
          <w:tab w:leader="none" w:pos="1413"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right="60" w:firstLine="1101"/>
        <w:spacing w:after="0" w:line="277" w:lineRule="auto"/>
        <w:tabs>
          <w:tab w:leader="none" w:pos="14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25, 2022</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W. Thornburg</w:t>
            </w:r>
          </w:p>
        </w:tc>
      </w:tr>
      <w:tr>
        <w:trPr>
          <w:trHeight w:val="222"/>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ERIC W. THORNBURG</w:t>
            </w:r>
          </w:p>
        </w:tc>
      </w:tr>
      <w:tr>
        <w:trPr>
          <w:trHeight w:val="229"/>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r>
        <w:trPr>
          <w:trHeight w:val="230"/>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Andrew F. Walters, certify that:</w:t>
      </w:r>
    </w:p>
    <w:p>
      <w:pPr>
        <w:spacing w:after="0" w:line="144" w:lineRule="exact"/>
        <w:rPr>
          <w:sz w:val="20"/>
          <w:szCs w:val="20"/>
          <w:color w:val="auto"/>
        </w:rPr>
      </w:pPr>
    </w:p>
    <w:p>
      <w:pPr>
        <w:ind w:left="880" w:hanging="305"/>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SJW Group (the “registrant”);</w:t>
      </w:r>
    </w:p>
    <w:p>
      <w:pPr>
        <w:spacing w:after="0" w:line="157" w:lineRule="exact"/>
        <w:rPr>
          <w:rFonts w:ascii="Arial" w:cs="Arial" w:eastAsia="Arial" w:hAnsi="Arial"/>
          <w:sz w:val="18"/>
          <w:szCs w:val="18"/>
          <w:color w:val="auto"/>
        </w:rPr>
      </w:pPr>
    </w:p>
    <w:p>
      <w:pPr>
        <w:ind w:right="140" w:firstLine="575"/>
        <w:spacing w:after="0" w:line="263" w:lineRule="auto"/>
        <w:tabs>
          <w:tab w:leader="none" w:pos="8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right="120" w:firstLine="575"/>
        <w:spacing w:after="0" w:line="308" w:lineRule="auto"/>
        <w:tabs>
          <w:tab w:leader="none" w:pos="882"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right="80" w:firstLine="575"/>
        <w:spacing w:after="0" w:line="263" w:lineRule="auto"/>
        <w:tabs>
          <w:tab w:leader="none" w:pos="8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firstLine="1101"/>
        <w:spacing w:after="0" w:line="263" w:lineRule="auto"/>
        <w:tabs>
          <w:tab w:leader="none" w:pos="1413"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right="40" w:firstLine="1101"/>
        <w:spacing w:after="0" w:line="263" w:lineRule="auto"/>
        <w:tabs>
          <w:tab w:leader="none" w:pos="1423"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ind w:right="140" w:firstLine="1101"/>
        <w:spacing w:after="0" w:line="308" w:lineRule="auto"/>
        <w:tabs>
          <w:tab w:leader="none" w:pos="1413"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7"/>
          <w:szCs w:val="17"/>
          <w:color w:val="auto"/>
        </w:rPr>
      </w:pPr>
    </w:p>
    <w:p>
      <w:pPr>
        <w:ind w:right="120" w:firstLine="1101"/>
        <w:spacing w:after="0" w:line="263" w:lineRule="auto"/>
        <w:tabs>
          <w:tab w:leader="none" w:pos="1423"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right="40" w:firstLine="575"/>
        <w:spacing w:after="0" w:line="308" w:lineRule="auto"/>
        <w:tabs>
          <w:tab w:leader="none" w:pos="87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5" w:lineRule="exact"/>
        <w:rPr>
          <w:rFonts w:ascii="Arial" w:cs="Arial" w:eastAsia="Arial" w:hAnsi="Arial"/>
          <w:sz w:val="17"/>
          <w:szCs w:val="17"/>
          <w:color w:val="auto"/>
        </w:rPr>
      </w:pPr>
    </w:p>
    <w:p>
      <w:pPr>
        <w:ind w:right="380" w:firstLine="1101"/>
        <w:spacing w:after="0" w:line="308" w:lineRule="auto"/>
        <w:tabs>
          <w:tab w:leader="none" w:pos="1413"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7"/>
          <w:szCs w:val="17"/>
          <w:color w:val="auto"/>
        </w:rPr>
      </w:pPr>
    </w:p>
    <w:p>
      <w:pPr>
        <w:ind w:right="60" w:firstLine="1101"/>
        <w:spacing w:after="0" w:line="277" w:lineRule="auto"/>
        <w:tabs>
          <w:tab w:leader="none" w:pos="1423"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February 25, 2022</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F. Walters</w:t>
            </w:r>
          </w:p>
        </w:tc>
      </w:tr>
      <w:tr>
        <w:trPr>
          <w:trHeight w:val="222"/>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ANDREW F. WALTERS</w:t>
            </w:r>
          </w:p>
        </w:tc>
      </w:tr>
      <w:tr>
        <w:trPr>
          <w:trHeight w:val="229"/>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ind w:right="400" w:firstLine="567"/>
        <w:spacing w:after="0" w:line="259" w:lineRule="auto"/>
        <w:rPr>
          <w:sz w:val="20"/>
          <w:szCs w:val="20"/>
          <w:color w:val="auto"/>
        </w:rPr>
      </w:pPr>
      <w:r>
        <w:rPr>
          <w:rFonts w:ascii="Arial" w:cs="Arial" w:eastAsia="Arial" w:hAnsi="Arial"/>
          <w:sz w:val="18"/>
          <w:szCs w:val="18"/>
          <w:color w:val="auto"/>
        </w:rPr>
        <w:t>In connection with the Annual Report of SJW Group (the “Company”) on Form 10-K for the year ended December 31, 2021, as filed with the Securities and Exchange Commission on the date hereof (the “Report”), I, Eric W. Thornburg, President, Chief Executive Officer and Chariman of the Board of the Company, certify, pursuant to 18 U.S.C. Section 1350, as adopted pursuant to Section 906 of the Sarbanes-Oxley Act of 2002, that to my knowledge on the date hereof:</w:t>
      </w:r>
    </w:p>
    <w:p>
      <w:pPr>
        <w:spacing w:after="0" w:line="79"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2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W. THORNBURG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jc w:val="both"/>
        <w:ind w:right="440" w:firstLine="567"/>
        <w:spacing w:after="0" w:line="259" w:lineRule="auto"/>
        <w:rPr>
          <w:sz w:val="20"/>
          <w:szCs w:val="20"/>
          <w:color w:val="auto"/>
        </w:rPr>
      </w:pPr>
      <w:r>
        <w:rPr>
          <w:rFonts w:ascii="Arial" w:cs="Arial" w:eastAsia="Arial" w:hAnsi="Arial"/>
          <w:sz w:val="18"/>
          <w:szCs w:val="18"/>
          <w:color w:val="auto"/>
        </w:rPr>
        <w:t>In connection with the Annual Report of SJW Group (the “Company”) on Form 10-K for the year ended December 31, 2021,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79"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F. WALTERS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2"/>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4"/>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decimal"/>
      <w:start w:val="104"/>
    </w:lvl>
    <w:lvl w:ilvl="1">
      <w:lvlJc w:val="left"/>
      <w:lvlText w:val="(%2)"/>
      <w:numFmt w:val="decimal"/>
      <w:start w:val="1"/>
    </w:lvl>
  </w:abstractNum>
  <w:abstractNum w:abstractNumId="32">
    <w:nsid w:val="153EA438"/>
    <w:multiLevelType w:val="hybridMultilevel"/>
    <w:lvl w:ilvl="0">
      <w:lvlJc w:val="left"/>
      <w:lvlText w:val="%1."/>
      <w:numFmt w:val="upperLetter"/>
      <w:start w:val="9"/>
    </w:lvl>
  </w:abstractNum>
  <w:abstractNum w:abstractNumId="33">
    <w:nsid w:val="3855585C"/>
    <w:multiLevelType w:val="hybridMultilevel"/>
    <w:lvl w:ilvl="0">
      <w:lvlJc w:val="left"/>
      <w:lvlText w:val="%1."/>
      <w:numFmt w:val="upperLetter"/>
      <w:start w:val="1"/>
    </w:lvl>
  </w:abstractNum>
  <w:abstractNum w:abstractNumId="34">
    <w:nsid w:val="70A64E2A"/>
    <w:multiLevelType w:val="hybridMultilevel"/>
    <w:lvl w:ilvl="0">
      <w:lvlJc w:val="left"/>
      <w:lvlText w:val="%1."/>
      <w:numFmt w:val="upperLetter"/>
      <w:start w:val="2"/>
    </w:lvl>
    <w:lvl w:ilvl="1">
      <w:lvlJc w:val="left"/>
      <w:lvlText w:val="%2."/>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decimal"/>
      <w:start w:val="3"/>
    </w:lvl>
  </w:abstractNum>
  <w:abstractNum w:abstractNumId="37">
    <w:nsid w:val="1D4ED43B"/>
    <w:multiLevelType w:val="hybridMultilevel"/>
    <w:lvl w:ilvl="0">
      <w:lvlJc w:val="left"/>
      <w:lvlText w:val="%1."/>
      <w:numFmt w:val="decimal"/>
      <w:start w:val="4"/>
    </w:lvl>
  </w:abstractNum>
  <w:abstractNum w:abstractNumId="38">
    <w:nsid w:val="725A06FB"/>
    <w:multiLevelType w:val="hybridMultilevel"/>
    <w:lvl w:ilvl="0">
      <w:lvlJc w:val="left"/>
      <w:lvlText w:val="%1."/>
      <w:numFmt w:val="decimal"/>
      <w:start w:val="5"/>
    </w:lvl>
  </w:abstractNum>
  <w:abstractNum w:abstractNumId="39">
    <w:nsid w:val="2CD89A32"/>
    <w:multiLevelType w:val="hybridMultilevel"/>
    <w:lvl w:ilvl="0">
      <w:lvlJc w:val="left"/>
      <w:lvlText w:val="%1."/>
      <w:numFmt w:val="upperLetter"/>
      <w:start w:val="35"/>
    </w:lvl>
  </w:abstractNum>
  <w:abstractNum w:abstractNumId="40">
    <w:nsid w:val="57E4CCAF"/>
    <w:multiLevelType w:val="hybridMultilevel"/>
    <w:lvl w:ilvl="0">
      <w:lvlJc w:val="left"/>
      <w:lvlText w:val="%1."/>
      <w:numFmt w:val="upperLetter"/>
      <w:start w:val="9"/>
    </w:lvl>
  </w:abstractNum>
  <w:abstractNum w:abstractNumId="41">
    <w:nsid w:val="7A6D8D3C"/>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2">
    <w:nsid w:val="4B588F5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43">
    <w:nsid w:val="542289EC"/>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44">
    <w:nsid w:val="6DE91B18"/>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8" Type="http://schemas.openxmlformats.org/officeDocument/2006/relationships/image" Target="media/image97.png"/><Relationship Id="rId135" Type="http://schemas.openxmlformats.org/officeDocument/2006/relationships/image" Target="media/image98.png"/><Relationship Id="rId154" Type="http://schemas.openxmlformats.org/officeDocument/2006/relationships/image" Target="media/image99.png"/><Relationship Id="rId174" Type="http://schemas.openxmlformats.org/officeDocument/2006/relationships/image" Target="media/image100.png"/><Relationship Id="rId192" Type="http://schemas.openxmlformats.org/officeDocument/2006/relationships/image" Target="media/image101.png"/><Relationship Id="rId209" Type="http://schemas.openxmlformats.org/officeDocument/2006/relationships/image" Target="media/image102.png"/><Relationship Id="rId214" Type="http://schemas.openxmlformats.org/officeDocument/2006/relationships/image" Target="media/image103.png"/><Relationship Id="rId215" Type="http://schemas.openxmlformats.org/officeDocument/2006/relationships/image" Target="media/image104.png"/><Relationship Id="rId216" Type="http://schemas.openxmlformats.org/officeDocument/2006/relationships/image" Target="media/image105.png"/><Relationship Id="rId217" Type="http://schemas.openxmlformats.org/officeDocument/2006/relationships/image" Target="media/image106.png"/><Relationship Id="rId218" Type="http://schemas.openxmlformats.org/officeDocument/2006/relationships/image" Target="media/image107.png"/><Relationship Id="rId219" Type="http://schemas.openxmlformats.org/officeDocument/2006/relationships/image" Target="media/image108.png"/><Relationship Id="rId220" Type="http://schemas.openxmlformats.org/officeDocument/2006/relationships/image" Target="media/image109.png"/><Relationship Id="rId221" Type="http://schemas.openxmlformats.org/officeDocument/2006/relationships/image" Target="media/image110.png"/><Relationship Id="rId104" Type="http://schemas.openxmlformats.org/officeDocument/2006/relationships/hyperlink" Target="http://www.sec.gov/Archives/edgar/data/766829/000119312521074993/d153060dex11.htm" TargetMode="External"/><Relationship Id="rId105" Type="http://schemas.openxmlformats.org/officeDocument/2006/relationships/hyperlink" Target="http://www.sec.gov/Archives/edgar/data/766829/000119312521333078/d260123dex11.htm" TargetMode="External"/><Relationship Id="rId106" Type="http://schemas.openxmlformats.org/officeDocument/2006/relationships/hyperlink" Target="http://www.sec.gov/Archives/edgar/data/766829/000119312518083275/d517078dex21.htm" TargetMode="External"/><Relationship Id="rId107" Type="http://schemas.openxmlformats.org/officeDocument/2006/relationships/hyperlink" Target="http://www.sec.gov/Archives/edgar/data/766829/000119312518179537/d586629dex21.htm" TargetMode="External"/><Relationship Id="rId108" Type="http://schemas.openxmlformats.org/officeDocument/2006/relationships/hyperlink" Target="http://www.sec.gov/Archives/edgar/data/766829/000119312518239077/d526512dex21.htm" TargetMode="External"/><Relationship Id="rId109" Type="http://schemas.openxmlformats.org/officeDocument/2006/relationships/hyperlink" Target="http://www.sec.gov/Archives/edgar/data/766829/000076682916000106/exhibit31certificateofinco.htm" TargetMode="External"/><Relationship Id="rId110" Type="http://schemas.openxmlformats.org/officeDocument/2006/relationships/hyperlink" Target="http://www.sec.gov/Archives/edgar/data/766829/000076682916000106/exhibit33certificateofamen.htm" TargetMode="External"/><Relationship Id="rId111" Type="http://schemas.openxmlformats.org/officeDocument/2006/relationships/hyperlink" Target="http://www.sec.gov/Archives/edgar/data/766829/000076682919000084/exhibit31-certificateofame.htm" TargetMode="External"/><Relationship Id="rId112" Type="http://schemas.openxmlformats.org/officeDocument/2006/relationships/hyperlink" Target="http://www.sec.gov/Archives/edgar/data/766829/000076682916000106/exhibit32bylawsofsjwgroup.htm" TargetMode="External"/><Relationship Id="rId113" Type="http://schemas.openxmlformats.org/officeDocument/2006/relationships/hyperlink" Target="http://www.sec.gov/Archives/edgar/data/766829/000076682917000028/exhibit31-amendedandrestat.htm" TargetMode="External"/><Relationship Id="rId114" Type="http://schemas.openxmlformats.org/officeDocument/2006/relationships/hyperlink" Target="http://www.sec.gov/Archives/edgar/data/766829/000076682916000106/exhibit41formofcommonstock.htm" TargetMode="External"/><Relationship Id="rId115" Type="http://schemas.openxmlformats.org/officeDocument/2006/relationships/hyperlink" Target="http://www.sec.gov/Archives/edgar/data/766829/000119312510181531/dex41.htm" TargetMode="External"/><Relationship Id="rId116" Type="http://schemas.openxmlformats.org/officeDocument/2006/relationships/hyperlink" Target="http://www.sec.gov/Archives/edgar/data/766829/000119312519265175/d804814dex101.htm" TargetMode="External"/><Relationship Id="rId117" Type="http://schemas.openxmlformats.org/officeDocument/2006/relationships/hyperlink" Target="http://www.sec.gov/Archives/edgar/data/766829/000076682920000055/a46-descriptionofcapit.htm" TargetMode="External"/><Relationship Id="rId119" Type="http://schemas.openxmlformats.org/officeDocument/2006/relationships/hyperlink" Target="http://www.sec.gov/Archives/edgar/data/766829/000095000502000295/p15065_ex10-1.txt" TargetMode="External"/><Relationship Id="rId120" Type="http://schemas.openxmlformats.org/officeDocument/2006/relationships/hyperlink" Target="http://www.sec.gov/Archives/edgar/data/766829/000076682913000005/sjw2012q410kexhibit104.htm" TargetMode="External"/><Relationship Id="rId121" Type="http://schemas.openxmlformats.org/officeDocument/2006/relationships/hyperlink" Target="http://www.sec.gov/Archives/edgar/data/766829/000119312521134432/d175813dex101.htm" TargetMode="External"/><Relationship Id="rId122" Type="http://schemas.openxmlformats.org/officeDocument/2006/relationships/hyperlink" Target="http://www.sec.gov/Archives/edgar/data/766829/000119312510181531/dex103.htm" TargetMode="External"/><Relationship Id="rId123" Type="http://schemas.openxmlformats.org/officeDocument/2006/relationships/hyperlink" Target="http://www.sec.gov/Archives/edgar/data/766829/000076682917000043/sjw2016q410kexhibit107.htm" TargetMode="External"/><Relationship Id="rId124" Type="http://schemas.openxmlformats.org/officeDocument/2006/relationships/hyperlink" Target="http://www.sec.gov/Archives/edgar/data/766829/000119312510181531/dex104.htm" TargetMode="External"/><Relationship Id="rId125" Type="http://schemas.openxmlformats.org/officeDocument/2006/relationships/hyperlink" Target="http://www.sec.gov/Archives/edgar/data/766829/000076682917000043/sjw2016q410kexhibit109.htm" TargetMode="External"/><Relationship Id="rId126" Type="http://schemas.openxmlformats.org/officeDocument/2006/relationships/hyperlink" Target="http://www.sec.gov/Archives/edgar/data/766829/000076682911000028/exhibit-10.3.txt" TargetMode="External"/><Relationship Id="rId127" Type="http://schemas.openxmlformats.org/officeDocument/2006/relationships/hyperlink" Target="http://www.sec.gov/Archives/edgar/data/766829/000076682914000003/exhibit-noteaseriesl.htm" TargetMode="External"/><Relationship Id="rId128" Type="http://schemas.openxmlformats.org/officeDocument/2006/relationships/hyperlink" Target="http://www.sec.gov/Archives/edgar/data/766829/000076682919000081/notepurchaseagreement.htm" TargetMode="External"/><Relationship Id="rId129" Type="http://schemas.openxmlformats.org/officeDocument/2006/relationships/hyperlink" Target="http://www.sec.gov/Archives/edgar/data/766829/000119312521236713/d159531dex101.htm" TargetMode="External"/><Relationship Id="rId130" Type="http://schemas.openxmlformats.org/officeDocument/2006/relationships/hyperlink" Target="http://www.sec.gov/Archives/edgar/data/276209/000119312512447973/d431891dex101.htm" TargetMode="External"/><Relationship Id="rId131" Type="http://schemas.openxmlformats.org/officeDocument/2006/relationships/hyperlink" Target="http://www.sec.gov/Archives/edgar/data/276209/000027620918000025/exhibit104-citizensamendme.htm" TargetMode="External"/><Relationship Id="rId132" Type="http://schemas.openxmlformats.org/officeDocument/2006/relationships/hyperlink" Target="http://www.sec.gov/Archives/edgar/data/276209/000119312519239473/d800225dex103.htm" TargetMode="External"/><Relationship Id="rId133" Type="http://schemas.openxmlformats.org/officeDocument/2006/relationships/hyperlink" Target="http://www.sec.gov/Archives/edgar/data/276209/000119312519239473/d800225dex104.htm" TargetMode="External"/><Relationship Id="rId134" Type="http://schemas.openxmlformats.org/officeDocument/2006/relationships/hyperlink" Target="http://www.sec.gov/Archives/edgar/data/766829/000076682912000007/a2011q410kexhibit1020sjw.htm" TargetMode="External"/><Relationship Id="rId136" Type="http://schemas.openxmlformats.org/officeDocument/2006/relationships/hyperlink" Target="http://www.sec.gov/Archives/edgar/data/766829/000076682917000043/sjw2016q410kexhibit1014.htm" TargetMode="External"/><Relationship Id="rId137" Type="http://schemas.openxmlformats.org/officeDocument/2006/relationships/hyperlink" Target="http://www.sec.gov/Archives/edgar/data/766829/000119312519265175/d804814dex105.htm" TargetMode="External"/><Relationship Id="rId138" Type="http://schemas.openxmlformats.org/officeDocument/2006/relationships/hyperlink" Target="http://www.sec.gov/Archives/edgar/data/766829/000076682912000007/a2011q410kexhibit1023sjw.htm" TargetMode="External"/><Relationship Id="rId139" Type="http://schemas.openxmlformats.org/officeDocument/2006/relationships/hyperlink" Target="http://www.sec.gov/Archives/edgar/data/766829/000076682914000012/sjw2013q410kexhibit1015.htm" TargetMode="External"/><Relationship Id="rId140" Type="http://schemas.openxmlformats.org/officeDocument/2006/relationships/hyperlink" Target="http://www.sec.gov/Archives/edgar/data/766829/000076682914000005/exhibit102.htm" TargetMode="External"/><Relationship Id="rId141" Type="http://schemas.openxmlformats.org/officeDocument/2006/relationships/hyperlink" Target="http://www.sec.gov/Archives/edgar/data/766829/000076682917000043/sjw2016q410kexhibit1018.htm" TargetMode="External"/><Relationship Id="rId142" Type="http://schemas.openxmlformats.org/officeDocument/2006/relationships/hyperlink" Target="http://www.sec.gov/Archives/edgar/data/766829/000076682917000109/sjw-93017xex105.htm" TargetMode="External"/><Relationship Id="rId143" Type="http://schemas.openxmlformats.org/officeDocument/2006/relationships/hyperlink" Target="http://www.sec.gov/Archives/edgar/data/766829/000076682919000063/a2018q410-kexhibit1021.htm" TargetMode="External"/><Relationship Id="rId144" Type="http://schemas.openxmlformats.org/officeDocument/2006/relationships/hyperlink" Target="http://www.sec.gov/Archives/edgar/data/766829/000119312519265175/d804814dex104.htm" TargetMode="External"/><Relationship Id="rId145" Type="http://schemas.openxmlformats.org/officeDocument/2006/relationships/hyperlink" Target="http://www.sec.gov/Archives/edgar/data/766829/000076682915000041/sjw-93015xex101.htm" TargetMode="External"/><Relationship Id="rId146" Type="http://schemas.openxmlformats.org/officeDocument/2006/relationships/hyperlink" Target="http://www.sec.gov/Archives/edgar/data/766829/000076682917000043/sjw2016q410kexhibit1021.htm" TargetMode="External"/><Relationship Id="rId147" Type="http://schemas.openxmlformats.org/officeDocument/2006/relationships/hyperlink" Target="http://www.sec.gov/Archives/edgar/data/766829/000076682920000149/exhibit101-sjw_secondamend.htm" TargetMode="External"/><Relationship Id="rId148" Type="http://schemas.openxmlformats.org/officeDocument/2006/relationships/hyperlink" Target="http://www.sec.gov/Archives/edgar/data/766829/000076682921000047/a2020q410kexhibit1031.htm" TargetMode="External"/><Relationship Id="rId149" Type="http://schemas.openxmlformats.org/officeDocument/2006/relationships/hyperlink" Target="http://www.sec.gov/Archives/edgar/data/766829/000076682917000109/sjw-930017xex103.htm" TargetMode="External"/><Relationship Id="rId150" Type="http://schemas.openxmlformats.org/officeDocument/2006/relationships/hyperlink" Target="http://www.sec.gov/Archives/edgar/data/766829/000076682920000022/exhibit101firstamendme.htm" TargetMode="External"/><Relationship Id="rId151" Type="http://schemas.openxmlformats.org/officeDocument/2006/relationships/hyperlink" Target="http://www.sec.gov/Archives/edgar/data/766829/000119312510222188/dex101.htm" TargetMode="External"/><Relationship Id="rId152" Type="http://schemas.openxmlformats.org/officeDocument/2006/relationships/hyperlink" Target="http://www.sec.gov/Archives/edgar/data/766829/000076682917000043/sjw2016q410kexhibit1031.htm" TargetMode="External"/><Relationship Id="rId153" Type="http://schemas.openxmlformats.org/officeDocument/2006/relationships/hyperlink" Target="http://www.sec.gov/Archives/edgar/data/766829/000076682920000149/exhibit102-executiveoffice.htm" TargetMode="External"/><Relationship Id="rId155" Type="http://schemas.openxmlformats.org/officeDocument/2006/relationships/hyperlink" Target="http://www.sec.gov/Archives/edgar/data/766829/000076682921000047/a2020q410kexhibit1039.htm" TargetMode="External"/><Relationship Id="rId156" Type="http://schemas.openxmlformats.org/officeDocument/2006/relationships/hyperlink" Target="http://www.sec.gov/Archives/edgar/data/766829/000119312511052239/dex1023.htm" TargetMode="External"/><Relationship Id="rId157" Type="http://schemas.openxmlformats.org/officeDocument/2006/relationships/hyperlink" Target="http://www.sec.gov/Archives/edgar/data/766829/000076682917000043/sjw2016q410kexhibit1035.htm" TargetMode="External"/><Relationship Id="rId158" Type="http://schemas.openxmlformats.org/officeDocument/2006/relationships/hyperlink" Target="http://www.sec.gov/Archives/edgar/data/766829/000076682917000109/sjw-93017xex101.htm" TargetMode="External"/><Relationship Id="rId159" Type="http://schemas.openxmlformats.org/officeDocument/2006/relationships/hyperlink" Target="http://www.sec.gov/Archives/edgar/data/766829/000076682917000109/sjw-93017xex102.htm" TargetMode="External"/><Relationship Id="rId160" Type="http://schemas.openxmlformats.org/officeDocument/2006/relationships/hyperlink" Target="http://www.sec.gov/Archives/edgar/data/766829/000119312519265175/d804814dex103.htm" TargetMode="External"/><Relationship Id="rId161" Type="http://schemas.openxmlformats.org/officeDocument/2006/relationships/hyperlink" Target="http://www.sec.gov/Archives/edgar/data/766829/000076682920000176/a058860_x40035844v2xsjwxfi.htm" TargetMode="External"/><Relationship Id="rId162" Type="http://schemas.openxmlformats.org/officeDocument/2006/relationships/hyperlink" Target="http://www.sec.gov/Archives/edgar/data/766829/000076682913000005/sjw2012q410kexhibit1036.htm" TargetMode="External"/><Relationship Id="rId163" Type="http://schemas.openxmlformats.org/officeDocument/2006/relationships/hyperlink" Target="http://www.sec.gov/Archives/edgar/data/766829/000076682917000043/sjw2016q410kexhibit1037.htm" TargetMode="External"/><Relationship Id="rId164" Type="http://schemas.openxmlformats.org/officeDocument/2006/relationships/hyperlink" Target="http://www.sec.gov/Archives/edgar/data/766829/000110465908031396/a08-13183_1ex10d1.htm" TargetMode="External"/><Relationship Id="rId165" Type="http://schemas.openxmlformats.org/officeDocument/2006/relationships/hyperlink" Target="http://www.sec.gov/Archives/edgar/data/766829/000076682917000043/sjw2016q410kexhibit1039.htm" TargetMode="External"/><Relationship Id="rId166" Type="http://schemas.openxmlformats.org/officeDocument/2006/relationships/hyperlink" Target="http://www.sec.gov/Archives/edgar/data/766829/000076682914000012/sjw2013q410kexhibit1032.htm" TargetMode="External"/><Relationship Id="rId167" Type="http://schemas.openxmlformats.org/officeDocument/2006/relationships/hyperlink" Target="http://www.sec.gov/Archives/edgar/data/766829/000076682917000043/sjw2016q410kexhibit1041.htm" TargetMode="External"/><Relationship Id="rId168" Type="http://schemas.openxmlformats.org/officeDocument/2006/relationships/hyperlink" Target="http://www.sec.gov/Archives/edgar/data/766829/000076682917000091/sjw-q2x2017xex101.htm" TargetMode="External"/><Relationship Id="rId169" Type="http://schemas.openxmlformats.org/officeDocument/2006/relationships/hyperlink" Target="http://www.sec.gov/Archives/edgar/data/766829/000076682914000012/sjw2013q410kexhibit1034.htm" TargetMode="External"/><Relationship Id="rId170" Type="http://schemas.openxmlformats.org/officeDocument/2006/relationships/hyperlink" Target="http://www.sec.gov/Archives/edgar/data/766829/000076682917000043/sjw2016q410kexhibit1045.htm" TargetMode="External"/><Relationship Id="rId171" Type="http://schemas.openxmlformats.org/officeDocument/2006/relationships/hyperlink" Target="http://www.sec.gov/Archives/edgar/data/766829/000076682919000063/a2018q410-kexhibit1048.htm" TargetMode="External"/><Relationship Id="rId172" Type="http://schemas.openxmlformats.org/officeDocument/2006/relationships/hyperlink" Target="http://www.sec.gov/Archives/edgar/data/766829/000119312521272752/d225875dex101.htm" TargetMode="External"/><Relationship Id="rId173" Type="http://schemas.openxmlformats.org/officeDocument/2006/relationships/hyperlink" Target="http://www.sec.gov/Archives/edgar/data/766829/000119312519265175/d804814dex102.htm" TargetMode="External"/><Relationship Id="rId175" Type="http://schemas.openxmlformats.org/officeDocument/2006/relationships/hyperlink" Target="http://www.sec.gov/Archives/edgar/data/766829/000119312509047816/dex1021.htm" TargetMode="External"/><Relationship Id="rId176" Type="http://schemas.openxmlformats.org/officeDocument/2006/relationships/hyperlink" Target="http://www.sec.gov/Archives/edgar/data/766829/000076682918000058/a2017q410kexhibit1055.htm" TargetMode="External"/><Relationship Id="rId177" Type="http://schemas.openxmlformats.org/officeDocument/2006/relationships/hyperlink" Target="http://www.sec.gov/Archives/edgar/data/766829/000076682917000043/sjw2016q410kexhibit1052.htm" TargetMode="External"/><Relationship Id="rId178" Type="http://schemas.openxmlformats.org/officeDocument/2006/relationships/hyperlink" Target="http://www.sec.gov/Archives/edgar/data/766829/000076682917000043/sjw2016q410kexhibit1054.htm" TargetMode="External"/><Relationship Id="rId179" Type="http://schemas.openxmlformats.org/officeDocument/2006/relationships/hyperlink" Target="http://www.sec.gov/Archives/edgar/data/766829/000076682917000043/sjw2016q410kexhibit1055.htm" TargetMode="External"/><Relationship Id="rId180" Type="http://schemas.openxmlformats.org/officeDocument/2006/relationships/hyperlink" Target="http://www.sec.gov/Archives/edgar/data/766829/000076682916000106/exhibit101formofindemnific.htm" TargetMode="External"/><Relationship Id="rId181" Type="http://schemas.openxmlformats.org/officeDocument/2006/relationships/hyperlink" Target="http://www.sec.gov/Archives/edgar/data/766829/000119312519265068/d811369dex993.htm" TargetMode="External"/><Relationship Id="rId182" Type="http://schemas.openxmlformats.org/officeDocument/2006/relationships/hyperlink" Target="http://www.sec.gov/Archives/edgar/data/766829/000119312519265068/d811369dex992.htm" TargetMode="External"/><Relationship Id="rId183" Type="http://schemas.openxmlformats.org/officeDocument/2006/relationships/hyperlink" Target="http://www.sec.gov/Archives/edgar/data/276209/000095012306004035/y19293exv10w23wf.htm" TargetMode="External"/><Relationship Id="rId184" Type="http://schemas.openxmlformats.org/officeDocument/2006/relationships/hyperlink" Target="http://www.sec.gov/Archives/edgar/data/276209/000095012308000933/y47633exv10w6.htm" TargetMode="External"/><Relationship Id="rId185" Type="http://schemas.openxmlformats.org/officeDocument/2006/relationships/hyperlink" Target="http://www.sec.gov/Archives/edgar/data/766829/000119312519265068/d811369dex991.htm" TargetMode="External"/><Relationship Id="rId186" Type="http://schemas.openxmlformats.org/officeDocument/2006/relationships/hyperlink" Target="http://www.sec.gov/Archives/edgar/data/766829/000076682920000055/a1069-firstamendmentto.htm" TargetMode="External"/><Relationship Id="rId187" Type="http://schemas.openxmlformats.org/officeDocument/2006/relationships/hyperlink" Target="http://www.sec.gov/Archives/edgar/data/276209/000027620917000009/exhibit109-psuawardagreeme.htm" TargetMode="External"/><Relationship Id="rId188" Type="http://schemas.openxmlformats.org/officeDocument/2006/relationships/hyperlink" Target="http://www.sec.gov/Archives/edgar/data/276209/000027620917000009/exhibit1010-psuawardagreem.htm" TargetMode="External"/><Relationship Id="rId189" Type="http://schemas.openxmlformats.org/officeDocument/2006/relationships/hyperlink" Target="http://www.sec.gov/Archives/edgar/data/766829/000076682920000055/a1073-assumptionagreem.htm" TargetMode="External"/><Relationship Id="rId190" Type="http://schemas.openxmlformats.org/officeDocument/2006/relationships/hyperlink" Target="http://www.sec.gov/Archives/edgar/data/766829/000076682921000047/a2020q410kexhibit1073.htm" TargetMode="External"/><Relationship Id="rId191" Type="http://schemas.openxmlformats.org/officeDocument/2006/relationships/hyperlink" Target="http://www.sec.gov/Archives/edgar/data/766829/000076682920000055/a1074-westbrookarserpa.htm" TargetMode="External"/><Relationship Id="rId193" Type="http://schemas.openxmlformats.org/officeDocument/2006/relationships/hyperlink" Target="http://www.sec.gov/Archives/edgar/data/766829/000076682920000055/a1075-johnsonarserpagr.htm" TargetMode="External"/><Relationship Id="rId194" Type="http://schemas.openxmlformats.org/officeDocument/2006/relationships/hyperlink" Target="http://www.sec.gov/Archives/edgar/data/766829/000076682920000055/a1077-amendmenttoctwse.htm" TargetMode="External"/><Relationship Id="rId195" Type="http://schemas.openxmlformats.org/officeDocument/2006/relationships/hyperlink" Target="http://www.sec.gov/Archives/edgar/data/766829/000076682920000055/a1078-matrixgrantortru.htm" TargetMode="External"/><Relationship Id="rId196" Type="http://schemas.openxmlformats.org/officeDocument/2006/relationships/hyperlink" Target="http://www.sec.gov/Archives/edgar/data/766829/000076682921000047/a2020q410kexhibit1078.htm" TargetMode="External"/><Relationship Id="rId197" Type="http://schemas.openxmlformats.org/officeDocument/2006/relationships/hyperlink" Target="http://www.sec.gov/Archives/edgar/data/766829/000076682920000055/a1079-mwestbrookardefe.htm" TargetMode="External"/><Relationship Id="rId198" Type="http://schemas.openxmlformats.org/officeDocument/2006/relationships/hyperlink" Target="http://www.sec.gov/Archives/edgar/data/766829/000076682920000055/a1080-kjohnsonardeferr.htm" TargetMode="External"/><Relationship Id="rId199" Type="http://schemas.openxmlformats.org/officeDocument/2006/relationships/hyperlink" Target="http://www.sec.gov/Archives/edgar/data/766829/000076682920000055/a1082-firstamendmentto.htm" TargetMode="External"/><Relationship Id="rId200" Type="http://schemas.openxmlformats.org/officeDocument/2006/relationships/hyperlink" Target="http://www.sec.gov/Archives/edgar/data/766829/000076682920000055/a1083-firstamendmentto.htm" TargetMode="External"/><Relationship Id="rId201" Type="http://schemas.openxmlformats.org/officeDocument/2006/relationships/hyperlink" Target="http://www.sec.gov/Archives/edgar/data/766829/000076682920000055/a1085-2ndamendmenttoar.htm" TargetMode="External"/><Relationship Id="rId202" Type="http://schemas.openxmlformats.org/officeDocument/2006/relationships/hyperlink" Target="http://www.sec.gov/Archives/edgar/data/766829/000076682920000055/a1086-2ndamendmenttoar.htm" TargetMode="External"/><Relationship Id="rId203" Type="http://schemas.openxmlformats.org/officeDocument/2006/relationships/hyperlink" Target="http://www.sec.gov/Archives/edgar/data/276209/000027620916000120/exhibit101-cwc2017dcp.htm" TargetMode="External"/><Relationship Id="rId204" Type="http://schemas.openxmlformats.org/officeDocument/2006/relationships/hyperlink" Target="http://www.sec.gov/Archives/edgar/data/766829/000076682920000055/a1089-firstamendmentto.htm" TargetMode="External"/><Relationship Id="rId205" Type="http://schemas.openxmlformats.org/officeDocument/2006/relationships/hyperlink" Target="http://www.sec.gov/Archives/edgar/data/766829/000076682920000055/a1090-secondamendmentt.htm" TargetMode="External"/><Relationship Id="rId206" Type="http://schemas.openxmlformats.org/officeDocument/2006/relationships/hyperlink" Target="http://www.sec.gov/Archives/edgar/data/766829/000076682921000103/sjw-63021xex102.htm" TargetMode="External"/><Relationship Id="rId207" Type="http://schemas.openxmlformats.org/officeDocument/2006/relationships/hyperlink" Target="http://www.sec.gov/Archives/edgar/data/766829/000076682920000055/a1093-aremploymentagre.htm" TargetMode="External"/><Relationship Id="rId208" Type="http://schemas.openxmlformats.org/officeDocument/2006/relationships/hyperlink" Target="http://www.sec.gov/Archives/edgar/data/766829/000076682920000055/a1094-johnsonxaremploy.htm" TargetMode="External"/><Relationship Id="rId210" Type="http://schemas.openxmlformats.org/officeDocument/2006/relationships/hyperlink" Target="http://www.sec.gov/Archives/edgar/data/276209/000027620913000013/exhibit1017.htm" TargetMode="External"/><Relationship Id="rId211" Type="http://schemas.openxmlformats.org/officeDocument/2006/relationships/hyperlink" Target="http://www.sec.gov/Archives/edgar/data/276209/000027620914000015/exhibit102-secondamendment.htm" TargetMode="External"/><Relationship Id="rId212" Type="http://schemas.openxmlformats.org/officeDocument/2006/relationships/hyperlink" Target="http://www.sec.gov/Archives/edgar/data/766829/000076682920000055/a1097-3rdarctwemployme.htm" TargetMode="External"/><Relationship Id="rId213" Type="http://schemas.openxmlformats.org/officeDocument/2006/relationships/hyperlink" Target="http://www.sec.gov/Archives/edgar/data/766829/000076682920000127/kpmg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2022-02-28T05:31:42Z</dcterms:created>
  <dcterms:modified xsi:type="dcterms:W3CDTF">2022-02-28T05:31:42Z</dcterms:modified>
</cp:coreProperties>
</file>