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3780" w:right="1580" w:hanging="3772"/>
        <w:spacing w:after="0" w:line="322" w:lineRule="auto"/>
        <w:tabs>
          <w:tab w:leader="none" w:pos="37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2024</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OR</w:t>
      </w:r>
    </w:p>
    <w:p>
      <w:pPr>
        <w:spacing w:after="0" w:line="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t>
            </w:r>
          </w:p>
        </w:tc>
      </w:tr>
      <w:tr>
        <w:trPr>
          <w:trHeight w:val="297"/>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28"/>
              <w:spacing w:after="0"/>
              <w:rPr>
                <w:sz w:val="20"/>
                <w:szCs w:val="20"/>
                <w:color w:val="auto"/>
              </w:rPr>
            </w:pPr>
            <w:r>
              <w:rPr>
                <w:rFonts w:ascii="Times New Roman" w:cs="Times New Roman" w:eastAsia="Times New Roman" w:hAnsi="Times New Roman"/>
                <w:sz w:val="18"/>
                <w:szCs w:val="18"/>
                <w:color w:val="auto"/>
                <w:w w:val="99"/>
              </w:rPr>
              <w:t>Commission file number 001-8966</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99"/>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28"/>
              <w:spacing w:after="0"/>
              <w:rPr>
                <w:sz w:val="20"/>
                <w:szCs w:val="20"/>
                <w:color w:val="auto"/>
              </w:rPr>
            </w:pPr>
            <w:r>
              <w:rPr>
                <w:rFonts w:ascii="Times New Roman" w:cs="Times New Roman" w:eastAsia="Times New Roman" w:hAnsi="Times New Roman"/>
                <w:sz w:val="43"/>
                <w:szCs w:val="43"/>
                <w:b w:val="1"/>
                <w:bCs w:val="1"/>
                <w:color w:val="auto"/>
              </w:rPr>
              <w:t>SJW GROUP</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38"/>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20" w:type="dxa"/>
            <w:vAlign w:val="bottom"/>
            <w:gridSpan w:val="6"/>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57"/>
        </w:trPr>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77-0066628</w:t>
            </w:r>
          </w:p>
        </w:tc>
      </w:tr>
      <w:tr>
        <w:trPr>
          <w:trHeight w:val="257"/>
        </w:trPr>
        <w:tc>
          <w:tcPr>
            <w:tcW w:w="1420" w:type="dxa"/>
            <w:vAlign w:val="bottom"/>
          </w:tcPr>
          <w:p>
            <w:pPr>
              <w:spacing w:after="0"/>
              <w:rPr>
                <w:sz w:val="22"/>
                <w:szCs w:val="22"/>
                <w:color w:val="auto"/>
              </w:rPr>
            </w:pPr>
          </w:p>
        </w:tc>
        <w:tc>
          <w:tcPr>
            <w:tcW w:w="550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6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3"/>
        </w:trPr>
        <w:tc>
          <w:tcPr>
            <w:tcW w:w="1420" w:type="dxa"/>
            <w:vAlign w:val="bottom"/>
          </w:tcPr>
          <w:p>
            <w:pPr>
              <w:spacing w:after="0"/>
              <w:rPr>
                <w:sz w:val="24"/>
                <w:szCs w:val="24"/>
                <w:color w:val="auto"/>
              </w:rPr>
            </w:pPr>
          </w:p>
        </w:tc>
        <w:tc>
          <w:tcPr>
            <w:tcW w:w="550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110 West Taylor Street, San Jose, CA</w:t>
            </w:r>
          </w:p>
        </w:tc>
        <w:tc>
          <w:tcPr>
            <w:tcW w:w="386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95110</w:t>
            </w:r>
          </w:p>
        </w:tc>
      </w:tr>
      <w:tr>
        <w:trPr>
          <w:trHeight w:val="234"/>
        </w:trPr>
        <w:tc>
          <w:tcPr>
            <w:tcW w:w="1420" w:type="dxa"/>
            <w:vAlign w:val="bottom"/>
          </w:tcPr>
          <w:p>
            <w:pPr>
              <w:spacing w:after="0"/>
              <w:rPr>
                <w:sz w:val="20"/>
                <w:szCs w:val="20"/>
                <w:color w:val="auto"/>
              </w:rPr>
            </w:pPr>
          </w:p>
        </w:tc>
        <w:tc>
          <w:tcPr>
            <w:tcW w:w="550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00" w:type="dxa"/>
            <w:vAlign w:val="bottom"/>
          </w:tcPr>
          <w:p>
            <w:pPr>
              <w:spacing w:after="0"/>
              <w:rPr>
                <w:sz w:val="20"/>
                <w:szCs w:val="20"/>
                <w:color w:val="auto"/>
              </w:rPr>
            </w:pPr>
          </w:p>
        </w:tc>
        <w:tc>
          <w:tcPr>
            <w:tcW w:w="336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(Zip Code)</w:t>
            </w:r>
          </w:p>
        </w:tc>
      </w:tr>
      <w:tr>
        <w:trPr>
          <w:trHeight w:val="394"/>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00" w:type="dxa"/>
            <w:vAlign w:val="bottom"/>
            <w:gridSpan w:val="2"/>
          </w:tcPr>
          <w:p>
            <w:pPr>
              <w:jc w:val="center"/>
              <w:ind w:left="868"/>
              <w:spacing w:after="0"/>
              <w:rPr>
                <w:sz w:val="20"/>
                <w:szCs w:val="20"/>
                <w:color w:val="auto"/>
              </w:rPr>
            </w:pPr>
            <w:r>
              <w:rPr>
                <w:rFonts w:ascii="Times New Roman" w:cs="Times New Roman" w:eastAsia="Times New Roman" w:hAnsi="Times New Roman"/>
                <w:sz w:val="18"/>
                <w:szCs w:val="18"/>
                <w:b w:val="1"/>
                <w:bCs w:val="1"/>
                <w:color w:val="auto"/>
                <w:w w:val="99"/>
              </w:rPr>
              <w:t>(408) 279-7800</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90"/>
        </w:trPr>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0" w:type="dxa"/>
            <w:vAlign w:val="bottom"/>
            <w:gridSpan w:val="5"/>
          </w:tcPr>
          <w:p>
            <w:pPr>
              <w:jc w:val="center"/>
              <w:ind w:right="343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34"/>
        </w:trPr>
        <w:tc>
          <w:tcPr>
            <w:tcW w:w="6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256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60" w:type="dxa"/>
            <w:vAlign w:val="bottom"/>
          </w:tcPr>
          <w:p>
            <w:pPr>
              <w:spacing w:after="0"/>
              <w:rPr>
                <w:sz w:val="18"/>
                <w:szCs w:val="18"/>
                <w:color w:val="auto"/>
              </w:rPr>
            </w:pPr>
          </w:p>
        </w:tc>
        <w:tc>
          <w:tcPr>
            <w:tcW w:w="20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9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860" w:type="dxa"/>
            <w:vAlign w:val="bottom"/>
          </w:tcPr>
          <w:p>
            <w:pPr>
              <w:spacing w:after="0"/>
              <w:rPr>
                <w:sz w:val="21"/>
                <w:szCs w:val="21"/>
                <w:color w:val="auto"/>
              </w:rPr>
            </w:pP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SJW</w:t>
            </w:r>
          </w:p>
        </w:tc>
        <w:tc>
          <w:tcPr>
            <w:tcW w:w="5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 LLC</w:t>
            </w:r>
          </w:p>
        </w:tc>
      </w:tr>
    </w:tbl>
    <w:p>
      <w:pPr>
        <w:spacing w:after="0" w:line="63" w:lineRule="exact"/>
        <w:rPr>
          <w:sz w:val="24"/>
          <w:szCs w:val="24"/>
          <w:color w:val="auto"/>
        </w:rPr>
      </w:pPr>
    </w:p>
    <w:p>
      <w:pPr>
        <w:ind w:right="16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ind w:right="2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4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00"/>
          </w:cols>
          <w:pgMar w:left="320" w:top="1366" w:right="479" w:bottom="1440" w:gutter="0" w:footer="0" w:header="0"/>
        </w:sectPr>
      </w:pPr>
    </w:p>
    <w:p>
      <w:pPr>
        <w:spacing w:after="0" w:line="24" w:lineRule="exact"/>
        <w:rPr>
          <w:sz w:val="24"/>
          <w:szCs w:val="24"/>
          <w:color w:val="auto"/>
        </w:rPr>
      </w:pPr>
    </w:p>
    <w:p>
      <w:pPr>
        <w:ind w:left="360"/>
        <w:spacing w:after="0" w:line="242" w:lineRule="exact"/>
        <w:tabs>
          <w:tab w:leader="none" w:pos="30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Non-accelerated filer</w:t>
      </w:r>
    </w:p>
    <w:p>
      <w:pPr>
        <w:spacing w:after="0" w:line="79" w:lineRule="exact"/>
        <w:rPr>
          <w:sz w:val="24"/>
          <w:szCs w:val="24"/>
          <w:color w:val="auto"/>
        </w:rPr>
      </w:pPr>
    </w:p>
    <w:p>
      <w:pPr>
        <w:ind w:left="360"/>
        <w:spacing w:after="0" w:line="207" w:lineRule="exact"/>
        <w:tabs>
          <w:tab w:leader="none" w:pos="2600" w:val="left"/>
        </w:tabs>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9" w:lineRule="exact"/>
        <w:rPr>
          <w:sz w:val="24"/>
          <w:szCs w:val="24"/>
          <w:color w:val="auto"/>
        </w:rPr>
      </w:pPr>
    </w:p>
    <w:p>
      <w:pPr>
        <w:ind w:left="15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326" w:lineRule="exact"/>
        <w:rPr>
          <w:sz w:val="24"/>
          <w:szCs w:val="24"/>
          <w:color w:val="auto"/>
        </w:rPr>
      </w:pPr>
    </w:p>
    <w:p>
      <w:pPr>
        <w:sectPr>
          <w:pgSz w:w="11900" w:h="16838" w:orient="portrait"/>
          <w:cols w:equalWidth="0" w:num="2">
            <w:col w:w="4580" w:space="100"/>
            <w:col w:w="6420"/>
          </w:cols>
          <w:pgMar w:left="320" w:top="1366" w:right="47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7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As of October 21, 2024, there were 33,253,536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66"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60" w:type="dxa"/>
            <w:vAlign w:val="bottom"/>
            <w:gridSpan w:val="8"/>
          </w:tcPr>
          <w:p>
            <w:pPr>
              <w:ind w:left="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12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Forward-Looking Statements</w:t>
            </w:r>
          </w:p>
        </w:tc>
        <w:tc>
          <w:tcPr>
            <w:tcW w:w="7920" w:type="dxa"/>
            <w:vAlign w:val="bottom"/>
            <w:gridSpan w:val="17"/>
            <w:shd w:val="clear" w:color="auto" w:fill="CCEEFF"/>
          </w:tcPr>
          <w:p>
            <w:pPr>
              <w:spacing w:after="0"/>
              <w:rPr>
                <w:sz w:val="15"/>
                <w:szCs w:val="15"/>
                <w:color w:val="auto"/>
              </w:rPr>
            </w:pPr>
          </w:p>
        </w:tc>
        <w:tc>
          <w:tcPr>
            <w:tcW w:w="1180" w:type="dxa"/>
            <w:vAlign w:val="bottom"/>
            <w:gridSpan w:val="4"/>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1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600" w:type="dxa"/>
            <w:vAlign w:val="bottom"/>
            <w:gridSpan w:val="5"/>
            <w:shd w:val="clear" w:color="auto" w:fill="CCEEFF"/>
          </w:tcPr>
          <w:p>
            <w:pPr>
              <w:spacing w:after="0"/>
              <w:rPr>
                <w:sz w:val="16"/>
                <w:szCs w:val="16"/>
                <w:color w:val="auto"/>
              </w:rPr>
            </w:pPr>
          </w:p>
        </w:tc>
        <w:tc>
          <w:tcPr>
            <w:tcW w:w="15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w:t>
            </w:r>
          </w:p>
        </w:tc>
        <w:tc>
          <w:tcPr>
            <w:tcW w:w="7400" w:type="dxa"/>
            <w:vAlign w:val="bottom"/>
            <w:gridSpan w:val="14"/>
            <w:shd w:val="clear" w:color="auto" w:fill="CCEEFF"/>
          </w:tcPr>
          <w:p>
            <w:pPr>
              <w:spacing w:after="0"/>
              <w:rPr>
                <w:sz w:val="16"/>
                <w:szCs w:val="16"/>
                <w:color w:val="auto"/>
              </w:rPr>
            </w:pPr>
          </w:p>
        </w:tc>
        <w:tc>
          <w:tcPr>
            <w:tcW w:w="11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 For the Three and Nine Months Ended</w:t>
            </w:r>
          </w:p>
        </w:tc>
        <w:tc>
          <w:tcPr>
            <w:tcW w:w="11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8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2024 and 2023</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60" w:type="dxa"/>
            <w:vAlign w:val="bottom"/>
            <w:gridSpan w:val="16"/>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 as of September 30, 2024 and December 31, 2023</w:t>
            </w:r>
          </w:p>
        </w:tc>
        <w:tc>
          <w:tcPr>
            <w:tcW w:w="1460" w:type="dxa"/>
            <w:vAlign w:val="bottom"/>
            <w:gridSpan w:val="4"/>
            <w:shd w:val="clear" w:color="auto" w:fill="CCEEFF"/>
          </w:tcPr>
          <w:p>
            <w:pPr>
              <w:spacing w:after="0"/>
              <w:rPr>
                <w:sz w:val="17"/>
                <w:szCs w:val="17"/>
                <w:color w:val="auto"/>
              </w:rPr>
            </w:pPr>
          </w:p>
        </w:tc>
        <w:tc>
          <w:tcPr>
            <w:tcW w:w="1180" w:type="dxa"/>
            <w:vAlign w:val="bottom"/>
            <w:gridSpan w:val="4"/>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 For the Three and Nine Months</w:t>
            </w:r>
          </w:p>
        </w:tc>
        <w:tc>
          <w:tcPr>
            <w:tcW w:w="11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Ended September 30, 2024 and 2023</w:t>
            </w:r>
          </w:p>
        </w:tc>
        <w:tc>
          <w:tcPr>
            <w:tcW w:w="17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gridSpan w:val="3"/>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92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Nine Months Ended September 30, 2024 and 2023</w:t>
            </w:r>
          </w:p>
        </w:tc>
        <w:tc>
          <w:tcPr>
            <w:tcW w:w="1180" w:type="dxa"/>
            <w:vAlign w:val="bottom"/>
            <w:gridSpan w:val="4"/>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80" w:type="dxa"/>
            <w:vAlign w:val="bottom"/>
          </w:tcPr>
          <w:p>
            <w:pPr>
              <w:spacing w:after="0"/>
              <w:rPr>
                <w:sz w:val="16"/>
                <w:szCs w:val="16"/>
                <w:color w:val="auto"/>
              </w:rPr>
            </w:pP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600" w:type="dxa"/>
            <w:vAlign w:val="bottom"/>
            <w:tcBorders>
              <w:bottom w:val="single" w:sz="8" w:color="CCEEFF"/>
            </w:tcBorders>
            <w:gridSpan w:val="5"/>
            <w:shd w:val="clear" w:color="auto" w:fill="CCEEFF"/>
          </w:tcPr>
          <w:p>
            <w:pPr>
              <w:spacing w:after="0"/>
              <w:rPr>
                <w:sz w:val="18"/>
                <w:szCs w:val="18"/>
                <w:color w:val="auto"/>
              </w:rPr>
            </w:pPr>
          </w:p>
        </w:tc>
        <w:tc>
          <w:tcPr>
            <w:tcW w:w="6480" w:type="dxa"/>
            <w:vAlign w:val="bottom"/>
            <w:tcBorders>
              <w:bottom w:val="single" w:sz="8" w:color="0000FF"/>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tcBorders>
              <w:bottom w:val="single" w:sz="8" w:color="CCEEFF"/>
            </w:tcBorders>
            <w:gridSpan w:val="5"/>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r>
              <w:rPr>
                <w:rFonts w:ascii="Times New Roman" w:cs="Times New Roman" w:eastAsia="Times New Roman" w:hAnsi="Times New Roman"/>
                <w:sz w:val="18"/>
                <w:szCs w:val="18"/>
                <w:color w:val="000000"/>
              </w:rPr>
              <w:t>.</w:t>
            </w:r>
          </w:p>
        </w:tc>
        <w:tc>
          <w:tcPr>
            <w:tcW w:w="89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600" w:type="dxa"/>
            <w:vAlign w:val="bottom"/>
            <w:gridSpan w:val="5"/>
            <w:shd w:val="clear" w:color="auto" w:fill="CCEEFF"/>
          </w:tcPr>
          <w:p>
            <w:pPr>
              <w:spacing w:after="0"/>
              <w:rPr>
                <w:sz w:val="16"/>
                <w:szCs w:val="16"/>
                <w:color w:val="auto"/>
              </w:rPr>
            </w:pPr>
          </w:p>
        </w:tc>
        <w:tc>
          <w:tcPr>
            <w:tcW w:w="89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600" w:type="dxa"/>
            <w:vAlign w:val="bottom"/>
            <w:tcBorders>
              <w:bottom w:val="single" w:sz="8" w:color="CCEEFF"/>
            </w:tcBorders>
            <w:gridSpan w:val="5"/>
            <w:shd w:val="clear" w:color="auto" w:fill="CCEEFF"/>
          </w:tcPr>
          <w:p>
            <w:pPr>
              <w:spacing w:after="0"/>
              <w:rPr>
                <w:sz w:val="18"/>
                <w:szCs w:val="18"/>
                <w:color w:val="auto"/>
              </w:rPr>
            </w:pPr>
          </w:p>
        </w:tc>
        <w:tc>
          <w:tcPr>
            <w:tcW w:w="436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60" w:type="dxa"/>
            <w:vAlign w:val="bottom"/>
            <w:tcBorders>
              <w:bottom w:val="single" w:sz="8" w:color="CCEEFF"/>
            </w:tcBorders>
            <w:gridSpan w:val="7"/>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tcBorders>
              <w:bottom w:val="single" w:sz="8" w:color="CCEEFF"/>
            </w:tcBorders>
            <w:gridSpan w:val="5"/>
            <w:shd w:val="clear" w:color="auto" w:fill="CCEEFF"/>
          </w:tcPr>
          <w:p>
            <w:pPr>
              <w:spacing w:after="0"/>
              <w:rPr>
                <w:sz w:val="18"/>
                <w:szCs w:val="18"/>
                <w:color w:val="auto"/>
              </w:rPr>
            </w:pPr>
          </w:p>
        </w:tc>
        <w:tc>
          <w:tcPr>
            <w:tcW w:w="178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140" w:type="dxa"/>
            <w:vAlign w:val="bottom"/>
            <w:tcBorders>
              <w:bottom w:val="single" w:sz="8" w:color="CCEEFF"/>
            </w:tcBorders>
            <w:gridSpan w:val="13"/>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600" w:type="dxa"/>
            <w:vAlign w:val="bottom"/>
            <w:gridSpan w:val="5"/>
            <w:shd w:val="clear" w:color="auto" w:fill="CCEEFF"/>
          </w:tcPr>
          <w:p>
            <w:pPr>
              <w:spacing w:after="0"/>
              <w:rPr>
                <w:sz w:val="16"/>
                <w:szCs w:val="16"/>
                <w:color w:val="auto"/>
              </w:rPr>
            </w:pPr>
          </w:p>
        </w:tc>
        <w:tc>
          <w:tcPr>
            <w:tcW w:w="89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gridSpan w:val="14"/>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as amended.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accuracy of such statements is subject to a number of risks, uncertainties and assumptions including, but not limited to, the following factors:</w:t>
      </w:r>
    </w:p>
    <w:p>
      <w:pPr>
        <w:spacing w:after="0" w:line="158" w:lineRule="exact"/>
        <w:rPr>
          <w:sz w:val="20"/>
          <w:szCs w:val="20"/>
          <w:color w:val="auto"/>
        </w:rPr>
      </w:pPr>
    </w:p>
    <w:p>
      <w:pPr>
        <w:ind w:left="660" w:right="12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water, utility, environmental and other governmental policies and regulations, including regulatory actions concerning rates, authorized return on equity, authorized capital structures, capital expenditures, per- and polyfluroralkyl substances (“PFAS”) and other decisions;</w:t>
      </w:r>
    </w:p>
    <w:p>
      <w:pPr>
        <w:spacing w:after="0" w:line="7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water and other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weather conditions and changes in seasonality including those affecting water supply and customer usage;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impacts of climate change;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evaluate investments in new business and growth initiatives;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our water supplies and damage or failure of our water equipment and infrastructure;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work stoppages, strikes and other labor-related actions;</w:t>
      </w:r>
    </w:p>
    <w:p>
      <w:pPr>
        <w:spacing w:after="0" w:line="14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earthquakes, explosions, floods, ice storms, tornadoes, hurricanes, terrorist acts, physical attacks, cyber-attacks, epidemic or other similar occurrences;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business and financial market conditions;</w:t>
      </w:r>
    </w:p>
    <w:p>
      <w:pPr>
        <w:spacing w:after="0" w:line="157" w:lineRule="exact"/>
        <w:rPr>
          <w:rFonts w:ascii="Times New Roman" w:cs="Times New Roman" w:eastAsia="Times New Roman" w:hAnsi="Times New Roman"/>
          <w:sz w:val="18"/>
          <w:szCs w:val="18"/>
          <w:color w:val="auto"/>
        </w:rPr>
      </w:pPr>
    </w:p>
    <w:p>
      <w:pPr>
        <w:jc w:val="both"/>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general market and economic developments.</w:t>
      </w:r>
    </w:p>
    <w:p>
      <w:pPr>
        <w:spacing w:after="0" w:line="15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risks, uncertainties and other factors may cause the actual results, performance or achievements of SJW Group to be materially different from any future results, performance or achievements expressed or implied by such forward-looking statements.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Results for a quarter are not indicative of results for a full year due to seasonality and other factors. In addition, actual results, performance or achievements are subject to other risks and uncertainties that relate more broadly to our overall business, including those more fully described in our filings with the SEC, including our most recent reports on Form 10-K, Form 10-Q and Form 8-K. Forward-looking statements are not guarantees of future performance, and speak only as of the date made, and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780" w:type="dxa"/>
            <w:vAlign w:val="bottom"/>
            <w:gridSpan w:val="3"/>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499,025</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Production Expenses: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water</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101,054</w:t>
            </w:r>
          </w:p>
        </w:tc>
      </w:tr>
      <w:tr>
        <w:trPr>
          <w:trHeight w:val="229"/>
        </w:trPr>
        <w:tc>
          <w:tcPr>
            <w:tcW w:w="4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Power</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w:t>
            </w:r>
          </w:p>
        </w:tc>
      </w:tr>
      <w:tr>
        <w:trPr>
          <w:trHeight w:val="230"/>
        </w:trPr>
        <w:tc>
          <w:tcPr>
            <w:tcW w:w="4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Groundwater extraction charges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46,751</w:t>
            </w:r>
          </w:p>
        </w:tc>
      </w:tr>
      <w:tr>
        <w:trPr>
          <w:trHeight w:val="229"/>
        </w:trPr>
        <w:tc>
          <w:tcPr>
            <w:tcW w:w="4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production expenses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36,379</w:t>
            </w:r>
          </w:p>
        </w:tc>
      </w:tr>
      <w:tr>
        <w:trPr>
          <w:trHeight w:val="223"/>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production expenses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217,970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191,547</w:t>
            </w:r>
          </w:p>
        </w:tc>
      </w:tr>
      <w:tr>
        <w:trPr>
          <w:trHeight w:val="22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71,759</w:t>
            </w: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w:t>
            </w:r>
          </w:p>
        </w:tc>
      </w:tr>
      <w:tr>
        <w:trPr>
          <w:trHeight w:val="23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w:t>
            </w:r>
          </w:p>
        </w:tc>
      </w:tr>
      <w:tr>
        <w:trPr>
          <w:trHeight w:val="229"/>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84,159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78,872</w:t>
            </w:r>
          </w:p>
        </w:tc>
      </w:tr>
      <w:tr>
        <w:trPr>
          <w:trHeight w:val="223"/>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423,783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386,083</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112,942</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(48,913)</w:t>
            </w:r>
          </w:p>
        </w:tc>
      </w:tr>
      <w:tr>
        <w:trPr>
          <w:trHeight w:val="23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non-service credit (cost)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70,165</w:t>
            </w:r>
          </w:p>
        </w:tc>
      </w:tr>
      <w:tr>
        <w:trPr>
          <w:trHeight w:val="230"/>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66,038</w:t>
            </w:r>
          </w:p>
        </w:tc>
      </w:tr>
      <w:tr>
        <w:trPr>
          <w:trHeight w:val="230"/>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32,896,967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31,862,518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32,458,666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31,436,077</w:t>
            </w:r>
          </w:p>
        </w:tc>
      </w:tr>
      <w:tr>
        <w:trPr>
          <w:trHeight w:val="230"/>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32,982,580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31,934,636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32,530,954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31,526,732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41,415</w:t>
            </w: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Depreciable plant and equipment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4,141,490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3,967,911</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203,040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106,980</w:t>
            </w:r>
          </w:p>
        </w:tc>
      </w:tr>
      <w:tr>
        <w:trPr>
          <w:trHeight w:val="229"/>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64,372</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35,946</w:t>
            </w:r>
          </w:p>
        </w:tc>
      </w:tr>
      <w:tr>
        <w:trPr>
          <w:trHeight w:val="223"/>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utility plant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4,453,548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4,152,252</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1,047,631</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981,598</w:t>
            </w:r>
          </w:p>
        </w:tc>
      </w:tr>
      <w:tr>
        <w:trPr>
          <w:trHeight w:val="223"/>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utility plant</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3,405,917</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3,170,654</w:t>
            </w:r>
          </w:p>
        </w:tc>
      </w:tr>
      <w:tr>
        <w:trPr>
          <w:trHeight w:val="196"/>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Nonutility properties and real estate investments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nonutility properties and real estate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r>
      <w:tr>
        <w:trPr>
          <w:trHeight w:val="196"/>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w:t>
            </w: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175"/>
        </w:trPr>
        <w:tc>
          <w:tcPr>
            <w:tcW w:w="74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Customers, net of allowances for uncollectible accounts of $848 and $6,551 on</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43"/>
        </w:trPr>
        <w:tc>
          <w:tcPr>
            <w:tcW w:w="7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75,849</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67,870</w:t>
            </w:r>
          </w:p>
        </w:tc>
      </w:tr>
      <w:tr>
        <w:trPr>
          <w:trHeight w:val="229"/>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r>
      <w:tr>
        <w:trPr>
          <w:trHeight w:val="230"/>
        </w:trPr>
        <w:tc>
          <w:tcPr>
            <w:tcW w:w="7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unbilled utility revenue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49,543</w:t>
            </w: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40,850</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regulatory assets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r>
      <w:tr>
        <w:trPr>
          <w:trHeight w:val="223"/>
        </w:trPr>
        <w:tc>
          <w:tcPr>
            <w:tcW w:w="7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187,276</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198,389</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Regulatory assets, less current portion</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235,910</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w:t>
            </w: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33,794</w:t>
            </w: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 asset</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r>
      <w:tr>
        <w:trPr>
          <w:trHeight w:val="223"/>
        </w:trPr>
        <w:tc>
          <w:tcPr>
            <w:tcW w:w="7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957,854</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962,868</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4,552,302</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4,345,067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000"/>
          </w:cols>
          <w:pgMar w:left="320" w:top="887" w:right="5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87" w:right="57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84"/>
        </w:trPr>
        <w:tc>
          <w:tcPr>
            <w:tcW w:w="76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$0.001 par value; authorized 70,000,000 shares; issued and outstanding shares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33,226,735 on September 30, 2024 and 32,023,004 on December 31, 2023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804,848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736,191</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527,575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495,383</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1,333,805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1,233,397</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1,673,715</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1,526,699</w:t>
            </w: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3,007,520</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2,760,096</w:t>
            </w:r>
          </w:p>
        </w:tc>
      </w:tr>
      <w:tr>
        <w:trPr>
          <w:trHeight w:val="236"/>
        </w:trPr>
        <w:tc>
          <w:tcPr>
            <w:tcW w:w="7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Lines of credit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171,500</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48,975</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groundwater extraction charges, purchased water and power</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46,121</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regulatory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26,314</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20,795</w:t>
            </w: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244,049</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342,974</w:t>
            </w:r>
          </w:p>
        </w:tc>
      </w:tr>
      <w:tr>
        <w:trPr>
          <w:trHeight w:val="236"/>
        </w:trPr>
        <w:tc>
          <w:tcPr>
            <w:tcW w:w="7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268,370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238,528</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Advances for construction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146,582</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326,451</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46,836</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liabilities, less current portion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461,108</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22,492</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4,552,302</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4,345,067</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96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32,023,004</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736,191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495,383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1,233,397</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 net of tax of $163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($0.40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March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32,201,216</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744,621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494,249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1,240,251</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20,696</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458,605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($0.40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32,668,904</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771,189</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502,037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1,274,608</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535,345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($0.40 per share)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33,226,735</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33</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804,848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527,575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1,333,805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96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390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jc w:val="center"/>
              <w:ind w:right="100"/>
              <w:spacing w:after="0" w:line="11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2"/>
            <w:vMerge w:val="restart"/>
          </w:tcPr>
          <w:p>
            <w:pPr>
              <w:jc w:val="center"/>
              <w:ind w:right="120"/>
              <w:spacing w:after="0" w:line="119" w:lineRule="exact"/>
              <w:rPr>
                <w:sz w:val="20"/>
                <w:szCs w:val="20"/>
                <w:color w:val="auto"/>
              </w:rPr>
            </w:pPr>
            <w:r>
              <w:rPr>
                <w:rFonts w:ascii="Times New Roman" w:cs="Times New Roman" w:eastAsia="Times New Roman" w:hAnsi="Times New Roman"/>
                <w:sz w:val="13"/>
                <w:szCs w:val="13"/>
                <w:b w:val="1"/>
                <w:bCs w:val="1"/>
                <w:color w:val="auto"/>
              </w:rPr>
              <w:t>Other</w:t>
            </w:r>
          </w:p>
        </w:tc>
        <w:tc>
          <w:tcPr>
            <w:tcW w:w="126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1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30,801,912</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31</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458,356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1,110,868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investment, net of taxes of $0</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570,026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40,997</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($0.38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March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31,427,124</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31</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692,742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458,142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1,152,485</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Unrealized gain on investment, net of taxes of</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$(37)</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290,477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($0.38 per share)</w:t>
            </w: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31,731,030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716,642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464,464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1,182,716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investment, net of taxes of $193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($0.38 per share)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2023</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31,933,003</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32</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729,740</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488,585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1,220,253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66,038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85,811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12,996</w:t>
            </w:r>
          </w:p>
        </w:tc>
        <w:tc>
          <w:tcPr>
            <w:tcW w:w="0" w:type="dxa"/>
            <w:vAlign w:val="bottom"/>
          </w:tcPr>
          <w:p>
            <w:pPr>
              <w:spacing w:after="0"/>
              <w:rPr>
                <w:sz w:val="1"/>
                <w:szCs w:val="1"/>
                <w:color w:val="auto"/>
              </w:rPr>
            </w:pPr>
          </w:p>
        </w:tc>
      </w:tr>
      <w:tr>
        <w:trPr>
          <w:trHeight w:val="213"/>
        </w:trPr>
        <w:tc>
          <w:tcPr>
            <w:tcW w:w="8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 and accrued unbilled utility revenue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(26,782)</w:t>
            </w:r>
          </w:p>
        </w:tc>
        <w:tc>
          <w:tcPr>
            <w:tcW w:w="0" w:type="dxa"/>
            <w:vAlign w:val="bottom"/>
          </w:tcPr>
          <w:p>
            <w:pPr>
              <w:spacing w:after="0"/>
              <w:rPr>
                <w:sz w:val="1"/>
                <w:szCs w:val="1"/>
                <w:color w:val="auto"/>
              </w:rPr>
            </w:pPr>
          </w:p>
        </w:tc>
      </w:tr>
      <w:tr>
        <w:trPr>
          <w:trHeight w:val="213"/>
        </w:trPr>
        <w:tc>
          <w:tcPr>
            <w:tcW w:w="8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groundwater extraction charges, purchased water and power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13,463</w:t>
            </w:r>
          </w:p>
        </w:tc>
        <w:tc>
          <w:tcPr>
            <w:tcW w:w="0" w:type="dxa"/>
            <w:vAlign w:val="bottom"/>
          </w:tcPr>
          <w:p>
            <w:pPr>
              <w:spacing w:after="0"/>
              <w:rPr>
                <w:sz w:val="1"/>
                <w:szCs w:val="1"/>
                <w:color w:val="auto"/>
              </w:rPr>
            </w:pPr>
          </w:p>
        </w:tc>
      </w:tr>
      <w:tr>
        <w:trPr>
          <w:trHeight w:val="213"/>
        </w:trPr>
        <w:tc>
          <w:tcPr>
            <w:tcW w:w="8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Tax receivable and payable, and other accrued taxes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Postretirement benefits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0" w:type="dxa"/>
            <w:vAlign w:val="bottom"/>
          </w:tcPr>
          <w:p>
            <w:pPr>
              <w:spacing w:after="0"/>
              <w:rPr>
                <w:sz w:val="1"/>
                <w:szCs w:val="1"/>
                <w:color w:val="auto"/>
              </w:rPr>
            </w:pPr>
          </w:p>
        </w:tc>
      </w:tr>
      <w:tr>
        <w:trPr>
          <w:trHeight w:val="162"/>
        </w:trPr>
        <w:tc>
          <w:tcPr>
            <w:tcW w:w="8320" w:type="dxa"/>
            <w:vAlign w:val="bottom"/>
          </w:tcPr>
          <w:p>
            <w:pPr>
              <w:ind w:left="660"/>
              <w:spacing w:after="0" w:line="162" w:lineRule="exact"/>
              <w:rPr>
                <w:sz w:val="20"/>
                <w:szCs w:val="20"/>
                <w:color w:val="auto"/>
              </w:rPr>
            </w:pPr>
            <w:r>
              <w:rPr>
                <w:rFonts w:ascii="Times New Roman" w:cs="Times New Roman" w:eastAsia="Times New Roman" w:hAnsi="Times New Roman"/>
                <w:sz w:val="16"/>
                <w:szCs w:val="16"/>
                <w:color w:val="auto"/>
              </w:rPr>
              <w:t>Regulatory assets and liabilities excluding cost of removal, income tax temporary differences, and postretirement</w:t>
            </w: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16,092</w:t>
            </w:r>
          </w:p>
        </w:tc>
        <w:tc>
          <w:tcPr>
            <w:tcW w:w="0" w:type="dxa"/>
            <w:vAlign w:val="bottom"/>
          </w:tcPr>
          <w:p>
            <w:pPr>
              <w:spacing w:after="0"/>
              <w:rPr>
                <w:sz w:val="1"/>
                <w:szCs w:val="1"/>
                <w:color w:val="auto"/>
              </w:rPr>
            </w:pPr>
          </w:p>
        </w:tc>
      </w:tr>
      <w:tr>
        <w:trPr>
          <w:trHeight w:val="213"/>
        </w:trPr>
        <w:tc>
          <w:tcPr>
            <w:tcW w:w="8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benefits</w:t>
            </w: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changes,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0" w:type="dxa"/>
            <w:vAlign w:val="bottom"/>
          </w:tcPr>
          <w:p>
            <w:pPr>
              <w:spacing w:after="0"/>
              <w:rPr>
                <w:sz w:val="1"/>
                <w:szCs w:val="1"/>
                <w:color w:val="auto"/>
              </w:rPr>
            </w:pPr>
          </w:p>
        </w:tc>
      </w:tr>
      <w:tr>
        <w:trPr>
          <w:trHeight w:val="207"/>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154,066</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159,303</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utility plant: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Company-funded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(195,937)</w:t>
            </w:r>
          </w:p>
        </w:tc>
        <w:tc>
          <w:tcPr>
            <w:tcW w:w="0" w:type="dxa"/>
            <w:vAlign w:val="bottom"/>
          </w:tcPr>
          <w:p>
            <w:pPr>
              <w:spacing w:after="0"/>
              <w:rPr>
                <w:sz w:val="1"/>
                <w:szCs w:val="1"/>
                <w:color w:val="auto"/>
              </w:rPr>
            </w:pPr>
          </w:p>
        </w:tc>
      </w:tr>
      <w:tr>
        <w:trPr>
          <w:trHeight w:val="213"/>
        </w:trPr>
        <w:tc>
          <w:tcPr>
            <w:tcW w:w="83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Contributions in aid of construction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to nonutility assets and real estate investments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(24,244)</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to retire utility plant, net of salvage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real estate investments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business acquisitions</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changes,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07"/>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(232,678)</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(241,741)</w:t>
            </w:r>
          </w:p>
        </w:tc>
        <w:tc>
          <w:tcPr>
            <w:tcW w:w="0" w:type="dxa"/>
            <w:vAlign w:val="bottom"/>
          </w:tcPr>
          <w:p>
            <w:pPr>
              <w:spacing w:after="0"/>
              <w:rPr>
                <w:sz w:val="1"/>
                <w:szCs w:val="1"/>
                <w:color w:val="auto"/>
              </w:rPr>
            </w:pPr>
          </w:p>
        </w:tc>
      </w:tr>
      <w:tr>
        <w:trPr>
          <w:trHeight w:val="19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Borrowings on line of credit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102,655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Repayments on line of credit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(235,149)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(133,800)</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Long-term borrowings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150,329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Repayments of long-term borrowings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63,309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75,284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(35,762)</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Receipts of advances and contributions in aid of construction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Refunds of advances for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changes, net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72,856</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91,161</w:t>
            </w:r>
          </w:p>
        </w:tc>
        <w:tc>
          <w:tcPr>
            <w:tcW w:w="0" w:type="dxa"/>
            <w:vAlign w:val="bottom"/>
          </w:tcPr>
          <w:p>
            <w:pPr>
              <w:spacing w:after="0"/>
              <w:rPr>
                <w:sz w:val="1"/>
                <w:szCs w:val="1"/>
                <w:color w:val="auto"/>
              </w:rPr>
            </w:pPr>
          </w:p>
        </w:tc>
      </w:tr>
      <w:tr>
        <w:trPr>
          <w:trHeight w:val="207"/>
        </w:trPr>
        <w:tc>
          <w:tcPr>
            <w:tcW w:w="8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12,344</w:t>
            </w:r>
          </w:p>
        </w:tc>
        <w:tc>
          <w:tcPr>
            <w:tcW w:w="0" w:type="dxa"/>
            <w:vAlign w:val="bottom"/>
          </w:tcPr>
          <w:p>
            <w:pPr>
              <w:spacing w:after="0"/>
              <w:rPr>
                <w:sz w:val="1"/>
                <w:szCs w:val="1"/>
                <w:color w:val="auto"/>
              </w:rPr>
            </w:pPr>
          </w:p>
        </w:tc>
      </w:tr>
      <w:tr>
        <w:trPr>
          <w:trHeight w:val="207"/>
        </w:trPr>
        <w:tc>
          <w:tcPr>
            <w:tcW w:w="8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21,067</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paid during the period for:</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42,199</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payables for additions to utility plant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Utility property installed by developers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receivable from sale of real estate investments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selling expenses on sale of real estate investments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Seller financing in asset acquisition, net of discount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180"/>
          </w:cols>
          <w:pgMar w:left="360" w:top="927" w:right="359" w:bottom="1440" w:gutter="0" w:footer="0" w:header="0"/>
        </w:sect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The Notes to Consolidated Financial Statements in SJW Group’s 2023 Annual Report on Form 10-K should be read in conjunction with the accompanying unaudited condensed consolidated financial statements.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SJW Group is a holding company with five wholly owned subsidiaries: San Jose Water Company (“SJWC”), SJWTX Holdings, Inc., SJW Land Company, SJWNE LLC, and National Water Utility Service, LLC (“National Water Utility”). SJWTX Holdings, Inc., is a holding company for its wholly owned subsidiaries, SJWTX, Inc., doing business as The Texas Water Company (“TWC”), Texas Water Operation Services, LLC, (“TWOS”) and Texas Water Resources, LLC (“TWR”). SJWNE LLC is the holding company for Connecticut Water Service, Inc. (“CTWS”) whose wholly owned subsidiaries are The Connecticut Water Company (“CWC”), The Maine Water Company (“MWC”), New England Water Utility Services, Inc. (“NEWUS”), and Chester Realty, Inc. National Water Utility is the contracting entity for shared services among the SJW Group affiliates formed in October 2024. SJWC, CWC, TWC, TWOS, TWR, MWC, NEWUS and National Water Utility are referred to as “Water Utility Services.” SJW Land Company and Chester Realty, Inc. are collectively referred to as “Real Estate Services.”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Group’s revenue components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8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539,790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507,276</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programs,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184"/>
        </w:trPr>
        <w:tc>
          <w:tcPr>
            <w:tcW w:w="5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balancing and memorandum accounts and regulatory mechanisms,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4"/>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48"/>
        </w:trPr>
        <w:tc>
          <w:tcPr>
            <w:tcW w:w="5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550,619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499,025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Nonutility Properties and Real Estate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nonutility properties and real estate investments as of September 30, 2024 and December 31, 2023,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5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water supply assets</w:t>
            </w:r>
          </w:p>
        </w:tc>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50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5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March 2023, SJW Land Company entered into a broker agreement to sell its warehouse, office building, and land property located in Knoxville, Tennessee. The company reclassified the Tennessee properties from held-and-used to held-for-sale at March 31, 2023. The company recorded the Tennessee properties at the lower of their carrying value or estimated fair value less cost to sell, and also stopped recording depreciation on assets held for sale. SJW Group's broker provided the estimated fair value of the Tennessee properties.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April 2024, SJW Land Company completed the sale of a warehouse building of the Tennessee properties for $27,000. The pre-tax gain on the sale was $6,918. In June 2024, SJW Land Company completed the sale of an office building, land, and parking lot of the Tennessee properties for $17,000. The pre-tax loss on the sale was $7,887. The net pre-tax loss associated with these transactions for the nine months ended September 30, 2024 was $969 and is included in the “Other, net” line on the condensed consolidated statements of comprehensive income. A portion of the proceeds from these sales totaling $2,801 is being held in escrow pending completion of certain post-closing obligations. As a result of these two transactions, the sale of the Tennessee properties is complete and the company does not have any other assets held for sale.</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sale of the Tennessee properties does not represent a strategic shift that has or will have a major effect on SJW Group; therefore, the sale does not qualify for treatment as a discontinued operation.</w:t>
      </w:r>
    </w:p>
    <w:p>
      <w:pPr>
        <w:spacing w:after="0" w:line="54"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 xml:space="preserve">The Tennessee properties are included in SJW Group’s “Real Estate Services” reportable segment in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“Segment and Non-Tariffed Business Reporting”. The following represents the major components of the Tennessee properties that were recorded in assets held-for-sale on the condensed consolidated balance sheets as of December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9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44,950</w:t>
            </w:r>
          </w:p>
        </w:tc>
      </w:tr>
      <w:tr>
        <w:trPr>
          <w:trHeight w:val="223"/>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17,270</w:t>
            </w:r>
          </w:p>
        </w:tc>
      </w:tr>
      <w:tr>
        <w:trPr>
          <w:trHeight w:val="248"/>
        </w:trPr>
        <w:tc>
          <w:tcPr>
            <w:tcW w:w="9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August 2023, a non-regulated subsidiary, TWR, acquired eight wells and the associated water rights of KT Water Resources, LLC, as discussed in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00"/>
        </w:rPr>
        <w:t>, “Acquisitions”. In connection with a transaction in the third quarter of 2024, TWC purchased these assets from TWR for use in utility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Accordingly, SJW Group reclassified $28,386 related to indefinite life water rights from other intangible assets to utility plant intangible assets and $11,684 from nonutility property to utility plant.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instruments are not measured at fair value on SJW Group’s condensed consolidated balance sheets as of September 30, 2024, but require disclosure of their fair values: cash and cash equivalents, accounts receivable and accounts payable. The estimated fair value of such instruments as of September 30, 2024 approximates their carrying value as reported on the condensed consolidated balance sheets. There have been no changes in valuation techniques during the three and nine months ended September 30, 2024. The fair value of these instruments would be categorized as Level 2 in the fair value hierarchy, with the exception of cash and cash equivalents, which would be categorized as Level 1.</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fair value of SJW Group’s long-term debt was $1,534,801 and $1,394,412 as of September 30, 2024 and December 31, 2023, respectively, and was determined using a discounted cash flow analysis, based on the current rates for similar financial instruments of the same duration and creditworthiness of the company. Of the total fair value of long-term debt at September 30, 2024 and December 31, 2023, $1,518,400 and $1,378,683, respectively, would be categorized as Level 2 in the fair value hierarchy and $16,401 and $15,729, respectively, would be categorized as Level 3 in the fair value hierarchy.</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CTWS’s additional retirement benefits under the supplemental executive retirement plans and retirement contracts are funded by investment assets held by a Rabbi Trust. The fair value of the money market funds, mutual funds and fixed income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investments in the Rabbi Trust was $2,952 and $2,833 as of September 30, 2024 and December 31, 2023, respectively, and are categorized as Level 1 in the fair value hierarchy.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plans, shares potentially issuable under the performance stock plans assumed through the business combination with CTWS, and shares potentially issuable under SJW Group’s employee stock purchase plans. For the three months ended September 30, 2024 and 2023, 485 and 1,826 anti-dilutive restricted common stock units were excluded from the diluted earnings per share calculation, respectively. For the nine months ended September 30, 2024 and 2023, 5,289 and 12,524 anti-dilutive restricted common stock units were excluded from the diluted earnings per share calculation,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SJW Group recorded a reduction to its allowance for credit losses of $7,822, of which $3,960 resulted in a reduction to regulatory assets and $3,862 was recorded through administrative and general expense ($2,782 net of tax or $0.09 per diluted share for the nine months ended September 30,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recently issued accounting standards that have not yet been adopted by the company as of September 30, 2024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Effect on the Condensed</w:t>
            </w:r>
          </w:p>
        </w:tc>
        <w:tc>
          <w:tcPr>
            <w:tcW w:w="0" w:type="dxa"/>
            <w:vAlign w:val="bottom"/>
          </w:tcPr>
          <w:p>
            <w:pPr>
              <w:spacing w:after="0"/>
              <w:rPr>
                <w:sz w:val="1"/>
                <w:szCs w:val="1"/>
                <w:color w:val="auto"/>
              </w:rPr>
            </w:pPr>
          </w:p>
        </w:tc>
      </w:tr>
      <w:tr>
        <w:trPr>
          <w:trHeight w:val="184"/>
        </w:trPr>
        <w:tc>
          <w:tcPr>
            <w:tcW w:w="19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80" w:type="dxa"/>
            <w:vAlign w:val="bottom"/>
            <w:vMerge w:val="restart"/>
          </w:tcPr>
          <w:p>
            <w:pPr>
              <w:spacing w:after="0"/>
              <w:rPr>
                <w:sz w:val="16"/>
                <w:szCs w:val="16"/>
                <w:color w:val="auto"/>
              </w:rPr>
            </w:pPr>
          </w:p>
        </w:tc>
        <w:tc>
          <w:tcPr>
            <w:tcW w:w="324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6"/>
                <w:szCs w:val="16"/>
                <w:color w:val="auto"/>
              </w:rPr>
            </w:pPr>
          </w:p>
        </w:tc>
        <w:tc>
          <w:tcPr>
            <w:tcW w:w="21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100" w:type="dxa"/>
            <w:vAlign w:val="bottom"/>
            <w:vMerge w:val="restart"/>
          </w:tcPr>
          <w:p>
            <w:pPr>
              <w:spacing w:after="0"/>
              <w:rPr>
                <w:sz w:val="16"/>
                <w:szCs w:val="16"/>
                <w:color w:val="auto"/>
              </w:rPr>
            </w:pPr>
          </w:p>
        </w:tc>
        <w:tc>
          <w:tcPr>
            <w:tcW w:w="13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80" w:type="dxa"/>
            <w:vAlign w:val="bottom"/>
            <w:vMerge w:val="restart"/>
          </w:tcPr>
          <w:p>
            <w:pPr>
              <w:spacing w:after="0"/>
              <w:rPr>
                <w:sz w:val="16"/>
                <w:szCs w:val="16"/>
                <w:color w:val="auto"/>
              </w:rPr>
            </w:pPr>
          </w:p>
        </w:tc>
        <w:tc>
          <w:tcPr>
            <w:tcW w:w="2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Consolidated Financial</w:t>
            </w:r>
          </w:p>
        </w:tc>
        <w:tc>
          <w:tcPr>
            <w:tcW w:w="0" w:type="dxa"/>
            <w:vAlign w:val="bottom"/>
          </w:tcPr>
          <w:p>
            <w:pPr>
              <w:spacing w:after="0"/>
              <w:rPr>
                <w:sz w:val="1"/>
                <w:szCs w:val="1"/>
                <w:color w:val="auto"/>
              </w:rPr>
            </w:pPr>
          </w:p>
        </w:tc>
      </w:tr>
      <w:tr>
        <w:trPr>
          <w:trHeight w:val="229"/>
        </w:trPr>
        <w:tc>
          <w:tcPr>
            <w:tcW w:w="1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3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Statements</w:t>
            </w:r>
          </w:p>
        </w:tc>
        <w:tc>
          <w:tcPr>
            <w:tcW w:w="0" w:type="dxa"/>
            <w:vAlign w:val="bottom"/>
          </w:tcPr>
          <w:p>
            <w:pPr>
              <w:spacing w:after="0"/>
              <w:rPr>
                <w:sz w:val="1"/>
                <w:szCs w:val="1"/>
                <w:color w:val="auto"/>
              </w:rPr>
            </w:pPr>
          </w:p>
        </w:tc>
      </w:tr>
      <w:tr>
        <w:trPr>
          <w:trHeight w:val="228"/>
        </w:trPr>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w:t>
            </w:r>
          </w:p>
        </w:tc>
        <w:tc>
          <w:tcPr>
            <w:tcW w:w="3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ASU requires disclosure of significant</w:t>
            </w:r>
          </w:p>
        </w:tc>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ASU is effective for</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Retrospective</w:t>
            </w:r>
          </w:p>
        </w:tc>
        <w:tc>
          <w:tcPr>
            <w:tcW w:w="80" w:type="dxa"/>
            <w:vAlign w:val="bottom"/>
            <w:shd w:val="clear" w:color="auto" w:fill="CCEEFF"/>
          </w:tcPr>
          <w:p>
            <w:pPr>
              <w:spacing w:after="0"/>
              <w:rPr>
                <w:sz w:val="19"/>
                <w:szCs w:val="19"/>
                <w:color w:val="auto"/>
              </w:rPr>
            </w:pPr>
          </w:p>
        </w:tc>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 Group is currently</w:t>
            </w:r>
          </w:p>
        </w:tc>
        <w:tc>
          <w:tcPr>
            <w:tcW w:w="0" w:type="dxa"/>
            <w:vAlign w:val="bottom"/>
          </w:tcPr>
          <w:p>
            <w:pPr>
              <w:spacing w:after="0"/>
              <w:rPr>
                <w:sz w:val="1"/>
                <w:szCs w:val="1"/>
                <w:color w:val="auto"/>
              </w:rPr>
            </w:pPr>
          </w:p>
        </w:tc>
      </w:tr>
      <w:tr>
        <w:trPr>
          <w:trHeight w:val="58"/>
        </w:trPr>
        <w:tc>
          <w:tcPr>
            <w:tcW w:w="2000" w:type="dxa"/>
            <w:vAlign w:val="bottom"/>
            <w:gridSpan w:val="2"/>
            <w:vMerge w:val="continue"/>
            <w:shd w:val="clear" w:color="auto" w:fill="CCEEFF"/>
          </w:tcPr>
          <w:p>
            <w:pPr>
              <w:spacing w:after="0"/>
              <w:rPr>
                <w:sz w:val="5"/>
                <w:szCs w:val="5"/>
                <w:color w:val="auto"/>
              </w:rPr>
            </w:pPr>
          </w:p>
        </w:tc>
        <w:tc>
          <w:tcPr>
            <w:tcW w:w="3340" w:type="dxa"/>
            <w:vAlign w:val="bottom"/>
            <w:gridSpan w:val="2"/>
            <w:vMerge w:val="continue"/>
            <w:shd w:val="clear" w:color="auto" w:fill="CCEEFF"/>
          </w:tcPr>
          <w:p>
            <w:pPr>
              <w:spacing w:after="0"/>
              <w:rPr>
                <w:sz w:val="5"/>
                <w:szCs w:val="5"/>
                <w:color w:val="auto"/>
              </w:rPr>
            </w:pPr>
          </w:p>
        </w:tc>
        <w:tc>
          <w:tcPr>
            <w:tcW w:w="2260" w:type="dxa"/>
            <w:vAlign w:val="bottom"/>
            <w:gridSpan w:val="2"/>
            <w:vMerge w:val="continue"/>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Update (“ASU”) 2023-07</w:t>
            </w:r>
          </w:p>
        </w:tc>
        <w:tc>
          <w:tcPr>
            <w:tcW w:w="33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segment expenses, extends certain annual</w:t>
            </w:r>
          </w:p>
        </w:tc>
        <w:tc>
          <w:tcPr>
            <w:tcW w:w="22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SJW Group beginning with</w:t>
            </w: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evaluating the requirements</w:t>
            </w:r>
          </w:p>
        </w:tc>
        <w:tc>
          <w:tcPr>
            <w:tcW w:w="0" w:type="dxa"/>
            <w:vAlign w:val="bottom"/>
          </w:tcPr>
          <w:p>
            <w:pPr>
              <w:spacing w:after="0"/>
              <w:rPr>
                <w:sz w:val="1"/>
                <w:szCs w:val="1"/>
                <w:color w:val="auto"/>
              </w:rPr>
            </w:pPr>
          </w:p>
        </w:tc>
      </w:tr>
      <w:tr>
        <w:trPr>
          <w:trHeight w:val="175"/>
        </w:trPr>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“Improvements to</w:t>
            </w:r>
          </w:p>
        </w:tc>
        <w:tc>
          <w:tcPr>
            <w:tcW w:w="3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disclosures to interim periods, and requires</w:t>
            </w:r>
          </w:p>
        </w:tc>
        <w:tc>
          <w:tcPr>
            <w:tcW w:w="22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its annual financial</w:t>
            </w: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of ASU 2023-07.</w:t>
            </w:r>
          </w:p>
        </w:tc>
        <w:tc>
          <w:tcPr>
            <w:tcW w:w="0" w:type="dxa"/>
            <w:vAlign w:val="bottom"/>
          </w:tcPr>
          <w:p>
            <w:pPr>
              <w:spacing w:after="0"/>
              <w:rPr>
                <w:sz w:val="1"/>
                <w:szCs w:val="1"/>
                <w:color w:val="auto"/>
              </w:rPr>
            </w:pPr>
          </w:p>
        </w:tc>
      </w:tr>
      <w:tr>
        <w:trPr>
          <w:trHeight w:val="184"/>
        </w:trPr>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Reportable Segment</w:t>
            </w:r>
          </w:p>
        </w:tc>
        <w:tc>
          <w:tcPr>
            <w:tcW w:w="33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additional qualitative disclosures regarding</w:t>
            </w:r>
          </w:p>
        </w:tc>
        <w:tc>
          <w:tcPr>
            <w:tcW w:w="22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statements for the year</w:t>
            </w: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Disclosures”</w:t>
            </w:r>
          </w:p>
        </w:tc>
        <w:tc>
          <w:tcPr>
            <w:tcW w:w="33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the chief operating decision maker.</w:t>
            </w:r>
          </w:p>
        </w:tc>
        <w:tc>
          <w:tcPr>
            <w:tcW w:w="22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ending December 31, 2024.</w:t>
            </w: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Early adoption is permitted.</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line="102" w:lineRule="exact"/>
        <w:rPr>
          <w:sz w:val="20"/>
          <w:szCs w:val="20"/>
          <w:color w:val="auto"/>
        </w:rPr>
      </w:pPr>
    </w:p>
    <w:p>
      <w:pPr>
        <w:ind w:left="20"/>
        <w:spacing w:after="0"/>
        <w:tabs>
          <w:tab w:leader="none" w:pos="2000" w:val="left"/>
        </w:tabs>
        <w:rPr>
          <w:sz w:val="20"/>
          <w:szCs w:val="20"/>
          <w:color w:val="auto"/>
        </w:rPr>
      </w:pPr>
      <w:r>
        <w:rPr>
          <w:rFonts w:ascii="Times New Roman" w:cs="Times New Roman" w:eastAsia="Times New Roman" w:hAnsi="Times New Roman"/>
          <w:sz w:val="18"/>
          <w:szCs w:val="18"/>
          <w:color w:val="auto"/>
        </w:rPr>
        <w:t>ASU 2023-09</w:t>
      </w:r>
      <w:r>
        <w:rPr>
          <w:sz w:val="20"/>
          <w:szCs w:val="20"/>
          <w:color w:val="auto"/>
        </w:rPr>
        <w:tab/>
      </w:r>
      <w:r>
        <w:rPr>
          <w:rFonts w:ascii="Times New Roman" w:cs="Times New Roman" w:eastAsia="Times New Roman" w:hAnsi="Times New Roman"/>
          <w:sz w:val="18"/>
          <w:szCs w:val="18"/>
          <w:color w:val="auto"/>
        </w:rPr>
        <w:t>The ASU amends certain income tax</w:t>
      </w:r>
    </w:p>
    <w:p>
      <w:pPr>
        <w:ind w:left="20"/>
        <w:spacing w:after="0" w:line="217" w:lineRule="auto"/>
        <w:tabs>
          <w:tab w:leader="none" w:pos="2000" w:val="left"/>
        </w:tabs>
        <w:rPr>
          <w:sz w:val="20"/>
          <w:szCs w:val="20"/>
          <w:color w:val="auto"/>
        </w:rPr>
      </w:pPr>
      <w:r>
        <w:rPr>
          <w:rFonts w:ascii="Times New Roman" w:cs="Times New Roman" w:eastAsia="Times New Roman" w:hAnsi="Times New Roman"/>
          <w:sz w:val="18"/>
          <w:szCs w:val="18"/>
          <w:color w:val="auto"/>
        </w:rPr>
        <w:t>“Improvements to</w:t>
      </w:r>
      <w:r>
        <w:rPr>
          <w:sz w:val="20"/>
          <w:szCs w:val="20"/>
          <w:color w:val="auto"/>
        </w:rPr>
        <w:tab/>
      </w:r>
      <w:r>
        <w:rPr>
          <w:rFonts w:ascii="Times New Roman" w:cs="Times New Roman" w:eastAsia="Times New Roman" w:hAnsi="Times New Roman"/>
          <w:sz w:val="17"/>
          <w:szCs w:val="17"/>
          <w:color w:val="auto"/>
        </w:rPr>
        <w:t>disclosure requirements, including adding</w:t>
      </w:r>
    </w:p>
    <w:p>
      <w:pPr>
        <w:ind w:left="20"/>
        <w:spacing w:after="0" w:line="216" w:lineRule="auto"/>
        <w:tabs>
          <w:tab w:leader="none" w:pos="2000" w:val="left"/>
        </w:tabs>
        <w:rPr>
          <w:sz w:val="20"/>
          <w:szCs w:val="20"/>
          <w:color w:val="auto"/>
        </w:rPr>
      </w:pPr>
      <w:r>
        <w:rPr>
          <w:rFonts w:ascii="Times New Roman" w:cs="Times New Roman" w:eastAsia="Times New Roman" w:hAnsi="Times New Roman"/>
          <w:sz w:val="18"/>
          <w:szCs w:val="18"/>
          <w:color w:val="auto"/>
        </w:rPr>
        <w:t>Income Tax Disclosures”</w:t>
      </w:r>
      <w:r>
        <w:rPr>
          <w:sz w:val="20"/>
          <w:szCs w:val="20"/>
          <w:color w:val="auto"/>
        </w:rPr>
        <w:tab/>
      </w:r>
      <w:r>
        <w:rPr>
          <w:rFonts w:ascii="Times New Roman" w:cs="Times New Roman" w:eastAsia="Times New Roman" w:hAnsi="Times New Roman"/>
          <w:sz w:val="17"/>
          <w:szCs w:val="17"/>
          <w:color w:val="auto"/>
        </w:rPr>
        <w:t>requirements to present the reconciliation of</w:t>
      </w:r>
    </w:p>
    <w:p>
      <w:pPr>
        <w:ind w:left="2020"/>
        <w:spacing w:after="0" w:line="219" w:lineRule="auto"/>
        <w:rPr>
          <w:sz w:val="20"/>
          <w:szCs w:val="20"/>
          <w:color w:val="auto"/>
        </w:rPr>
      </w:pPr>
      <w:r>
        <w:rPr>
          <w:rFonts w:ascii="Times New Roman" w:cs="Times New Roman" w:eastAsia="Times New Roman" w:hAnsi="Times New Roman"/>
          <w:sz w:val="18"/>
          <w:szCs w:val="18"/>
          <w:color w:val="auto"/>
        </w:rPr>
        <w:t>income tax expense computed at the</w:t>
      </w:r>
    </w:p>
    <w:p>
      <w:pPr>
        <w:ind w:left="2020" w:right="60"/>
        <w:spacing w:after="0" w:line="208" w:lineRule="auto"/>
        <w:rPr>
          <w:sz w:val="20"/>
          <w:szCs w:val="20"/>
          <w:color w:val="auto"/>
        </w:rPr>
      </w:pPr>
      <w:r>
        <w:rPr>
          <w:rFonts w:ascii="Times New Roman" w:cs="Times New Roman" w:eastAsia="Times New Roman" w:hAnsi="Times New Roman"/>
          <w:sz w:val="18"/>
          <w:szCs w:val="18"/>
          <w:color w:val="auto"/>
        </w:rPr>
        <w:t>statutory rate to actual income tax expense using both percentages and amounts and providing a disaggregation of income taxes</w:t>
      </w:r>
    </w:p>
    <w:p>
      <w:pPr>
        <w:spacing w:after="0" w:line="2" w:lineRule="exact"/>
        <w:rPr>
          <w:sz w:val="20"/>
          <w:szCs w:val="20"/>
          <w:color w:val="auto"/>
        </w:rPr>
      </w:pPr>
    </w:p>
    <w:p>
      <w:pPr>
        <w:ind w:left="2020" w:right="380"/>
        <w:spacing w:after="0" w:line="220" w:lineRule="auto"/>
        <w:rPr>
          <w:sz w:val="20"/>
          <w:szCs w:val="20"/>
          <w:color w:val="auto"/>
        </w:rPr>
      </w:pPr>
      <w:r>
        <w:rPr>
          <w:rFonts w:ascii="Times New Roman" w:cs="Times New Roman" w:eastAsia="Times New Roman" w:hAnsi="Times New Roman"/>
          <w:sz w:val="17"/>
          <w:szCs w:val="17"/>
          <w:color w:val="auto"/>
        </w:rPr>
        <w:t>paid. Further, certain disclosures are eliminated, including the current requirement to disclose information on</w:t>
      </w:r>
    </w:p>
    <w:p>
      <w:pPr>
        <w:spacing w:after="0" w:line="2" w:lineRule="exact"/>
        <w:rPr>
          <w:sz w:val="20"/>
          <w:szCs w:val="20"/>
          <w:color w:val="auto"/>
        </w:rPr>
      </w:pPr>
    </w:p>
    <w:p>
      <w:pPr>
        <w:ind w:left="2020" w:right="60"/>
        <w:spacing w:after="0" w:line="226" w:lineRule="auto"/>
        <w:rPr>
          <w:sz w:val="20"/>
          <w:szCs w:val="20"/>
          <w:color w:val="auto"/>
        </w:rPr>
      </w:pPr>
      <w:r>
        <w:rPr>
          <w:rFonts w:ascii="Times New Roman" w:cs="Times New Roman" w:eastAsia="Times New Roman" w:hAnsi="Times New Roman"/>
          <w:sz w:val="18"/>
          <w:szCs w:val="18"/>
          <w:color w:val="auto"/>
        </w:rPr>
        <w:t>changes in unrecognized tax benefits in the next 12 months.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ASU is effective for</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SJW Group beginning with its annual financial statements for the year</w:t>
      </w:r>
    </w:p>
    <w:p>
      <w:pPr>
        <w:spacing w:after="0" w:line="205" w:lineRule="auto"/>
        <w:rPr>
          <w:sz w:val="20"/>
          <w:szCs w:val="20"/>
          <w:color w:val="auto"/>
        </w:rPr>
      </w:pPr>
      <w:r>
        <w:rPr>
          <w:rFonts w:ascii="Times New Roman" w:cs="Times New Roman" w:eastAsia="Times New Roman" w:hAnsi="Times New Roman"/>
          <w:sz w:val="18"/>
          <w:szCs w:val="18"/>
          <w:color w:val="auto"/>
        </w:rPr>
        <w:t>ending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Early adoption is permitted.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Prospective, with</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SJW Group is currently</w:t>
            </w:r>
          </w:p>
        </w:tc>
        <w:tc>
          <w:tcPr>
            <w:tcW w:w="0" w:type="dxa"/>
            <w:vAlign w:val="bottom"/>
          </w:tcPr>
          <w:p>
            <w:pPr>
              <w:spacing w:after="0"/>
              <w:rPr>
                <w:sz w:val="1"/>
                <w:szCs w:val="1"/>
                <w:color w:val="auto"/>
              </w:rPr>
            </w:pPr>
          </w:p>
        </w:tc>
      </w:tr>
      <w:tr>
        <w:trPr>
          <w:trHeight w:val="81"/>
        </w:trPr>
        <w:tc>
          <w:tcPr>
            <w:tcW w:w="134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retrospective</w:t>
            </w:r>
          </w:p>
        </w:tc>
        <w:tc>
          <w:tcPr>
            <w:tcW w:w="2080" w:type="dxa"/>
            <w:vAlign w:val="bottom"/>
            <w:vMerge w:val="restart"/>
          </w:tcPr>
          <w:p>
            <w:pPr>
              <w:ind w:left="80"/>
              <w:spacing w:after="0" w:line="189" w:lineRule="exact"/>
              <w:rPr>
                <w:sz w:val="20"/>
                <w:szCs w:val="20"/>
                <w:color w:val="auto"/>
              </w:rPr>
            </w:pPr>
            <w:r>
              <w:rPr>
                <w:rFonts w:ascii="Times New Roman" w:cs="Times New Roman" w:eastAsia="Times New Roman" w:hAnsi="Times New Roman"/>
                <w:sz w:val="18"/>
                <w:szCs w:val="18"/>
                <w:color w:val="auto"/>
                <w:w w:val="98"/>
              </w:rPr>
              <w:t>evaluating the requirements</w:t>
            </w:r>
          </w:p>
        </w:tc>
        <w:tc>
          <w:tcPr>
            <w:tcW w:w="0" w:type="dxa"/>
            <w:vAlign w:val="bottom"/>
          </w:tcPr>
          <w:p>
            <w:pPr>
              <w:spacing w:after="0"/>
              <w:rPr>
                <w:sz w:val="1"/>
                <w:szCs w:val="1"/>
                <w:color w:val="auto"/>
              </w:rPr>
            </w:pPr>
          </w:p>
        </w:tc>
      </w:tr>
      <w:tr>
        <w:trPr>
          <w:trHeight w:val="108"/>
        </w:trPr>
        <w:tc>
          <w:tcPr>
            <w:tcW w:w="134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application also</w:t>
            </w: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40" w:type="dxa"/>
            <w:vAlign w:val="bottom"/>
            <w:vMerge w:val="continue"/>
          </w:tcPr>
          <w:p>
            <w:pPr>
              <w:spacing w:after="0"/>
              <w:rPr>
                <w:sz w:val="5"/>
                <w:szCs w:val="5"/>
                <w:color w:val="auto"/>
              </w:rPr>
            </w:pPr>
          </w:p>
        </w:tc>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of ASU 2023-09.</w:t>
            </w:r>
          </w:p>
        </w:tc>
        <w:tc>
          <w:tcPr>
            <w:tcW w:w="0" w:type="dxa"/>
            <w:vAlign w:val="bottom"/>
          </w:tcPr>
          <w:p>
            <w:pPr>
              <w:spacing w:after="0"/>
              <w:rPr>
                <w:sz w:val="1"/>
                <w:szCs w:val="1"/>
                <w:color w:val="auto"/>
              </w:rPr>
            </w:pPr>
          </w:p>
        </w:tc>
      </w:tr>
      <w:tr>
        <w:trPr>
          <w:trHeight w:val="167"/>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permitted.</w:t>
            </w: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40" w:type="dxa"/>
            <w:vAlign w:val="bottom"/>
            <w:vMerge w:val="continue"/>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47" w:lineRule="exact"/>
        <w:rPr>
          <w:sz w:val="20"/>
          <w:szCs w:val="20"/>
          <w:color w:val="auto"/>
        </w:rPr>
      </w:pPr>
    </w:p>
    <w:p>
      <w:pPr>
        <w:sectPr>
          <w:pgSz w:w="11900" w:h="16838" w:orient="portrait"/>
          <w:cols w:equalWidth="0" w:num="3">
            <w:col w:w="5200" w:space="160"/>
            <w:col w:w="2000" w:space="260"/>
            <w:col w:w="3620"/>
          </w:cols>
          <w:pgMar w:left="320" w:top="6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Regulatory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assets and liabilities are comprised of the following as of September 30, 2024 and December 31, 2023:</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temporary differences (a)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157,669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(b)</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combinations debt premium (c)</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costs (d)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Monterey Water Revenue Adjustment Mechanism (“MWRAM”) (e)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Assistance Program (“CAP”) balancing account (f)</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Catastrophic event memorandum accounts (“CEMA”) (g)</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 general rate case interim memorandum account (h)</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supply costs (i)</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(j)</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253,990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240,186</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regulatory assets (k)</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assets, less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253,162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removal (l)</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360,176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346,418</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Future income tax benefits due to customers (m)</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(b)</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supply costs (i)</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475,669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464,167</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regulatory liabilities (p)</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liabilities, less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jc w:val="both"/>
        <w:ind w:left="660" w:right="400" w:hanging="652"/>
        <w:spacing w:after="0" w:line="241" w:lineRule="auto"/>
        <w:tabs>
          <w:tab w:leader="none" w:pos="6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4 to 100 years.</w:t>
      </w:r>
    </w:p>
    <w:p>
      <w:pPr>
        <w:ind w:left="660" w:right="180" w:hanging="652"/>
        <w:spacing w:after="0" w:line="231"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actuarial losses and gains and prior service cost that have not yet been recognized as components of net periodic benefit cost for certain pension and other postretirement benefit plans.</w:t>
      </w: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debt fair value adjustments recognized through purchase accounting for the completed merger with CTWS in 2019.</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deferrals of pension and other postretirement benefit expense and cost of accrued benefits for vacation.</w:t>
      </w:r>
    </w:p>
    <w:p>
      <w:pPr>
        <w:spacing w:after="0" w:line="1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MWRAM is described in the following section.</w:t>
      </w:r>
    </w:p>
    <w:p>
      <w:pPr>
        <w:spacing w:after="0" w:line="1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SJWC’s CAP.</w:t>
      </w:r>
    </w:p>
    <w:p>
      <w:pPr>
        <w:spacing w:after="0" w:line="14" w:lineRule="exact"/>
        <w:rPr>
          <w:rFonts w:ascii="Times New Roman" w:cs="Times New Roman" w:eastAsia="Times New Roman" w:hAnsi="Times New Roman"/>
          <w:sz w:val="14"/>
          <w:szCs w:val="14"/>
          <w:color w:val="auto"/>
        </w:rPr>
      </w:pPr>
    </w:p>
    <w:p>
      <w:pPr>
        <w:ind w:left="660" w:right="100" w:hanging="652"/>
        <w:spacing w:after="0" w:line="254"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California Public Utilities Commission (“CPUC”) has authorized water utilities to activate CEMA accounts in order to track savings and costs related to SJWC’s response to catastrophic events, which includes external labor and materials, increases in bad debt from suspension of shutoffs for non-payment, waived deposits and reconnection fees, and divergence from actual versus authorized usage. At December 31, 2023, the balance primarily relates to increased bad debt expenses associated with SJWC’s response to COVID-19.</w:t>
      </w:r>
    </w:p>
    <w:p>
      <w:pPr>
        <w:spacing w:after="0" w:line="1" w:lineRule="exact"/>
        <w:rPr>
          <w:rFonts w:ascii="Times New Roman" w:cs="Times New Roman" w:eastAsia="Times New Roman" w:hAnsi="Times New Roman"/>
          <w:sz w:val="14"/>
          <w:szCs w:val="14"/>
          <w:color w:val="auto"/>
        </w:rPr>
      </w:pPr>
    </w:p>
    <w:p>
      <w:pPr>
        <w:ind w:left="660" w:right="80" w:hanging="652"/>
        <w:spacing w:after="0" w:line="261"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revenues collected in interim rates in effect as of January 1, 2022 and revenues that would result from rates authorized in SJWC’s 2022 general rate case retroactive to January 1, 2022.</w:t>
      </w:r>
    </w:p>
    <w:p>
      <w:pPr>
        <w:ind w:left="660" w:right="460" w:hanging="652"/>
        <w:spacing w:after="0" w:line="251" w:lineRule="auto"/>
        <w:tabs>
          <w:tab w:leader="none" w:pos="6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primarily SJWC’s Full Cost Balancing Account which tracks differences in actual water supply costs compared to amounts assumed in base rates, including applicable changes and variations in costs and quantities that affect the overall mix of the water supply.</w:t>
      </w:r>
    </w:p>
    <w:p>
      <w:pPr>
        <w:ind w:left="660" w:right="140" w:hanging="652"/>
        <w:spacing w:after="0" w:line="261" w:lineRule="auto"/>
        <w:tabs>
          <w:tab w:leader="none" w:pos="6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other balancing and memorandum accounts and regulatory mechanisms, deferred costs for certain information technology activities, asset retirement obligations, tank painting, well reconditioning and rate case expenses.</w:t>
      </w:r>
    </w:p>
    <w:p>
      <w:pPr>
        <w:ind w:left="660" w:hanging="652"/>
        <w:spacing w:after="0" w:line="283"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primarily relates to the current portion of CWC’s deferred well redevelopment and rate case costs. As of December 31, 2023, primarily relates to the current portion of MWRAM.</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6"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collected in rates from customers for estimated costs to retire assets at the end of their expected useful lives before the costs are incurred.</w:t>
      </w:r>
    </w:p>
    <w:p>
      <w:pPr>
        <w:spacing w:after="0" w:line="27" w:lineRule="exact"/>
        <w:rPr>
          <w:rFonts w:ascii="Times New Roman" w:cs="Times New Roman" w:eastAsia="Times New Roman" w:hAnsi="Times New Roman"/>
          <w:sz w:val="14"/>
          <w:szCs w:val="14"/>
          <w:color w:val="auto"/>
        </w:rPr>
      </w:pPr>
    </w:p>
    <w:p>
      <w:pPr>
        <w:jc w:val="both"/>
        <w:ind w:left="660" w:right="60" w:hanging="652"/>
        <w:spacing w:after="0" w:line="254"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22, 2017 the Tax Cuts and Jobs Act of 2017 (the "Tax Act”) was signed into law. The Tax Act included a reduction in the federal income tax rate from 35% to 21%. The rate reduction was effective on January 1, 2018 and resulted in a regulatory liability for the excess deferred income taxes. The benefit of amortization of excess deferred income taxes flows back to the customers under current normalization rules and agreed upon methods with the commissions.</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Water Rate Adjustment mechanism (“WRA”) and Water Conservation Memorandum Account (“WCMA”),which are described in the following section.</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other balancing and memorandum accounts, other regulatory mechanisms and accrued tank painting costs.</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and December 31, 2023, primarily relates to the current portion of WRA.</w:t>
      </w:r>
    </w:p>
    <w:p>
      <w:pPr>
        <w:spacing w:after="0" w:line="1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SJWC has established balancing accounts for the purpose of tracking the under-collection or over-collection associated with expense changes and the revenue authorized by the CPUC to offset those expense changes. SJWC has been authorized for the use of the Full Cost Balancing Account to track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spacing w:after="0" w:line="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WCMA allows SJWC to track lost revenue, net of related water costs, associated with reduced sales due to water conservation and associated calls for water use reductions, both mandatory and voluntary. SJWC records the lost revenue captured in the WCMA balancing accounts. Applicable drought surcharges collected are used to offset the revenue losses tracked in the WCMA. 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CWC has been authorized by the Connecticut Public Utilities Regulatory Authority (“PURA”) to utilize a WRA, a decoupling mechanism, to mitigate risk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SJW Group’s regulatory assets not earning a return primarily included unrecognized pensions and other postretirement benefits and business combination debt premiums. The total amount of regulatory assets not earning a return at September 30, 2024 and December 31, 2023, either by interest on the regulatory asset or as a component of rate base at the allowed rate of return, was $41,962 and $43,141, respectively.</w:t>
      </w:r>
    </w:p>
    <w:p>
      <w:pPr>
        <w:spacing w:after="0" w:line="20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Capitalization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2023, SJW Group entered into Amendment No. 1 to the equity distribution agreement (the “Equity Distribution Agreement”), dated November 17, 2021, between SJW Group and J.P. Morgan Securities LLC, Janney Montgomery Scott LLC, RBC Capital Markets, LLC and Wells Fargo Securities, LLC, pursuant to which the company may offer and sell shares of its common stock, $0.001 par value per share, from time to time in “at-the-market” offerings, having an aggregate gross sales price of up to $240,000. For the three and nine months ended September 30, 2024, SJW Group issued and sold a total of 535,345 and 1,119,975 shares of common stock, respectively, at a weighted average price of $59.17 and $57.70 per share, respectively, and received $31,007 and $63,309 in net proceeds, respectively, under the Equity Distribution Agreement. Since the inception of the Equity Distribution Agreement, SJW Group has issued and sold 3,124,632 shares of common stock at a weighted average price of $67.88 for a total net proceeds of $207,307 and has $27,889 of aggregate gross sales price of shares remaining to issue under the Equity Distribution Agreement as of September 30, 2024.</w:t>
      </w:r>
    </w:p>
    <w:p>
      <w:pPr>
        <w:spacing w:after="0" w:line="215"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Lines of Credit and Long-Term Liabilities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SJW Group’s contractual obligations and commitments include senior notes, bank term loans, revenue bonds, state revolving fund loans and other obligations.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August 2024, SJW Group, SJWC, TWC, and CTWS entered into an amendment to its credit agreement with JPMorgan Chase Bank and a syndicate of banks, which provided, among other matters, for an extension of the maturity date from August 2, 2028 to August 2, 2029.</w:t>
      </w:r>
    </w:p>
    <w:p>
      <w:pPr>
        <w:spacing w:after="0" w:line="54" w:lineRule="exact"/>
        <w:rPr>
          <w:sz w:val="20"/>
          <w:szCs w:val="20"/>
          <w:color w:val="auto"/>
        </w:rPr>
      </w:pPr>
    </w:p>
    <w:p>
      <w:pPr>
        <w:ind w:right="260"/>
        <w:spacing w:after="0" w:line="442" w:lineRule="auto"/>
        <w:rPr>
          <w:sz w:val="20"/>
          <w:szCs w:val="20"/>
          <w:color w:val="auto"/>
        </w:rPr>
      </w:pPr>
      <w:r>
        <w:rPr>
          <w:rFonts w:ascii="Times New Roman" w:cs="Times New Roman" w:eastAsia="Times New Roman" w:hAnsi="Times New Roman"/>
          <w:sz w:val="18"/>
          <w:szCs w:val="18"/>
          <w:color w:val="auto"/>
        </w:rPr>
        <w:t xml:space="preserve">The weighted average interest rate on short-term borrowings outstanding at September 30, 2024, was 6.61%, compared to 6.48% at December 31, 2023. As of September 30, 2024, the unused portion of the lines of credit was $256,765. </w:t>
      </w:r>
      <w:r>
        <w:rPr>
          <w:rFonts w:ascii="Times New Roman" w:cs="Times New Roman" w:eastAsia="Times New Roman" w:hAnsi="Times New Roman"/>
          <w:sz w:val="18"/>
          <w:szCs w:val="18"/>
          <w:b w:val="1"/>
          <w:bCs w:val="1"/>
          <w:color w:val="auto"/>
        </w:rPr>
        <w:t>Long-term Financing Agreements</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15, 2023, CWC entered into a note purchase agreement with certain institutional investors, pursuant to which the company sold an aggregate principal amount of $25,000 of its 6.46% Senior Notes, Series 2023 (“Series 2023 Notes”). The Series 2023 Notes are unsecured obligations of CWC and are due on January 1, 2054. Interest is payable semi-annually in arrears on January 15th and July 15th of each year. The closing of the notes purchase agreement occurred in January 2024.</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31, 2024, SJWC entered into and closed a note purchase agreement with certain institutional investors, pursuant to which the company sold an aggregate principal amount of $75,000 of its 5.63% Senior Notes, Series Q (“Series Q Notes”). The Series Q Notes are unsecured obligations of SJWC and are due on July 31, 2054. Interest is payable semi-annually in arrears on January 31st and July 31st of each year. The Series Q Notes are also subject to customary events of default.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31, 2024, CWC entered into a note purchase agreement with certain institutional investors, pursuant to which the company sold $50,000 of its</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5.78% Senior Notes, Series 2024 (“Series 2024 Notes”). The Series 2024 Notes are unsecured obligations of CWC and are due on July 31, 2054. Interest is payable semi-annually in arrears on January 31st and July 31st of each year. The closing of the notes purchase agreement occurred in August 2024.</w:t>
      </w:r>
    </w:p>
    <w:p>
      <w:pPr>
        <w:spacing w:after="0" w:line="31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income tax expense was $1,928 and $7,883, respectively. Income tax expense for the three and nine months ended September 30, 2023 was $4,561 and $4,127, respectively. The effective consolidated income tax rates were 5% and 11% for the three months ended September 30, 2024 and 2023, respectively, and 10% and 6% for the nine months ended September 30, 2024 and 2023, respectively. The lower effective tax rate for the three months ended September 30, 2024 was primarily due to a tax accounting method change related to the repairs deduction. The higher effective tax rate for the nine months ended September 30, 2024 was primarily due to lower discrete tax benefits in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 had unrecognized tax benefits, before the impact of deductions of state taxes, excluding interest and penalties, of approximately $4,920 and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$4,511 as of September 30, 2024 and December 31, 2023, respectively. SJW Group currently does not expect uncertain tax positions to change significantly over the next 12 months, except in the case of a lapse of the statute of limitations.</w:t>
      </w:r>
    </w:p>
    <w:p>
      <w:pPr>
        <w:spacing w:after="0" w:line="31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SJW Group is subject to ordinary routine litigation incidental to its business. In October 2023, CWC, a subsidiary of SJW Group, was named as a defendant in a class action lawsuit alleging that the water provided by CWC contained contaminants. CWC intends to vigorously defend itself in this lawsuit. At this time, SJW Group is unable to provide a reasonable estimate of any loss.</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September 2024, SJWC entered into a 12-year agreement with the City of Cupertino effective on October 1, 2024 pursuant to which SJWC will operate the City of Cupertino municipal water system, replacing the previous agreement with the City of Cupertino. The agreement can be extended for an additional term of eight years. In accordance with the new agreement, SJWC will pay an upfront concession fee of $22,100 in the fourth quarter of 2024. Additionally, SJWC agreed to pay an annual investment rent of $1,800, subject to increases each year based on a specified construction cost index.</w:t>
      </w:r>
    </w:p>
    <w:p>
      <w:pPr>
        <w:spacing w:after="0" w:line="31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Benefit Plans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SJW Group maintains noncontributory defined benefit pension plans for its eligible employees. SJWC employees hired before March 31, 2008 and CWC and MWC employees hired before January 1, 2009 are entitled to benefits under the pension plans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the employee’s years of service and compensation. For SJWC employees hired on or after March 31, 2008, benefits are determined using a cash balance formula based upon compensation credits and interest credits for each employee. Starting in 2023, TWC employees are also eligible to participate under SJWC’s cash balance plan. Certain employees hired before March 1, 2012, and covered by a plan merged into the CWC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senior management hired before March 31, 2008, for SJWC and January 1, 2009 for CWC,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that are not pension plans.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costs for the defined benefit plans and other postretirement benefits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20" w:type="dxa"/>
            <w:vAlign w:val="bottom"/>
          </w:tcPr>
          <w:p>
            <w:pPr>
              <w:spacing w:after="0"/>
              <w:rPr>
                <w:sz w:val="16"/>
                <w:szCs w:val="16"/>
                <w:color w:val="auto"/>
              </w:rPr>
            </w:pPr>
          </w:p>
        </w:tc>
      </w:tr>
      <w:tr>
        <w:trPr>
          <w:trHeight w:val="23"/>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20" w:type="dxa"/>
            <w:vAlign w:val="bottom"/>
            <w:tcBorders>
              <w:bottom w:val="single" w:sz="8" w:color="auto"/>
            </w:tcBorders>
          </w:tcPr>
          <w:p>
            <w:pPr>
              <w:spacing w:after="0"/>
              <w:rPr>
                <w:sz w:val="16"/>
                <w:szCs w:val="16"/>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83"/>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20" w:type="dxa"/>
            <w:vAlign w:val="bottom"/>
          </w:tcPr>
          <w:p>
            <w:pPr>
              <w:spacing w:after="0"/>
              <w:rPr>
                <w:sz w:val="24"/>
                <w:szCs w:val="24"/>
                <w:color w:val="auto"/>
              </w:rPr>
            </w:pPr>
          </w:p>
        </w:tc>
      </w:tr>
      <w:tr>
        <w:trPr>
          <w:trHeight w:val="23"/>
        </w:trPr>
        <w:tc>
          <w:tcPr>
            <w:tcW w:w="5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tcBorders>
              <w:bottom w:val="single" w:sz="8" w:color="auto"/>
            </w:tcBorders>
          </w:tcPr>
          <w:p>
            <w:pPr>
              <w:spacing w:after="0"/>
              <w:rPr>
                <w:sz w:val="16"/>
                <w:szCs w:val="16"/>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SJW Group has made $2,258 and $4,516, respectively, of contributions to such plans. SJW Group does not expect to make any additional required and discretionary cash contributions to the pension plans and other postretirement benefit plans for the remainder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Equity Plans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SJW Group’s long-term incentive plans provide employees, non-employee board members or the board of directors of any parent or subsidiary, consultants, and other independent advisors who provide services to the company or subsidiary the opportunity to acquire an equity interest in SJW Group. SJW Group also maintains stock plans in connection with its acquisition of CTWS which are no longer granting new stock awards. In addition, shares are issued to employees under SJW Group’s employee stock purchase plan (“ESPP”). As of September 30, 2024, 187,810 shares are issuable upon the vesting of outstanding restricted stock units and deferred restricted stock units and an additional 1,038,040 shares are available for award issuances under the long-term incentive plans.</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summary of compensation costs charged to income, by award type, and proceeds from the ESPP, are presented below for the three and nine months ended September 30,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costs charged to income: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ESPP</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and deferred restricted stock</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223"/>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compensation costs charged to income</w:t>
            </w:r>
          </w:p>
        </w:tc>
        <w:tc>
          <w:tcPr>
            <w:tcW w:w="9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proceeds</w:t>
            </w:r>
          </w:p>
        </w:tc>
        <w:tc>
          <w:tcPr>
            <w:tcW w:w="90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Deferred Restricted Stock</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there was no grant activity of service-based restricted stock awards. For the three months ended September 30, 2023, SJW Group granted 968 one-year and three-year service-based restricted stock awards with a weighted average grant date fair value per unit of $63.96. For the nine months ended September 30, 2024 and 2023, SJW Group granted 64,482 and 38,310, respectively, one-year and three-year service-based restricted stock awards with a weighted average grant date fair value per unit of $56.70 and $76.88, respectively.</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2023, there was no grant activity of performance-based or market-based restricted stock awards. For the nine months ended September 30, 2024 and 2023, SJW Group granted 45,763 and 31,345 target units, respectively, of performance-based and market-based restricted stock awards with a weighted average grant date fair value per unit of $55.60 and $80.05, respectively.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unrecognized compensation costs related to restricted and deferred restricted stock plans was $6,739. This cost is expected to be recognized over a weighted average period of 1.77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costs related to the semi-annual offering period that ends January 31, 2025, for the ESPP is approximately $135. This cost is expected to be recognized during the fourth quarter of 2024.</w:t>
      </w:r>
    </w:p>
    <w:p>
      <w:pPr>
        <w:spacing w:after="0" w:line="29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Segment and Non-Tariffed Business Reporting</w:t>
      </w:r>
    </w:p>
    <w:p>
      <w:pPr>
        <w:spacing w:after="0" w:line="12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SJW Group is a holding company with five subsidiaries: (i) SJWC, (ii) SJWTX Holdings, Inc., a holding company for TWC, its consolidated variable interest entity, Acequia Water Supply Corporation, TWOS and TWR, (iii) SJW Land Company, (iv) SJWNE LLC, a holding company for CTWS and its subsidiaries, CWC, MWC, NEWUS and Chester Realty, Inc., and (v) National Water Utility. The first segment provides water utility and utility-related services to its customers through SJW Group’s subsidiaries, SJWC, CWC, TWC, MWC, NEWUS, and National Water Utility together referred to as “Water Utility Services.” Water Utility Services’ activities are water utility operations with both regulated and non-tariffed businesses. The second segment consists of property management and investment activity conducted by SJW Land Company and Chester Realty, Inc., referred to as “Real Estate Services.”</w:t>
      </w:r>
    </w:p>
    <w:p>
      <w:pPr>
        <w:spacing w:after="0" w:line="6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SJW Group’s reportable segments have been determined based on information used by the chief operating decision maker. SJW Group’s chief operating decision maker includes the Chairman, President and Chief Executive Officer, and his executive staff.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executive staff reviews financial information presented on a consolidated basis that is accompanied by disaggregated information about operating revenue, net income and total assets, by subsidiary.</w:t>
      </w:r>
    </w:p>
    <w:p>
      <w:pPr>
        <w:spacing w:after="0" w:line="5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gridSpan w:val="1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Three Months Ended September 30, 2024</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gridSpan w:val="10"/>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Water Utility Services (1)</w:t>
            </w:r>
          </w:p>
        </w:tc>
        <w:tc>
          <w:tcPr>
            <w:tcW w:w="1200" w:type="dxa"/>
            <w:vAlign w:val="bottom"/>
            <w:gridSpan w:val="6"/>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1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 (2)</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SJW Group</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10"/>
            <w:vMerge w:val="continue"/>
          </w:tcPr>
          <w:p>
            <w:pPr>
              <w:spacing w:after="0"/>
              <w:rPr>
                <w:sz w:val="16"/>
                <w:szCs w:val="16"/>
                <w:color w:val="auto"/>
              </w:rPr>
            </w:pPr>
          </w:p>
        </w:tc>
        <w:tc>
          <w:tcPr>
            <w:tcW w:w="12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180" w:type="dxa"/>
            <w:vAlign w:val="bottom"/>
            <w:gridSpan w:val="6"/>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6"/>
            <w:vMerge w:val="continue"/>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10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top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200" w:type="dxa"/>
            <w:vAlign w:val="bottom"/>
            <w:tcBorders>
              <w:top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10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220,938</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225,063</w:t>
            </w:r>
          </w:p>
        </w:tc>
        <w:tc>
          <w:tcPr>
            <w:tcW w:w="60" w:type="dxa"/>
            <w:vAlign w:val="bottom"/>
            <w:tcBorders>
              <w:top w:val="single" w:sz="8" w:color="auto"/>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58,353</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(6,048)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on long-term debt and other</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1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Three Months Ended September 30, 2023</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gridSpan w:val="10"/>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Water Utility Services (1)</w:t>
            </w:r>
          </w:p>
        </w:tc>
        <w:tc>
          <w:tcPr>
            <w:tcW w:w="1200" w:type="dxa"/>
            <w:vAlign w:val="bottom"/>
            <w:gridSpan w:val="6"/>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18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 Other (2)</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SJW Group</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gridSpan w:val="10"/>
            <w:vMerge w:val="continue"/>
          </w:tcPr>
          <w:p>
            <w:pPr>
              <w:spacing w:after="0"/>
              <w:rPr>
                <w:sz w:val="17"/>
                <w:szCs w:val="17"/>
                <w:color w:val="auto"/>
              </w:rPr>
            </w:pP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180" w:type="dxa"/>
            <w:vAlign w:val="bottom"/>
            <w:gridSpan w:val="6"/>
            <w:vMerge w:val="continue"/>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6"/>
            <w:vMerge w:val="continue"/>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0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200" w:type="dxa"/>
            <w:vAlign w:val="bottom"/>
            <w:tcBorders>
              <w:top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4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199,537</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56,606</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on long-term debt and other</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1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Nine Months Ended September 30, 2024</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gridSpan w:val="10"/>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Water Utility Services (1)</w:t>
            </w:r>
          </w:p>
        </w:tc>
        <w:tc>
          <w:tcPr>
            <w:tcW w:w="1200" w:type="dxa"/>
            <w:vAlign w:val="bottom"/>
            <w:gridSpan w:val="6"/>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18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 Other (2)</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SJW Group</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10"/>
            <w:vMerge w:val="continue"/>
          </w:tcPr>
          <w:p>
            <w:pPr>
              <w:spacing w:after="0"/>
              <w:rPr>
                <w:sz w:val="16"/>
                <w:szCs w:val="16"/>
                <w:color w:val="auto"/>
              </w:rPr>
            </w:pPr>
          </w:p>
        </w:tc>
        <w:tc>
          <w:tcPr>
            <w:tcW w:w="12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180" w:type="dxa"/>
            <w:vAlign w:val="bottom"/>
            <w:gridSpan w:val="6"/>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6"/>
            <w:vMerge w:val="continue"/>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0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20" w:type="dxa"/>
            <w:vAlign w:val="bottom"/>
            <w:gridSpan w:val="3"/>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20" w:type="dxa"/>
            <w:vAlign w:val="bottom"/>
            <w:gridSpan w:val="3"/>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gridSpan w:val="3"/>
          </w:tcPr>
          <w:p>
            <w:pPr>
              <w:spacing w:after="0"/>
              <w:rPr>
                <w:sz w:val="16"/>
                <w:szCs w:val="16"/>
                <w:color w:val="auto"/>
              </w:rPr>
            </w:pPr>
          </w:p>
        </w:tc>
        <w:tc>
          <w:tcPr>
            <w:tcW w:w="60" w:type="dxa"/>
            <w:vAlign w:val="bottom"/>
            <w:tcBorders>
              <w:top w:val="single" w:sz="8" w:color="auto"/>
            </w:tcBorders>
            <w:gridSpan w:val="2"/>
          </w:tcPr>
          <w:p>
            <w:pPr>
              <w:spacing w:after="0"/>
              <w:rPr>
                <w:sz w:val="16"/>
                <w:szCs w:val="16"/>
                <w:color w:val="auto"/>
              </w:rPr>
            </w:pPr>
          </w:p>
        </w:tc>
        <w:tc>
          <w:tcPr>
            <w:tcW w:w="1200" w:type="dxa"/>
            <w:vAlign w:val="bottom"/>
            <w:tcBorders>
              <w:top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200" w:type="dxa"/>
            <w:vAlign w:val="bottom"/>
            <w:tcBorders>
              <w:top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4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537,899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3"/>
            <w:shd w:val="clear" w:color="auto" w:fill="CCEEFF"/>
          </w:tcPr>
          <w:p>
            <w:pPr>
              <w:spacing w:after="0"/>
              <w:rPr>
                <w:sz w:val="19"/>
                <w:szCs w:val="19"/>
                <w:color w:val="auto"/>
              </w:rPr>
            </w:pPr>
          </w:p>
        </w:tc>
        <w:tc>
          <w:tcPr>
            <w:tcW w:w="60" w:type="dxa"/>
            <w:vAlign w:val="bottom"/>
            <w:tcBorders>
              <w:top w:val="single" w:sz="8" w:color="auto"/>
            </w:tcBorders>
            <w:gridSpan w:val="2"/>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537,899</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411,959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on long-term debt and other</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Nine Months Ended September 30, 2023</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Water Utility Services (1)</w:t>
            </w:r>
          </w:p>
        </w:tc>
        <w:tc>
          <w:tcPr>
            <w:tcW w:w="12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 (2)</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SJW Group</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1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2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485,334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485,334</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499,025</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375,647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375,647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386,083</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112,942</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66,038</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78,872</w:t>
            </w: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on long-term debt and other</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48,913</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ind w:left="660" w:right="280" w:hanging="652"/>
        <w:spacing w:after="0" w:line="259" w:lineRule="auto"/>
        <w:tabs>
          <w:tab w:leader="none" w:pos="32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“Water Utility Services” category for the three and nine months ended September 30, 2024 and 2023, includes the accounts of SJWC, CWC, TWC, MWC, and NEWUS on a stand-alone basis.</w:t>
      </w:r>
    </w:p>
    <w:p>
      <w:pPr>
        <w:ind w:left="660" w:right="240" w:hanging="652"/>
        <w:spacing w:after="0" w:line="283" w:lineRule="auto"/>
        <w:tabs>
          <w:tab w:leader="none" w:pos="32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 Other” category for the three and nine months ended September 30, 2024 and 2023, includes the accounts of SJW Group, SJWNE LLC, CTWS and SJWTX Holdings, Inc. on a stand-alone basis.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Group’s assets by segment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194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5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Regulated</w:t>
            </w: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4,496,972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4,199,172</w:t>
            </w:r>
          </w:p>
        </w:tc>
      </w:tr>
      <w:tr>
        <w:trPr>
          <w:trHeight w:val="23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Non-tariffed</w:t>
            </w:r>
          </w:p>
        </w:tc>
        <w:tc>
          <w:tcPr>
            <w:tcW w:w="56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43,532</w:t>
            </w:r>
          </w:p>
        </w:tc>
      </w:tr>
      <w:tr>
        <w:trPr>
          <w:trHeight w:val="223"/>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Total water utility services</w:t>
            </w: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4,498,396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4,242,704</w:t>
            </w: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5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w:t>
            </w:r>
          </w:p>
        </w:tc>
      </w:tr>
      <w:tr>
        <w:trPr>
          <w:trHeight w:val="230"/>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5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58,141</w:t>
            </w:r>
          </w:p>
        </w:tc>
      </w:tr>
      <w:tr>
        <w:trPr>
          <w:trHeight w:val="248"/>
        </w:trPr>
        <w:tc>
          <w:tcPr>
            <w:tcW w:w="1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5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4,552,302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4,345,067</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9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w:t>
            </w:r>
          </w:p>
        </w:tc>
        <w:tc>
          <w:tcPr>
            <w:tcW w:w="5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4,199,172</w:t>
            </w:r>
          </w:p>
        </w:tc>
      </w:tr>
      <w:tr>
        <w:trPr>
          <w:trHeight w:val="230"/>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Non-tariffed</w:t>
            </w:r>
          </w:p>
        </w:tc>
        <w:tc>
          <w:tcPr>
            <w:tcW w:w="5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145,895</w:t>
            </w:r>
          </w:p>
        </w:tc>
      </w:tr>
      <w:tr>
        <w:trPr>
          <w:trHeight w:val="248"/>
        </w:trPr>
        <w:tc>
          <w:tcPr>
            <w:tcW w:w="1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5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4,552,302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4,345,067</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622"/>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5780" w:type="dxa"/>
            <w:vAlign w:val="bottom"/>
            <w:gridSpan w:val="2"/>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w w:val="98"/>
              </w:rPr>
              <w:t>Acquisitions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9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January 2023, TWC reached an agreement to acquire KT Water Development Ltd. (“KT Water Development”) and SJWTX Holdings, Inc. reached an agreement to acquire KT Water Resources, L.P. (“KT Water Resources”). The agreement between SJWTX Holdings, Inc. and KT Water Resources was assigned to TWR prior to closing. KT Water Development was an investor-owned water utility providing water to approximately 1,725 people through over 570 service connections in the Rockwall Ranch subdivision in southern Comal County, Texas. KT Water Resources was a wholesale groundwater resource supplier to KT Water Development formed to develop wholesale water supplies for the fast-growing utilities of Comal County, Texas. The Public Utility Commission of Texas (“PUCT”) approved the proposed KT Water Development acquisition on July 24, 2023. The acquisition of KT Water Resources did not require PUCT approval. Both transactions closed on August 14, 2023. Further information regarding each of the acquisitions is set forth below.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 Water Development</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purchase price of KT Water Development was $7,338, all of which was cash, and was determined in accordance with a fair market value process defined under the Texas Water Code. The transaction was accounted for as a business combination in accordance with Accounting Standards Codification (“ASC”) Topic 805—“Business Combinations.” The transaction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consideration was allocated to utility plant. The final purchase price allocation was completed during the quarter ended March 31, 2024, with no change from the preliminary purchase price allocation. Transaction costs were not material. The results of KT Water Development have been included in SJW Group’s consolidated statements of comprehensive income since the acquisition date and were not material. Pro forma financial information has not been presented because the acquisition was not material to SJW Group’s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 Water Resources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total purchase price of KT Water Resources of $39,891 and consisted of a $24,491 up-front cash payment and an obligation for a post-closing production payment with an acquisition date fair value of $15,400. Considering transaction costs of $170, the total cost of the acquisition was $40,061. The KT Water Resources acquisition was accounted for as an asset acquisition in accordance with ASC Topic 805.</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total cost was allocated as follows based on the fair values of the assets acquired: $28,386 to other intangible asset, $11,684 to nonutility property, and $9 to other current liabilities. The other intangible asset represents indefinite life water rights. The nonutility property consists of wells, land, easements, and construction work in progress.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post-closing production payment represents an obligation to pay a total amount of $29,000 to the seller over a period up to 29 years. The repayment schedule is based on the quantity of groundwater produced from the acquired wells, subject to certain provisions in the purchase agreement. The fair value of the post-closing payment as of the acquisition date was determined by discounting forecasted repayments based on management’s estimates of future groundwater production. The difference between the fair value of $15,400 and the gross obligation of $29,000 was recorded as a debt discount and is being amortized as interest expense using the effective interest method over the life of the obligation. The post-closing production payment obligation is classified as long-term debt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20" w:name="page21"/>
    <w:bookmarkEnd w:id="20"/>
    <w:p>
      <w:pPr>
        <w:ind w:left="1300" w:right="6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(Dollar amounts in thousands, except per share amounts and where otherwise noted)</w:t>
      </w:r>
    </w:p>
    <w:p>
      <w:pPr>
        <w:spacing w:after="0" w:line="4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2023.</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SJW Group’s Annual Report on Form 10-K for the year ended December 31, 2023 under “Risk Factors.”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SJW Group is a holding company whose primary business involves ownership of public utilities that provide water and wastewater services, including the production, purchase, storage, purification, distribution, wholesale and retail sale of water. The water utility business of SJW Group is conducted through five wholly owned subsidiaries: San Jose Water Company (“SJWC”), Connecticut Water Company (“CWC”), The Maine Water Company (“MWC”), SJWTX, Inc. doing business as Texas Water Company (“TWC”) and National Water Utility Service, LLC (“National Water Utility”). National Water Utility is the contracting entity for shared services among the SJW Group affiliates formed in October 2024. The remaining subsidiaries provide water service to approximately 403,000 connections and wastewater service to approximately 4,000 connections and serve a combined population of over 1.6 million people in California, Connecticut, Maine and Texas. Water utility services provided by these businesses are subject to regulation by the applicable state public utility commissions. These subsidiaries also engage in non-tariffed operations that are not subject to public utility commission regulation, including contract water and sewer operations, maintenance agreements, and antenna site leases. Collectively, these water utility and utility-related services form our “Water Utility Services” segment.</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2024, SJWC entered into a 12-year agreement with the City of Cupertino effective on October 1, 2024 pursuant to which SJWC will operate the City of Cupertino municipal water system, replacing the previous agreement with the City of Cupertino. The agreement can be extended for an additional term of eight years. In accordance with the new agreement, SJWC will pay an upfront concession fee of $22,100 in the fourth quarter of 2024. Additionally, SJWC agreed to pay an annual investment rent of $1,800, subject to increases each year based on a specified construction cost index.</w:t>
      </w:r>
    </w:p>
    <w:p>
      <w:pPr>
        <w:spacing w:after="0" w:line="7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SJW Group’s second segment, “Real Estate Services,” consists of property management and investment activity conducted by SJW Land Company and Chester Realty, Inc., which own undeveloped land and operate commercial buildings in California and Connecticut. In the second quarter of 2024, SJW Land Company completed the sale of its Tennessee properties.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 focuses its business initiatives in three strategic areas:</w:t>
      </w:r>
    </w:p>
    <w:p>
      <w:pPr>
        <w:spacing w:after="0" w:line="117"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regional regulated water utility operations to support the health, safety and quality of life of our customers;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utility-related services provided in accordance with the guidelines established by applicable state public utility commissions;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utility-related services.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 to time opportunities to acquire businesses and assets. However, we cannot be certain we will be successful in identifying and consummating any strategic business combinations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1" w:name="page22"/>
    <w:bookmarkEnd w:id="21"/>
    <w:p>
      <w:pPr>
        <w:ind w:right="100"/>
        <w:spacing w:after="0" w:line="256" w:lineRule="auto"/>
        <w:rPr>
          <w:sz w:val="20"/>
          <w:szCs w:val="20"/>
          <w:color w:val="auto"/>
        </w:rPr>
      </w:pPr>
      <w:r>
        <w:rPr>
          <w:rFonts w:ascii="Times New Roman" w:cs="Times New Roman" w:eastAsia="Times New Roman" w:hAnsi="Times New Roman"/>
          <w:sz w:val="18"/>
          <w:szCs w:val="18"/>
          <w:color w:val="auto"/>
        </w:rPr>
        <w:t>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of “Notes to Condensed Consolidated Financial Statements” for SJW Group’s recent acquisition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Services:</w:t>
      </w:r>
    </w:p>
    <w:p>
      <w:pPr>
        <w:spacing w:after="0" w:line="121"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SJW Group’s real estate investment activity is conducted through SJW Land Company and Chester Realty, Inc. SJW Land Company owns undeveloped land in California. At the end of the second quarter of 2024, all of Tennessee properties have been sold. Chester Realty, Inc. owns and operates land and commercial buildings in Connecticut. SJW Land Company and Chester Realty, Inc. manage their acquired income-producing and other properties until such time a determination is made to reinvest proceeds from the sale of such properties.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the accounting policies used and disclosed in our 2023 consolidated financial statements and accompanying notes that were prepared in accordance with accounting principles generally accepted in the United States of America and included as part of our annual report on Form 10-K for the year ended December 31, 2023, that was filed with the Securities and Exchange Commission on February 23, 2024.</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in Management’s Discussion and Analysis of Financial Condition and Results of Operations included in our annual report on Form 10-K for the year ended December 31, 2023. Our significant accounting policies are described in the notes to the 2023 consolidated financial statements included in our annual report on Form 10-K for the year ended December 31, 2023. There have been no changes to our critical or significant accounting policies during the three and nine months ended September 30, 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of “Notes to Unaudited Condensed Consolidated Financial Statements” for a discussion of new accounting pronouncements.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SJW Group’s consolidated net income for the three months ended September 30, 2024 was $38,652, an increase of $2,430, or approximately 7%, from $36,222 for the same period in 2023. SJW Group’s consolidated net income for the nine months ended September 30, 2024 was $71,047, an increase of $5,009, or approximately 8%, from $66,038 for the same period in 2023. The increase in net income for the three months ended September 30, 2024 was primarily driven by rate increases in California and Connecticut and lower income tax expense attributable to a tax accounting method change. These factors were offset by higher water production expenses and increased other operating expenses as discussed below, lower customer usage in our Texas service areas driven primarily by weather conditions, and decreased real estate revenue due to the Tennessee properties that were sold in the second quarter of 2024. The increase in net income for the nine months ended September 30, 2024 was also primarily driven by rate increases in California and Connecticut, as well as growth in customers, primarily in Texas. These factors were offset by decreased real estate revenue due to the Tennessee properties that were sold in the second quarter of 2024, higher water production expenses, higher interest expense and an increase in other operating expenses as discussed below.</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0" w:type="dxa"/>
            <w:vAlign w:val="bottom"/>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Revenue by Segment</w:t>
            </w:r>
          </w:p>
        </w:tc>
        <w:tc>
          <w:tcPr>
            <w:tcW w:w="1000" w:type="dxa"/>
            <w:vAlign w:val="bottom"/>
          </w:tcPr>
          <w:p>
            <w:pPr>
              <w:spacing w:after="0"/>
              <w:rPr>
                <w:sz w:val="16"/>
                <w:szCs w:val="16"/>
                <w:color w:val="auto"/>
              </w:rPr>
            </w:pPr>
          </w:p>
        </w:tc>
      </w:tr>
      <w:tr>
        <w:trPr>
          <w:trHeight w:val="23"/>
        </w:trPr>
        <w:tc>
          <w:tcPr>
            <w:tcW w:w="4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190"/>
        </w:trPr>
        <w:tc>
          <w:tcPr>
            <w:tcW w:w="4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225,041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548,045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494,732</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w:t>
            </w:r>
          </w:p>
        </w:tc>
      </w:tr>
      <w:tr>
        <w:trPr>
          <w:trHeight w:val="248"/>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225,063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550,619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499,025</w:t>
            </w:r>
          </w:p>
        </w:tc>
      </w:tr>
      <w:tr>
        <w:trPr>
          <w:trHeight w:val="20"/>
        </w:trPr>
        <w:tc>
          <w:tcPr>
            <w:tcW w:w="456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6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change in consolidated operating revenue was due to the following factors: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8"/>
        </w:trPr>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11"/>
          </w:tcPr>
          <w:p>
            <w:pPr>
              <w:ind w:left="340"/>
              <w:spacing w:after="0"/>
              <w:rPr>
                <w:sz w:val="20"/>
                <w:szCs w:val="20"/>
                <w:color w:val="auto"/>
              </w:rPr>
            </w:pPr>
            <w:r>
              <w:rPr>
                <w:rFonts w:ascii="Times New Roman" w:cs="Times New Roman" w:eastAsia="Times New Roman" w:hAnsi="Times New Roman"/>
                <w:sz w:val="14"/>
                <w:szCs w:val="14"/>
                <w:b w:val="1"/>
                <w:bCs w:val="1"/>
                <w:color w:val="auto"/>
              </w:rPr>
              <w:t>Increase/(decrease) in Operating Revenue</w:t>
            </w:r>
          </w:p>
        </w:tc>
        <w:tc>
          <w:tcPr>
            <w:tcW w:w="1000" w:type="dxa"/>
            <w:vAlign w:val="bottom"/>
          </w:tcPr>
          <w:p>
            <w:pPr>
              <w:spacing w:after="0"/>
              <w:rPr>
                <w:sz w:val="24"/>
                <w:szCs w:val="24"/>
                <w:color w:val="auto"/>
              </w:rPr>
            </w:pPr>
          </w:p>
        </w:tc>
      </w:tr>
      <w:tr>
        <w:trPr>
          <w:trHeight w:val="23"/>
        </w:trPr>
        <w:tc>
          <w:tcPr>
            <w:tcW w:w="4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60" w:type="dxa"/>
            <w:vAlign w:val="bottom"/>
            <w:gridSpan w:val="5"/>
          </w:tcPr>
          <w:p>
            <w:pPr>
              <w:jc w:val="center"/>
              <w:ind w:left="496"/>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40" w:type="dxa"/>
            <w:vAlign w:val="bottom"/>
            <w:gridSpan w:val="5"/>
          </w:tcPr>
          <w:p>
            <w:pPr>
              <w:jc w:val="center"/>
              <w:ind w:left="536"/>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1"/>
                <w:szCs w:val="11"/>
                <w:color w:val="auto"/>
              </w:rPr>
            </w:pPr>
          </w:p>
        </w:tc>
      </w:tr>
      <w:tr>
        <w:trPr>
          <w:trHeight w:val="146"/>
        </w:trPr>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gridSpan w:val="5"/>
          </w:tcPr>
          <w:p>
            <w:pPr>
              <w:jc w:val="center"/>
              <w:ind w:left="476"/>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5"/>
          </w:tcPr>
          <w:p>
            <w:pPr>
              <w:jc w:val="center"/>
              <w:ind w:left="576"/>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2"/>
                <w:szCs w:val="12"/>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000" w:type="dxa"/>
            <w:vAlign w:val="bottom"/>
            <w:tcBorders>
              <w:bottom w:val="single" w:sz="8" w:color="auto"/>
            </w:tcBorders>
          </w:tcPr>
          <w:p>
            <w:pPr>
              <w:spacing w:after="0"/>
              <w:rPr>
                <w:sz w:val="17"/>
                <w:szCs w:val="17"/>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Consumption changes</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customers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 increases for:</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48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Pass-through water costs</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48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All other increases</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Regulatory mechanisms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change in operating revenue</w:t>
            </w: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4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rate increases specifically associated with changes in the water supply costs that are passed through to customers.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associated with general rate cases and related annual escalation adjustments, infrastructure surcharges, and cost of capital adjustments.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Operating Expense by Segment</w:t>
            </w:r>
          </w:p>
        </w:tc>
        <w:tc>
          <w:tcPr>
            <w:tcW w:w="160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40" w:type="dxa"/>
            <w:vAlign w:val="bottom"/>
            <w:gridSpan w:val="3"/>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5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418,747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381,187</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23"/>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423,783</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386,083</w:t>
            </w: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844"/>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change in consolidated operating expense was due to the following factors: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Increase/(decrease) in Operating Expense</w:t>
            </w:r>
          </w:p>
        </w:tc>
        <w:tc>
          <w:tcPr>
            <w:tcW w:w="740" w:type="dxa"/>
            <w:vAlign w:val="bottom"/>
          </w:tcPr>
          <w:p>
            <w:pPr>
              <w:spacing w:after="0"/>
              <w:rPr>
                <w:sz w:val="16"/>
                <w:szCs w:val="16"/>
                <w:color w:val="auto"/>
              </w:rPr>
            </w:pPr>
          </w:p>
        </w:tc>
      </w:tr>
      <w:tr>
        <w:trPr>
          <w:trHeight w:val="23"/>
        </w:trPr>
        <w:tc>
          <w:tcPr>
            <w:tcW w:w="44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29"/>
        </w:trPr>
        <w:tc>
          <w:tcPr>
            <w:tcW w:w="4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80" w:type="dxa"/>
            <w:vAlign w:val="bottom"/>
            <w:gridSpan w:val="3"/>
          </w:tcPr>
          <w:p>
            <w:pPr>
              <w:jc w:val="center"/>
              <w:ind w:left="94"/>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40" w:type="dxa"/>
            <w:vAlign w:val="bottom"/>
            <w:gridSpan w:val="3"/>
          </w:tcPr>
          <w:p>
            <w:pPr>
              <w:jc w:val="center"/>
              <w:ind w:left="114"/>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1"/>
                <w:szCs w:val="11"/>
                <w:color w:val="auto"/>
              </w:rPr>
            </w:pPr>
          </w:p>
        </w:tc>
      </w:tr>
      <w:tr>
        <w:trPr>
          <w:trHeight w:val="137"/>
        </w:trPr>
        <w:tc>
          <w:tcPr>
            <w:tcW w:w="4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80" w:type="dxa"/>
            <w:vAlign w:val="bottom"/>
            <w:gridSpan w:val="3"/>
          </w:tcPr>
          <w:p>
            <w:pPr>
              <w:jc w:val="center"/>
              <w:ind w:left="74"/>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40" w:type="dxa"/>
            <w:vAlign w:val="bottom"/>
            <w:gridSpan w:val="3"/>
          </w:tcPr>
          <w:p>
            <w:pPr>
              <w:jc w:val="center"/>
              <w:ind w:left="154"/>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1"/>
                <w:szCs w:val="11"/>
                <w:color w:val="auto"/>
              </w:rPr>
            </w:pPr>
          </w:p>
        </w:tc>
      </w:tr>
      <w:tr>
        <w:trPr>
          <w:trHeight w:val="190"/>
        </w:trPr>
        <w:tc>
          <w:tcPr>
            <w:tcW w:w="4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80" w:type="dxa"/>
            <w:vAlign w:val="bottom"/>
            <w:gridSpan w:val="3"/>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gridSpan w:val="3"/>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740" w:type="dxa"/>
            <w:vAlign w:val="bottom"/>
          </w:tcPr>
          <w:p>
            <w:pPr>
              <w:spacing w:after="0"/>
              <w:rPr>
                <w:sz w:val="16"/>
                <w:szCs w:val="16"/>
                <w:color w:val="auto"/>
              </w:rPr>
            </w:pPr>
          </w:p>
        </w:tc>
      </w:tr>
      <w:tr>
        <w:trPr>
          <w:trHeight w:val="23"/>
        </w:trPr>
        <w:tc>
          <w:tcPr>
            <w:tcW w:w="44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production expenses:</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surface water use</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usage and new customers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176"/>
        </w:trPr>
        <w:tc>
          <w:tcPr>
            <w:tcW w:w="44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Purchased water and groundwater extraction charge,</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energy price change and other production expenses, net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Balancing and memorandum accounts cost recovery</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water production expenses</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change in operating expense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Sources of Water Supply</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SJWC’s water supply consists of groundwater from wells, surface water from watershed run-off and diversion, reclaimed water, and imported water purchased from Santa Clara Valley Water District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availability of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charges and purchased power are tracked in SJWC’s Full Cost Balancing Account authorized by the California Public Utilities Commission (“CPUC”).</w:t>
      </w:r>
    </w:p>
    <w:p>
      <w:pPr>
        <w:spacing w:after="0" w:line="8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2024, water conditions remained positive across the State of California. As a result, the California Department of Water Resources (“DWR”) announced an increase in the State Water Project allocation from 15% to 30% of contract amount during the first quarter of 2024 and the U.S. Bureau of Reclamation announced an increase in the Central Valley Project allocation from 65% to 75% during the same period. The DWR further announced an increase in the State Water Project allocation from 30% to 40% of contract amount during the second quarter of 2024 while the U.S. Bureau of Reclamation’s Central Valley Project allocation remained at 75% during the same period. Water allocations for the State Water Project and the Central Valley Project remained at 40% and 75%, respectively, during the third quarter of 2024. On October 1, 2024, Valley Water’s 10 reservoirs were 27% of capacity, or 71% of restricted capacity, with 14.5 billion gallons of water in storage. Valley Water’s largest reservoir, Anderson, remained drained for a dam seismic retrofit project. Valley Water also reported that the managed groundwater recharge from January to September in the Santa Clara Plain was 122% of the five-year average. The groundwater level in the Santa Clara Plain is approximately three feet lower than September 2023. According to Valley Water, the projected total groundwater storage at the end of 2024 is expected to be in the Normal Stage of the Water Shortage Contingency Plan.</w:t>
      </w:r>
    </w:p>
    <w:p>
      <w:pPr>
        <w:spacing w:after="0" w:line="6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September 30, 2024, SJWC’s Lake Elsman was 74.2% of capacity with 1.5 billion gallons of water, approximately 220.3% of the five-year seasonal average. However, the rainfall at SJWC’s Lake Elsman was measured at zero inches for the period from July 1, 2024 through September 30, 2024. SJWC’s Montevina Water Treatment Plant treated 2.7 billion gallons of water for the nine months ended September 30, 2024, which is 131.7% of the five-year average. SJWC’s Saratoga Water Treatment Plant remains offline until the next rain season (November to March). SJWC believes that its various sources of water supply will be sufficient to meet customer demand through the remainder of 2024.</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CWC’s water sources vary among the individual systems, but overall, approximately 80% of the total dependable yield comes from surface water supplies and 20% from wells. In addition, CWC has water supply agreements to supplement its water supply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with the South Central Connecticut Regional Water Authority and The Metropolitan District that expire in 2058 and 2053, respectively.</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TWC’s water supply consists of groundwater from wells and purchased treated and untreated raw water from local water agencies. TWC has long-term agreements with the Guadalupe-Blanco River Authority (“GBRA”), which expire in 2037, 2040, 2044 and 2050. The agreements, which are take-or-pay contracts, provide TWC with an aggregate of approximately 7,650 acre-feet of water per year from Canyon Lake at prices that may be adjusted periodically by GBRA. TWC also has raw water supply agreements with the Lower Colorado River Authority and West Travis Public Utility Agency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August 2023, a non-regulated subsidiary, Texas Water Resources, LLC (“TWR”), acquired eight wells and the associated water rights of KT Water Resources, LLC. In connection with a transaction in the third quarter of 2024, TWC purchased these assets from TWR for use in utility operations. Accordingly, SJW Group reclassified $28,386 related to indefinite life water rights from other intangible assets to utility plant intangible assets and $11,684 from nonutility property to utility plant. These wells have been projected to yield at least 6,000 acre-feet per year or more. Development of the KT Water System continues.</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Texas service area is currently experiencing drought conditions </w:t>
      </w:r>
      <w:r>
        <w:rPr>
          <w:rFonts w:ascii="Times New Roman" w:cs="Times New Roman" w:eastAsia="Times New Roman" w:hAnsi="Times New Roman"/>
          <w:sz w:val="18"/>
          <w:szCs w:val="18"/>
          <w:color w:val="212121"/>
        </w:rPr>
        <w:t>that result in water usage restrictions for customers</w:t>
      </w:r>
      <w:r>
        <w:rPr>
          <w:rFonts w:ascii="Times New Roman" w:cs="Times New Roman" w:eastAsia="Times New Roman" w:hAnsi="Times New Roman"/>
          <w:sz w:val="18"/>
          <w:szCs w:val="18"/>
          <w:color w:val="auto"/>
        </w:rPr>
        <w:t xml:space="preserve">. These water usage restrictions will likely impact revenue for the remainder of 2024. </w:t>
      </w:r>
      <w:r>
        <w:rPr>
          <w:rFonts w:ascii="Times New Roman" w:cs="Times New Roman" w:eastAsia="Times New Roman" w:hAnsi="Times New Roman"/>
          <w:sz w:val="18"/>
          <w:szCs w:val="18"/>
          <w:color w:val="212121"/>
        </w:rPr>
        <w:t>Significant future capital investment of transmission main and storage facilities in addition to developing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additional supply sources is planned for 2025 and beyond.</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Water sources at MWC vary among the individual systems, but overall, approximately 90% of the total dependable yield comes from surface water supplies and 10% from wells. MWC has a water supply agreement with the Kennebec Water District expiring in 2040.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sources of water supply, in billion gallons, for Water Utility Services: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11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1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1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(billion gallons)</w:t>
            </w: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(billion gallons)</w:t>
            </w: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water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Groundwater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Surface water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Reclaimed water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16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source of supply mix were consistent with the changes in the water production expenses.</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SJWC’s unaccounted-for water on a 12-month-to-date basis for September 30, 2024 and 2023 approximated 8.9% and 7.9%, respectively, as a percentage of total production. The unaccounted-for water estimate is based on the results of past experience and the impact of flows through the system, partially offset by SJWC’s main replacements and lost water reduction programs.</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Connecticut Water Service, Inc. (“CTWS”)’s unaccounted-for water on a 12-month-to-date basis for September 30, 2024 and 2023 approximated 14.4% and 13.0%, respectively, as a percentage of total production. The unaccounted-for water estimate is based on the results of past experience and the impact of flows through CTWS’s systems, unadjusted for any required system flushing, partially offset by Water Infrastructure Conservation Adjustment and Water Infrastructure Surcharge main replacement programs and lost water reduction initiatives.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Water Production Expenses</w:t>
      </w:r>
    </w:p>
    <w:p>
      <w:pPr>
        <w:spacing w:after="0" w:line="1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change in water production expenses of $13,064 for the three months ended September 30, 2024, compared to the same period in 2023, was primarily attributable to increases in average per unit costs for purchased water and groundwater extraction, and increases in production volume, offset by decreases resulting from regulatory adjustments through SJWC’s Full Cost Balancing Account.</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change in water production expenses of $26,423 for the nine months ended September 30, 2024, compared to the same period in 2023, was primarily attributable to increases in average per unit costs for purchased water and groundwater extraction, and production volume, offset by decreases resulting from regulatory adjustments.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July 1, 2024, Valley Water increased the unit price of purchased water by approximately 12% and the groundwater extraction charge by approximately 13% for SJWC. Effective July 1, 2023, Valley Water increased the unit price of purchased water by approximately 14% and the groundwater extraction charge by approximately 15%.</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Other Operating Expenses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Operating expenses, excluding water production expenses, increased $5,409 for the three months ended September 30, 2024, compared to the same period in 2023. The increase was primarily attributable to increases in expenses related to contracted work for others, increases in general and administrative expenses for contracted work and inflationary increases offset by higher allocations to construction activities, and increases in depreciation and amortization for new utility plant placed in service.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expenses, excluding water production expenses, increased $11,277 for the nine months ended September 30, 2024, compared to the same period in 2023. The increase was primarily attributable to increases in depreciation and amortization for new utility plant placed in service and higher maintenance expenses related to contracted work for others, security expenses, and adjustments to certain regulatory assets as a result of the final decision in the Connecticut general rate case (“GRC”), and a slight increase in administrative and general expenses. The general and administrative expenses change is primarily from inflationary increases offset by decreases in the allowance for credit losses of $6,847 and higher allocations to construction activities. The higher allocations and inflationary increases are expected to impact the remainder of 2024.</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Income</w:t>
      </w:r>
    </w:p>
    <w:p>
      <w:pPr>
        <w:spacing w:after="0" w:line="1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compared to the same period in 2023, the change in other (expense) income was primarily due to lower income from certain service and other activities and higher interest expense on long-term debt, offset by an increase in return on pension plan assets.</w:t>
      </w:r>
    </w:p>
    <w:p>
      <w:pPr>
        <w:spacing w:after="0" w:line="5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compared to the same period in 2023, the change in other (expense) income was primarily due to an increase in interest expense due to higher average balances and interest rates, decreases in gains from real estate sale transactions of $2,054 and lower income from certain service and other activities, offset by an increase in return on pension plan assets.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Provision for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compared to the same period in 2023, income tax expense decreased $2,633 and increased</w:t>
      </w:r>
    </w:p>
    <w:p>
      <w:pPr>
        <w:spacing w:after="0" w:line="27"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7"/>
          <w:szCs w:val="17"/>
          <w:color w:val="auto"/>
        </w:rPr>
        <w:t>$3,756, respectively. The decrease in income tax expense for the three months ended September 30, 2024 was primarily due to a tax accounting method change. The increase in income tax expense for the nine months ended September 30, 2024 was primarily due to a higher pre-tax income in 2024.</w:t>
      </w:r>
    </w:p>
    <w:p>
      <w:pPr>
        <w:spacing w:after="0" w:line="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effective consolidated income tax rates were 5% and 11% for the three months ended September 30, 2024 and 2023, respectively, and 10% and 6% for the nine months ended September 30, 2024 and 2023, respectively. The lower effective tax rate for the three months ended September 30, 2024 was primarily due to a tax accounting method change related to the repairs deduction. The higher effective tax rate for the nine months ended September 30, 2024 was primarily due to lower discrete tax benefits in 2024.</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Regulation and Rates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95" w:lineRule="exact"/>
        <w:rPr>
          <w:sz w:val="20"/>
          <w:szCs w:val="20"/>
          <w:color w:val="auto"/>
        </w:rPr>
      </w:pPr>
    </w:p>
    <w:p>
      <w:pPr>
        <w:ind w:right="5180"/>
        <w:spacing w:after="0" w:line="367" w:lineRule="auto"/>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of “Notes to Condensed Consolidated Financial Statements.” </w:t>
      </w:r>
      <w:r>
        <w:rPr>
          <w:rFonts w:ascii="Times New Roman" w:cs="Times New Roman" w:eastAsia="Times New Roman" w:hAnsi="Times New Roman"/>
          <w:sz w:val="18"/>
          <w:szCs w:val="18"/>
          <w:u w:val="single" w:color="auto"/>
          <w:color w:val="auto"/>
        </w:rPr>
        <w:t>California Regulatory Affairs</w:t>
      </w:r>
    </w:p>
    <w:p>
      <w:pPr>
        <w:spacing w:after="0" w:line="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SJWC filed Advice Letter No. 601 on October 13, 2023, to inform the CPUC that the Water Cost of Capital Mechanism (“WCCM”) authorized in Decision No. 23-06-025 required an update to SJWC’s authorized rate of return effective January 1, 2024. The filing requested an adjusted return on equity of</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10.01%, a cost of debt of 5.28%, and a resulting authorized rate of return of 7.86%. Advice Letter No. 601 was approved with an effective date of January 1, 2024. Separate from the filing, the return on equity was further adjusted by a 20 bps reduction for the reimplementation of the Water Conservation Memorandum Account resulting in an overall rate of return of 7.75%.</w:t>
      </w:r>
    </w:p>
    <w:p>
      <w:pPr>
        <w:spacing w:after="0" w:line="7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SJWC filed Advice Letter No. 603 on November 14, 2023, to establish a Group Insurance Balancing Account to track the difference between the company’s authorized versus actual costs for medical, dental, and opt-out insurance expenses. Advice Letter No. 603 was approved with an effective date of January 1, 2024.</w:t>
      </w:r>
    </w:p>
    <w:p>
      <w:pPr>
        <w:spacing w:after="0" w:line="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SJWC filed Advice Letter No. 605 on November 21, 2023, to increase the authorized revenue requirement by $21,270, or 4.16%, for the attrition year increase in accordance with the 2022 GRC Decision and the adjusted Rate of Return approved in Advice Letter No. 601. Advice Letter No. 605 was approved with an effective date of January 1, 2024.</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December 15, 2023, SJWC, along with three other California water utilities, filed a joint request for one-year deferment on the cost of capital filings which would otherwise be due on May 1, 2024. Postponing the filing a year alleviates administrative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26" w:name="page27"/>
    <w:bookmarkEnd w:id="26"/>
    <w:p>
      <w:pPr>
        <w:ind w:right="20"/>
        <w:spacing w:after="0" w:line="258" w:lineRule="auto"/>
        <w:rPr>
          <w:sz w:val="20"/>
          <w:szCs w:val="20"/>
          <w:color w:val="auto"/>
        </w:rPr>
      </w:pPr>
      <w:r>
        <w:rPr>
          <w:rFonts w:ascii="Times New Roman" w:cs="Times New Roman" w:eastAsia="Times New Roman" w:hAnsi="Times New Roman"/>
          <w:sz w:val="18"/>
          <w:szCs w:val="18"/>
          <w:color w:val="auto"/>
        </w:rPr>
        <w:t>processing costs on the utilities as well as the CPUC staff, and provides relief for both CPUC and utility resources already strained by numerous other proceedings. The request is conditioned on leaving the current WCCM in place such that any adjustments will be made to the respective utilities’ cost of capital during the one-year deferment based on the mechanism. The request was approved on February 2, 2024. Based on the change in the average Moody’s Aa utility bond index rate between the 12 months ended September 30, 2023 and September 30, 2024, there will be no adjustment to SJWC’s cost of capital for 2025.</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2, 2024, SJWC filed General Rate Case Application No. 24-01-001 with the CPUC to increase rates charged for water service by $55,196 or 11.11% in 2025, by $22,041 or 3.99% in 2026, and by $25,809 or 4.49% in 2027. The application proposed a $540,000 three-year capital budget and includes requests to recover $23,462 from balancing and memorandum accounts, further alignment between actual and authorized usage, and a shift to greater revenue collection in the service charge. The application will undergo a year-long review process and new rates, if approved, are expected to be effective January 1, 2025. On June 14, 2024, SJWC notified the CPUC that it had reached an all-party settlement agreement in principle with the Public Advocates Office and Water Rate Advocates for Transparency, Equity and Sustainability, also known as WRATES, in its 2025 through 2027 general rate case application on all but two policy issues that will be litigated. On August 13, 2024, WRATES notified the CPUC that it would not join in the settlement agreement. Per the procedural ruling, the formal settlement motion and agreement between SJWC and the Public Advocates Office was submitted on August 19, 2024 and updated on September 27, 2024. The settlement agreement provides for rate increases of $21,305 or 3.91% in 2025, $14,427 or 2.55% in 2026, and $17,347 or 2.98% in 2027. The settlement agreement also provides a three-year capital budget of $450,000 and recovery of $15,792 in memorandum and balancing accounts. Briefs on the two policy issues were also submitted on August 19, 2024. A decision on the GRC is expected by the CPUC in the fourth quarter of 2024.</w:t>
      </w:r>
    </w:p>
    <w:p>
      <w:pPr>
        <w:spacing w:after="0" w:line="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SJWC filed Advice Letter No. 609 on May 16, 2024, to increase the authorized revenue requirement by $28,275, or 5.3%, to offset the increases to purchased potable water charges, the groundwater extraction fee, and purchased recycled water charges from its water wholesalers effective July 1, 2024. Advice Letter No. 609 was approved with an effective date of July 1, 2024.</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SJWC filed Advice Letter No. 610/610A on May 23, 2024, to increase the authorized revenue requirement by $768, or 0.14%, to recover revenue related to the plant additions for the Advanced Metering Infrastructure project. Advice Letter No. 610/610A was approved with an effective date of July 1,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Connecticut Regulatory Affairs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3, 2023, CWC filed an application with Public Utilities Regulatory Authority (“PURA”) in Connecticut to adjust customer rates. The proposal requested an increase in annual revenues of approximately $21,400, or 18.1%, over current authorized revenues. On June 28, 2024, PURA issued a final decision authorizing an increase in annual revenues of $6,455, or 5.5%, with the ability to earn additional revenue of $1,116 through the annual Water Revenue Adjustment (“WRA”) filing for achievement of certain performance metrics. In addition, the decision authorized a return on equity of 9.3% on a capital structure comprised of 53% equity and 47% long term debt. New rates became effective on July 1, 2024.</w:t>
      </w:r>
    </w:p>
    <w:p>
      <w:pPr>
        <w:spacing w:after="0" w:line="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November 14, 2023, CWC submitted an application to PURA for the approval to issue unsecured notes in the amount of $25,000. A decision from PURA approving the application was received on January 10, 2024.</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26, 2024, CWC filed its 2023 Water Infrastructure Conservation Adjustment (“WICA”) reconciliation with PURA. The reconciliation, approved by PURA on March 27, 2024 and effective for 12 months beginning April 1, 2024, replaced the expiring 2022 reconciliation credit of 0.16% with a credit of 0.13%. The cumulative WICA surcharge as of April 1, 2024 is 7.41%, collecting $7,835 on an annual basis. Based on the general rate case decision, as of July 1, 2024, the base WICA surcharge will be reset to zero; however, the credit of 0.13% for 2023 reconciliation will continue to apply into 2025.</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February 28, 2024, CWC filed its 2023 WRA. The mechanism reconciles 2023 revenues as authorized in the CWC’s most recent rate case. The 2023 WRA, as approved by PURA on March 11, 2024 and effective for 12 months beginning on April 1, 2024, imposed a 2.11% sur-credit on customer bills to refund the 2022 revenues over-collection.</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June 21, 2024, CWC submitted an application to PURA for the approval to issue unsecured notes in an amount of up to $150,000. PURA approved the application on August 14, 2024.</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July 26, 2024, CWC filed for a WICA increase of $4,300 in annualized revenue for $41,900 in completed infrastructure projects. PURA approved the application, and effective October 1, 2024, the cumulative WICA surcharge is 3.43%.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Texas Regulatory Affairs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TWC has no current general rate case pending. However, it filed its application to establish a System Improvement Charge (“SIC”) with the Public Utilities Commission of Texas (“PUCT”) under Docket No. 54430 on December 30, 2022. SIC filings are used to include certain utility plant additions made since 2020 to its rate base, thereby increasing revenue and avoiding the immediate need for a general rate case. On March 21, 2024, the PUCT filed the final order approving TWC’s request to implement its SIC. As a result of the final order, the SIC is projected to increase TWC’s water revenue by $1,574 and sewer revenue by $28 within one year of the approval. On September 12, 2024, TWC filed its application to amend its SIC with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7" w:name="page28"/>
    <w:bookmarkEnd w:id="27"/>
    <w:p>
      <w:pPr>
        <w:ind w:right="80"/>
        <w:spacing w:after="0" w:line="256" w:lineRule="auto"/>
        <w:rPr>
          <w:sz w:val="20"/>
          <w:szCs w:val="20"/>
          <w:color w:val="auto"/>
        </w:rPr>
      </w:pPr>
      <w:r>
        <w:rPr>
          <w:rFonts w:ascii="Times New Roman" w:cs="Times New Roman" w:eastAsia="Times New Roman" w:hAnsi="Times New Roman"/>
          <w:sz w:val="18"/>
          <w:szCs w:val="18"/>
          <w:color w:val="auto"/>
        </w:rPr>
        <w:t>PUCT under Docket No. 56974. Its amended SIC will apply to all customers and seeks to increase its annual water revenue by $4,115 and its annual sewer revenue by $202, in addition to the original SIC filed with the PUCT under Docket No. 54430 on December 30, 2022. On October 14, 2024, the PUCT notified TWC that the filing was administratively complete in order to establish a procedural schedule. TWC expects to receive the final approval from the PUCT in the first half of 2025. Additionally, TWC is required to file a general rate case on or before March 21, 2028. Notwithstanding any SIC filing, TWC will continue to file its annual adjustments for the Water Pass-through Charges (“WPC”) for Canyon Lake, Deer Creek, Kendall West, Clear Water Estates, and Saddleridge customers. All water supply cost increases are recoverable when the next annual WPC adjustment for each system is filed.</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10, 2023, TWC filed an application with the PUCT to acquire the Elm Ridge water system that serves 21 residential customers. TWC has asked to acquire the Elm Ridge customers using TWC’s existing rates. On December 12, 2023, the Administrative Law Judge filed Order No. 11, which allowed TWC to proceed and the acquisition closed on January 26, 2024. On July 23, 2024, the PUCT filed the final approval which allowed TWC to charge its existing rates to customers of Elm Ridge.</w:t>
      </w:r>
    </w:p>
    <w:p>
      <w:pPr>
        <w:spacing w:after="0" w:line="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24, 2023, the PUCT approved TWC's application to acquire KT Water Development Ltd. (“KT Water Development”). KT Water Development provides service to approximately 570 residential water connections. On August 14, 2023, TWC closed on the acquisition. On March 7, 2024, the PUCT filed the final order which transferred the Certificate of Convenience and Necessity to TWC, approved the fair market value, and allowed TWC to charge its existing rates to the customers of KT Water Development.</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January 5, 2024, TWC filed an application with the PUCT to acquire the 3009 Water Company LLC water system that serves approximately 270 residential connections. TWC requested fair market value and to apply TWC’s existing rates to the customers being acquired. TWC received the PUCT’s approval to proceed with the transaction. The closing date has not been scheduled.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Maine Regulatory Affairs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rates approved in the Biddeford Saco division by the April 5, 2022 stipulated agreement, which authorized a rate increase of $6,313, or 72.5% went into effect on July 1, 2022. The Saco River Drinking Water Resource Center began supplying the water distribution system on June 16, 2022. As part of the stipulated agreement, MWC agreed to file a final phase of the rate case by April 1, 2023. The third filing was submitted on March 31, 2023. Step 3 of the planned multi-year rate filings for the Saco River Drinking Water Resource Center was filed in accordance with the Maine Public Utilities Commission (“MPUC”) order on March 31, 2023. The filing requested an increase in revenue requirement of $2,949, or 19.9%, and requested that the increase be implemented over two years with a 12% increase effective July 1, 2023 followed by a 9% increase effective July 1, 2024 with a slight decrease in year three to reach the overall 19.9% requested. On August 25, 2023, the MPUC issued an order granting a temporary rate increase of $1,495 or 10% while the case and the company’s full request were litigated. The company reached a settlement agreement with staff and the Office of the Public Advocate and filed a stipulated settlement agreement with the MPUC on December 22, 2023. The MPUC approved the stipulation in deliberations on January 5, 2024, with an increase in authorized annual revenue of $2,603, or 17.6%, effective January 1, 2024. The Biddeford Saco division’s increase in rates is based on an authorized return on equity of 9.5% along with a capital structure of 49% debt and 51% equity. This return on equity and capital structure will be used for any future Water Infrastructure Surcharge (“WISC”) calculations for all divisions until the MPUC has authorized or approved a different return on equity structure in a different proceeding.</w:t>
      </w:r>
    </w:p>
    <w:p>
      <w:pPr>
        <w:spacing w:after="0" w:line="7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June 30, 2023, MWC filed a WISC for the Camden-Rockland division. The requested surcharge is 2.34% or $158. The MPUC issued an order approving the surcharge on March 22, 2024.</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June 24, 2024, MWC filed a WISC in both the Freeport and Oakland divisions. The combined requested surcharge is 3.00% or $52. The MPUC issued an order approving the surcharges on August 1, 2024.</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September 30, 2024, MWC filed a WISC for the Millinocket division. The requested surcharge is 3.00% or $46. The MPUC is expected to issue a decision in the fourth quarter of 2024.</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October 25, 2024, MWC filed an application with MPUC to adjust customer rates in the Camden Rockland division. The proposal requested an increase in annual revenues of approximately $1,057, or 15.9%, over current authorized revenues. A decision is expected in the second quarter of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Regulatory Matters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2024, the U.S. Environmental Protection Agency issued final new national primary drinking water regulations for six polyfluroralkyl substances (“PFAS”). The regulations impose maximum contaminant levels and monitoring requirements for the nation’s water systems for six PFAS chemicals under the Safe Drinking Water Act. The final regulation requires water systems to comply with PFAS monitoring and reporting requirements by 2027, and to comply with the maximum contaminant levels by 2029. SJW Group estimates capital expenditures of approximately $230,000 for PFAS treatment based on finalized maximum contaminant levels. See discussion below under “Liquidity” for additional information on capital expenditures.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Operating Activities</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SJW Group generated cash flows from operations of approximately $154,100, compared to approximately $159,300 for the same period in 2023.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decreased by approximately $5,200. This decrease was the result of a combination of the following factors: (1) a decrease of $15,300 attributable to changes in regulatory assets and liabilities, including the effect of lower surcharge collections on balancing and memorandum accounts, (2) a decrease of $2,300 attributable to changes in payments for accounts payable and other current liabilities, offset by (3) general working capital and net income, adjusted for non-cash items and tax accruals, increased by $12,100, and (4) an increase attributable to accounts receivable and accrued unbilled utility revenue of $300.</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September 30, 2024, Water Utility Services’ write-offs for uncollectible accounts represented less than 1% of its total revenue, which decreased from 1% as of September 30, 2023. Management believes that the collection rate will continue to improve for its accounts receivables as service disconnections return to normal operations. On December 28, 2023, SJWC submitted the application through the State of California Water and Wastewater Arrearages Payment Program to relieve outstanding payment delinquencies for customer accounts greater than 60-days past due as of December 31, 2022. We received $9,130 in the second quarter of 2024 under the State of California Water and Wastewater Arrearages Payment Program.</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Investing Activities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SJW Group used cash flows from investing activities of approximately $232,700, compared to approximately $241,700 for the same period in 2023. This decrease was primarily driven by additions to utility plant, offset by proceeds of $40,700 for the completed sales of the Tennessee properties. SJW Group used approximately: (1) $252,300 of cash for company-funded utility capital expenditures and (2) $18,800 for developer-funded utility capital expenditures during the nine months ended September 30, 2024. For the same period in 2023, SJW Group used approximately: (1) $195,900 of cash for company-funded utility capital expenditures and (2) $24,200 for nonutility properties, real estate investments and other intangible asset, and (3) $13,600 for developer-funded utility capital expenditures.</w:t>
      </w:r>
    </w:p>
    <w:p>
      <w:pPr>
        <w:spacing w:after="0" w:line="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Water Utility Services’ estimated utility capital expenditures for 2024, exclusive of capital expenditures financed by customer contributions and advances, are anticipated to be approximately $332,000. As of September 30, 2024, approximately $252,300, or 76%, of the $332,000 has been invested.</w:t>
      </w:r>
    </w:p>
    <w:p>
      <w:pPr>
        <w:spacing w:after="0" w:line="54"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Water Utility Services’ capital expenditures are incurred in connection with normal upgrading and expansion of existing facilities and to comply with environmental regulations. Over the next five years, Water Utility Services expects to incur approximately $1,621,000 in capital expenditures, which includes replacement of pipes and mains, maintaining water systems, and installing PFAS treatment.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Financing Activities</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decreased by approximately $18,300 from the same period in the prior year, primarily as a result of (1) a decrease in net borrowings on our lines of credit of $48,000, (2) a decrease in net proceeds from our common stock equity offerings of $12,000, offset by (3) an increase in net borrowings and repayments on long-term debt of $40,300.</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Capital:</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Financing Agreements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SJW Group and its subsidiaries have unsecured line of credit agreements where borrowings are used to refinance existing debt, for working capital, and for general corporate purposes.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line of credit agreements as of September 30, 2024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54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Unused Portion</w:t>
            </w:r>
          </w:p>
        </w:tc>
      </w:tr>
      <w:tr>
        <w:trPr>
          <w:trHeight w:val="23"/>
        </w:trPr>
        <w:tc>
          <w:tcPr>
            <w:tcW w:w="44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Syndicated credit agreement: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 2029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SJW Group</w:t>
            </w:r>
          </w:p>
        </w:tc>
        <w:tc>
          <w:tcPr>
            <w:tcW w:w="2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SJWC</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CTWS</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TWC</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23"/>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syndicated credit agreement</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253,000</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540" w:type="dxa"/>
            <w:vAlign w:val="bottom"/>
            <w:gridSpan w:val="3"/>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August 2, 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5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May 15,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40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August 2024, SJW Group, SJWC, TWC, and CTWS entered into an amendment to its credit agreement with JPMorgan Chase Bank and a syndicate of banks, which provided, among other matters, for an extension of the maturity date from August 2, 2028 to August 2, 2029.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2024, cost of borrowing on the lines of credit averaged 6.53% compared to 6.16% in the same period in 2023.</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September 30, 2024, SJW Group and its subsidiaries were in compliance with all covenants on their lines of credit.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Long-term Financing Agreements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15, 2023, CWC entered into a note purchase agreement with certain institutional investors, pursuant to which the company sold an aggregate principal amount of $25,000 of its 6.46% Senior Notes, Series 2023 (“Series 2023 Notes”). The Series 2023 Notes are unsecured obligations of CWC and are due on January 1, 2054. Interest is payable semi-annually in arrears on January 15th and July 15th of each year. The closing of the notes purchase agreement occurred on January 22, 2024.</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31, 2024, SJWC entered into and closed a note purchase agreement with certain institutional investors, pursuant to which the company sold an aggregate principal amount of $75,000 of its 5.63% Senior Notes, Series Q (“Series Q Notes”). The Series Q Notes are unsecured obligations of SJWC and are due on July 31, 2054. Interest is payable semi-annually in arrears on January 31st and July 31st of each year. The Series Q Notes are also subject to customary events of default.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31, 2024, CWC entered into a note purchase agreement with certain institutional investors, pursuant to which the company sold $50,000 of its</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5.78% Senior Notes, Series 2024 (“Series 2024 Notes”). The Series 2024 Notes are unsecured obligations of CWC and are due on July 31, 2054. Interest is payable semi-annually in arrears on January 31st and July 31st of each year. The closing of the notes purchase agreement occurred in August 2024.</w:t>
      </w:r>
    </w:p>
    <w:p>
      <w:pPr>
        <w:spacing w:after="0" w:line="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September 30, 2024, SJW Group and its subsidiaries were in compliance with all covenants in their long-term debt agreements.</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balance of 2024, SJW Group subsidiaries plan to raise approximately $35,000 in long-term debt to pay down the line of credit agreements, subject to market conditions.</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Equity Financing Arrangements</w:t>
      </w:r>
    </w:p>
    <w:p>
      <w:pPr>
        <w:spacing w:after="0" w:line="1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March, 2023, SJW Group entered into Amendment No. 1 to the equity distribution agreement (the “Equity Distribution Agreement”), dated November 17, 2021, between SJW Group and J.P. Morgan Securities LLC, Janney Montgomery Scott LLC, RBC Capital Markets, LLC and Wells Fargo Securities, LLC, pursuant to which the company may offer and sell shares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t>its common stock, $0.001 par value per share, from time to time in “at-the-market” offerings, having an aggregate gross sales price of up to $240,000. For the three and nine months ended September 30, 2024, SJW Group issued and sold a total of 535,345 and 1,119,975 shares of common stock, respectively, with a weighted average price of $59.17 and $57.70 per share, respectively, and received $31,007 and $63,309 in net proceeds, respectively, under the Equity Distribution Agreement. Since the inception of the Equity Distribution Agreement, SJW Group has issued and sold 3,124,632 shares of common stock at a weighted average price of $67.88 for a total net proceeds of $207,307 and has $27,889 of aggregate gross sales price of shares remaining to issue under the Equity Distribution Agreement as of September 30, 2024. The Equity Distribution Agreement is set to expire on November 17, 2024. Prior to this date, SJW Group intends to enter into a new equity distribution agreement to establish a new “at-the-market” offering program.</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Credit Rating</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2024 and 2023 activities, we will have access to the external funding sources necessary to implement our ongoing capital investment programs in the future. SJW Group, CTWS and CWC were put on negative watch on September 19, 2023. Standard &amp; Poor’s noted the change in outlook is due to recent regulatory and legislative developments in Connecticut that are not consistent with Standard &amp; Poor’s view of the regulatory framework for investor owned utilities.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are the current Standard &amp; Poor’s Rating Service assigned company ratings: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gridSpan w:val="2"/>
          </w:tcPr>
          <w:p>
            <w:pPr>
              <w:ind w:left="38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8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 Group</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CWC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 Group’s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w:t>
      </w:r>
    </w:p>
    <w:p>
      <w:pPr>
        <w:spacing w:after="0" w:line="35"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SJW Group has no derivative financial instruments, financial instruments with significant off-balance sheet risks, or financial instruments with concentrations of credit risk.</w:t>
      </w:r>
    </w:p>
    <w:p>
      <w:pPr>
        <w:spacing w:after="0" w:line="29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during the third fiscal quarter of 2024 that has materially affected, or is reasonably likely to materially affect, the internal controls over financial reporting of SJW Group.</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SJW Group is subject to ordinary routine litigation incidental to its business. In October 2023, CWC, a subsidiary of SJW Group, was named as a defendant in a class action lawsuit alleging that the water provided by CWC contained contaminants. CWC intends to vigorously defend itself in this lawsuit. At this time, SJW Group is unable to provide a reasonable estimate of any loss.</w:t>
      </w:r>
    </w:p>
    <w:p>
      <w:pPr>
        <w:spacing w:after="0" w:line="3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“Risk Factors” in SJW Group’s annual report on Form 10-K for the year ended December 31, 2023 and our other public filings, which could materially affect our business, financial condition or future results. There have been no material changes from risk factors previously disclosed in “Risk Factors” in SJW Group’s annual report on Form 10-K for the year ended December 31, 2023.</w:t>
      </w:r>
    </w:p>
    <w:p>
      <w:pPr>
        <w:spacing w:after="0" w:line="311" w:lineRule="exact"/>
        <w:rPr>
          <w:sz w:val="20"/>
          <w:szCs w:val="20"/>
          <w:color w:val="auto"/>
        </w:rPr>
      </w:pPr>
    </w:p>
    <w:p>
      <w:pPr>
        <w:ind w:right="39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2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Quarterly Dividend</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25, 2024, the Board of Directors of SJW Group declared the regular quarterly dividend of $0.40 per share of common stock. The dividend will be paid on December 2, 2024, to stockholders of record as of the close of business on November 4, 2024.</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Insider Trading Arrangements: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quarter ended September 30, 2024,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Web Sites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SJW Group posts information about the operating and financial performance of SJW Group and its subsidiaries on its web sites at www.sjwgroup.com, www.sjwater.com, www.ctwater.com, www.txwaterco.com, and www.mainewater.com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9760" w:type="dxa"/>
            <w:vAlign w:val="bottom"/>
            <w:gridSpan w:val="12"/>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5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6900" w:type="dxa"/>
            <w:vAlign w:val="bottom"/>
            <w:gridSpan w:val="11"/>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690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760" w:type="dxa"/>
            <w:vAlign w:val="bottom"/>
            <w:tcBorders>
              <w:top w:val="single" w:sz="8" w:color="auto"/>
            </w:tcBorders>
            <w:gridSpan w:val="12"/>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Second Amendment to Credit Agreement, dated August 2, 2024, between SJW Group, San Jose Water Company, SJWTX, Inc.,</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Connecticut Water Service, Inc., JPMorgan Chase Bank, N.A., as administrative agent and a lender, and the other lenders party</w:t>
              </w:r>
            </w:hyperlink>
          </w:p>
        </w:tc>
        <w:tc>
          <w:tcPr>
            <w:tcW w:w="580" w:type="dxa"/>
            <w:vAlign w:val="bottom"/>
            <w:gridSpan w:val="5"/>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thereto.</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Incorporated by reference to Exhibit 10.1 to Form 8-K filed on August 2, 2024.</w:t>
              </w:r>
            </w:hyperlink>
          </w:p>
        </w:tc>
        <w:tc>
          <w:tcPr>
            <w:tcW w:w="400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Amended and Restated Director Compensation and Expense Reimbursement Policies. </w:t>
            </w:r>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Amended and Restated Formulaic Equity Award Program For Non-Employee Board Members. </w:t>
            </w:r>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Certification Pursuant to Rule 13a-14(a)/15d-14(a) by Chairman, President and Chief Executive Officer. </w:t>
            </w:r>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Certification Pursuant to Rule 13a-14(a)/15d-14(a) by Chief Financial Officer, Treasurer and Interim Principal Accounting Officer. </w:t>
            </w:r>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5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Chairman, President and Chief Executive Officer, as adopted pursuant to Section</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906 of the Sarbanes-Oxley Act of 2002. </w:t>
            </w:r>
            <w:r>
              <w:rPr>
                <w:rFonts w:ascii="Times New Roman" w:cs="Times New Roman" w:eastAsia="Times New Roman" w:hAnsi="Times New Roman"/>
                <w:sz w:val="18"/>
                <w:szCs w:val="18"/>
                <w:color w:val="000000"/>
              </w:rPr>
              <w:t>(1)</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Chief Financial Officer, Treasurer and Interim Principal Accounting Officer as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adopted pursuant to Section 906 of the Sarbanes-Oxley Act of 2002. </w:t>
            </w:r>
            <w:r>
              <w:rPr>
                <w:rFonts w:ascii="Times New Roman" w:cs="Times New Roman" w:eastAsia="Times New Roman" w:hAnsi="Times New Roman"/>
                <w:sz w:val="18"/>
                <w:szCs w:val="18"/>
                <w:color w:val="000000"/>
              </w:rPr>
              <w:t>(1)</w:t>
            </w:r>
          </w:p>
        </w:tc>
        <w:tc>
          <w:tcPr>
            <w:tcW w:w="3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60" w:hanging="1234"/>
        <w:spacing w:after="0"/>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currently herewith.</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87" w:right="55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SJW GROUP</w:t>
      </w:r>
    </w:p>
    <w:p>
      <w:pPr>
        <w:spacing w:after="0" w:line="293" w:lineRule="exact"/>
        <w:rPr>
          <w:sz w:val="20"/>
          <w:szCs w:val="20"/>
          <w:color w:val="auto"/>
        </w:rPr>
      </w:pPr>
    </w:p>
    <w:p>
      <w:pPr>
        <w:ind w:left="360"/>
        <w:spacing w:after="0"/>
        <w:tabs>
          <w:tab w:leader="none" w:pos="5700" w:val="left"/>
          <w:tab w:leader="none" w:pos="6360" w:val="left"/>
        </w:tabs>
        <w:rPr>
          <w:sz w:val="20"/>
          <w:szCs w:val="20"/>
          <w:color w:val="auto"/>
        </w:rPr>
      </w:pPr>
      <w:r>
        <w:rPr>
          <w:rFonts w:ascii="Times New Roman" w:cs="Times New Roman" w:eastAsia="Times New Roman" w:hAnsi="Times New Roman"/>
          <w:sz w:val="18"/>
          <w:szCs w:val="18"/>
          <w:b w:val="1"/>
          <w:bCs w:val="1"/>
          <w:color w:val="auto"/>
        </w:rPr>
        <w:t>Date: October 28, 2024</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19685</wp:posOffset>
            </wp:positionV>
            <wp:extent cx="3077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Andrew F. Walters</w:t>
      </w:r>
    </w:p>
    <w:p>
      <w:pPr>
        <w:spacing w:after="0" w:line="1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Chief Financial Officer, Treasurer and Interim Principal</w:t>
      </w:r>
    </w:p>
    <w:p>
      <w:pPr>
        <w:ind w:left="638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1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887"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5"/>
          <w:szCs w:val="25"/>
          <w:b w:val="1"/>
          <w:bCs w:val="1"/>
          <w:u w:val="single" w:color="auto"/>
          <w:color w:val="auto"/>
        </w:rPr>
        <w:t>SJW GROUP</w:t>
      </w:r>
    </w:p>
    <w:p>
      <w:pPr>
        <w:spacing w:after="0" w:line="250" w:lineRule="exact"/>
        <w:rPr>
          <w:sz w:val="20"/>
          <w:szCs w:val="20"/>
          <w:color w:val="auto"/>
        </w:rPr>
      </w:pPr>
    </w:p>
    <w:p>
      <w:pPr>
        <w:jc w:val="right"/>
        <w:ind w:left="4860"/>
        <w:spacing w:after="0" w:line="262" w:lineRule="auto"/>
        <w:rPr>
          <w:sz w:val="20"/>
          <w:szCs w:val="20"/>
          <w:color w:val="auto"/>
        </w:rPr>
      </w:pPr>
      <w:r>
        <w:rPr>
          <w:rFonts w:ascii="Times New Roman" w:cs="Times New Roman" w:eastAsia="Times New Roman" w:hAnsi="Times New Roman"/>
          <w:sz w:val="22"/>
          <w:szCs w:val="22"/>
          <w:b w:val="1"/>
          <w:bCs w:val="1"/>
          <w:color w:val="auto"/>
        </w:rPr>
        <w:t>AMENDED AND RESTATED DIRECTOR COMPENSATION AND EXPENSE REIMBURSEMENT POLICIES</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Effective as of January 1,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22"/>
          <w:szCs w:val="22"/>
          <w:b w:val="1"/>
          <w:bCs w:val="1"/>
          <w:u w:val="single" w:color="auto"/>
          <w:color w:val="auto"/>
        </w:rPr>
        <w:t>DIRECTOR COMPENSATION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 ROLE OF THE EXECUTIVE COMPENSATION COMMITTEE</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SJW Group (the “Corporation”) Board of Directors (the “Board”), through its Executive Compensation Committee, will review, or request management or outside consultants to review, appropriate compensation policies for the directors serving on the Board and its committees. This review may consider board compensation practices of other similar public companies, contributions to Board functions, service as committee chairs, and other appropriate factors.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B. COMPENSATION POLICIES</w:t>
      </w:r>
    </w:p>
    <w:p>
      <w:pPr>
        <w:spacing w:after="0" w:line="237" w:lineRule="exact"/>
        <w:rPr>
          <w:sz w:val="20"/>
          <w:szCs w:val="20"/>
          <w:color w:val="auto"/>
        </w:rPr>
      </w:pPr>
    </w:p>
    <w:p>
      <w:pPr>
        <w:ind w:left="720" w:hanging="226"/>
        <w:spacing w:after="0"/>
        <w:tabs>
          <w:tab w:leader="none" w:pos="7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w:t>
      </w:r>
    </w:p>
    <w:p>
      <w:pPr>
        <w:spacing w:after="0" w:line="23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The Corporation shall pay the members of its Board who are not employed by the Corporation or any of its subsidiaries (each a “Non-Employee Director”) the following annual retainers:</w:t>
      </w:r>
    </w:p>
    <w:p>
      <w:pPr>
        <w:spacing w:after="0" w:line="220" w:lineRule="exact"/>
        <w:rPr>
          <w:sz w:val="20"/>
          <w:szCs w:val="20"/>
          <w:color w:val="auto"/>
        </w:rPr>
      </w:pPr>
    </w:p>
    <w:tbl>
      <w:tblPr>
        <w:tblLayout w:type="fixed"/>
        <w:tblInd w:w="1310" w:type="dxa"/>
        <w:tblCellMar>
          <w:top w:w="0" w:type="dxa"/>
          <w:left w:w="0" w:type="dxa"/>
          <w:bottom w:w="0" w:type="dxa"/>
          <w:right w:w="0" w:type="dxa"/>
        </w:tblCellMar>
      </w:tblPr>
      <w:tr>
        <w:trPr>
          <w:trHeight w:val="305"/>
        </w:trPr>
        <w:tc>
          <w:tcPr>
            <w:tcW w:w="234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b w:val="1"/>
                <w:bCs w:val="1"/>
                <w:color w:val="auto"/>
              </w:rPr>
              <w:t>Board/Committee</w:t>
            </w:r>
          </w:p>
        </w:tc>
        <w:tc>
          <w:tcPr>
            <w:tcW w:w="236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22"/>
                <w:szCs w:val="22"/>
                <w:b w:val="1"/>
                <w:bCs w:val="1"/>
                <w:color w:val="auto"/>
              </w:rPr>
              <w:t>Role</w:t>
            </w:r>
          </w:p>
        </w:tc>
        <w:tc>
          <w:tcPr>
            <w:tcW w:w="220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Annual Retainer</w:t>
            </w:r>
          </w:p>
        </w:tc>
        <w:tc>
          <w:tcPr>
            <w:tcW w:w="0" w:type="dxa"/>
            <w:vAlign w:val="bottom"/>
          </w:tcPr>
          <w:p>
            <w:pPr>
              <w:spacing w:after="0"/>
              <w:rPr>
                <w:sz w:val="1"/>
                <w:szCs w:val="1"/>
                <w:color w:val="auto"/>
              </w:rPr>
            </w:pPr>
          </w:p>
        </w:tc>
      </w:tr>
      <w:tr>
        <w:trPr>
          <w:trHeight w:val="289"/>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Board</w:t>
            </w: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Chair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$115,000</w:t>
            </w: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Lead Director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$115,000</w:t>
            </w: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Member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$90,000</w:t>
            </w:r>
          </w:p>
        </w:tc>
        <w:tc>
          <w:tcPr>
            <w:tcW w:w="0" w:type="dxa"/>
            <w:vAlign w:val="bottom"/>
          </w:tcPr>
          <w:p>
            <w:pPr>
              <w:spacing w:after="0"/>
              <w:rPr>
                <w:sz w:val="1"/>
                <w:szCs w:val="1"/>
                <w:color w:val="auto"/>
              </w:rPr>
            </w:pPr>
          </w:p>
        </w:tc>
      </w:tr>
      <w:tr>
        <w:trPr>
          <w:trHeight w:val="291"/>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Audit</w:t>
            </w: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Chair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$25,000</w:t>
            </w:r>
          </w:p>
        </w:tc>
        <w:tc>
          <w:tcPr>
            <w:tcW w:w="0" w:type="dxa"/>
            <w:vAlign w:val="bottom"/>
          </w:tcPr>
          <w:p>
            <w:pPr>
              <w:spacing w:after="0"/>
              <w:rPr>
                <w:sz w:val="1"/>
                <w:szCs w:val="1"/>
                <w:color w:val="auto"/>
              </w:rPr>
            </w:pPr>
          </w:p>
        </w:tc>
      </w:tr>
      <w:tr>
        <w:trPr>
          <w:trHeight w:val="291"/>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Member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$10,000</w:t>
            </w: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Compensation</w:t>
            </w: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Chair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$20,000</w:t>
            </w: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Member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$7,500</w:t>
            </w: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Finance</w:t>
            </w: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Chair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$15,000</w:t>
            </w: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Member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$5,000</w:t>
            </w:r>
          </w:p>
        </w:tc>
        <w:tc>
          <w:tcPr>
            <w:tcW w:w="0" w:type="dxa"/>
            <w:vAlign w:val="bottom"/>
          </w:tcPr>
          <w:p>
            <w:pPr>
              <w:spacing w:after="0"/>
              <w:rPr>
                <w:sz w:val="1"/>
                <w:szCs w:val="1"/>
                <w:color w:val="auto"/>
              </w:rPr>
            </w:pPr>
          </w:p>
        </w:tc>
      </w:tr>
      <w:tr>
        <w:trPr>
          <w:trHeight w:val="243"/>
        </w:trPr>
        <w:tc>
          <w:tcPr>
            <w:tcW w:w="234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Nominating &amp;</w:t>
            </w:r>
          </w:p>
        </w:tc>
        <w:tc>
          <w:tcPr>
            <w:tcW w:w="23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Chair</w:t>
            </w:r>
          </w:p>
        </w:tc>
        <w:tc>
          <w:tcPr>
            <w:tcW w:w="220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0" w:type="dxa"/>
            <w:vAlign w:val="bottom"/>
          </w:tcPr>
          <w:p>
            <w:pPr>
              <w:spacing w:after="0"/>
              <w:rPr>
                <w:sz w:val="1"/>
                <w:szCs w:val="1"/>
                <w:color w:val="auto"/>
              </w:rPr>
            </w:pPr>
          </w:p>
        </w:tc>
      </w:tr>
      <w:tr>
        <w:trPr>
          <w:trHeight w:val="54"/>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Governance</w:t>
            </w:r>
          </w:p>
        </w:tc>
        <w:tc>
          <w:tcPr>
            <w:tcW w:w="236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34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Member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$5,000</w:t>
            </w: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Sustainability</w:t>
            </w: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Chair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$15,000</w:t>
            </w: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Member</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35" w:name="page36"/>
    <w:bookmarkEnd w:id="35"/>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No additional retainer shall be paid to a Non-Employee Director for serving on the board of directors of a subsidiary (“Subsidiary Board”) of the Corporation, except that the special independent director who will serve on the board of SJWNE LLC (and will not be serving on the Corporation’s Board) will receive an aggregate annual retainer of $57,500 for serving on such board and any other Subsidiary Boards.</w:t>
      </w:r>
    </w:p>
    <w:p>
      <w:pPr>
        <w:spacing w:after="0" w:line="207" w:lineRule="exact"/>
        <w:rPr>
          <w:sz w:val="20"/>
          <w:szCs w:val="20"/>
          <w:color w:val="auto"/>
        </w:rPr>
      </w:pPr>
    </w:p>
    <w:p>
      <w:pPr>
        <w:ind w:left="1520" w:hanging="216"/>
        <w:spacing w:after="0"/>
        <w:tabs>
          <w:tab w:leader="none" w:pos="15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Plan</w:t>
      </w:r>
    </w:p>
    <w:p>
      <w:pPr>
        <w:spacing w:after="0" w:line="23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Non-Employee Directors may be eligible to participate in the Corporation’s 2023 Long-Term Incentive Plan (“LTIP”), and as hereafter amended, and may also be eligible to participate in programs now or hereafter established thereunder, as more fully set forth in the LTIP and the programs established thereunder.</w:t>
      </w:r>
    </w:p>
    <w:p>
      <w:pPr>
        <w:spacing w:after="0" w:line="202"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 REIMBURSEMENT</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All reasonable expenses incurred by a Non-Employee Director in connection with his or her attendance at the Corporation’s Board meetings, Subsidiary Board meetings, Committee Meetings, or other meetings of the Corporation, which may include the expense of traveling first class for any travel within the United States, shall be reimbursed.</w:t>
      </w:r>
    </w:p>
    <w:p>
      <w:pPr>
        <w:sectPr>
          <w:pgSz w:w="11900" w:h="16838" w:orient="portrait"/>
          <w:cols w:equalWidth="0" w:num="1">
            <w:col w:w="11240"/>
          </w:cols>
          <w:pgMar w:left="320" w:top="140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22"/>
          <w:szCs w:val="22"/>
          <w:b w:val="1"/>
          <w:bCs w:val="1"/>
          <w:color w:val="auto"/>
        </w:rPr>
        <w:t>SJW GROUP</w:t>
      </w:r>
    </w:p>
    <w:p>
      <w:pPr>
        <w:spacing w:after="0" w:line="23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1"/>
          <w:szCs w:val="21"/>
          <w:b w:val="1"/>
          <w:bCs w:val="1"/>
          <w:color w:val="auto"/>
        </w:rPr>
        <w:t>AMENDED AND RESTATED FORMULAIC EQUITY AWARD PROGRAM FOR NON-</w:t>
      </w:r>
    </w:p>
    <w:p>
      <w:pPr>
        <w:spacing w:after="0" w:line="3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EMPLOYEE BOARD MEMBERS</w:t>
      </w:r>
    </w:p>
    <w:p>
      <w:pPr>
        <w:spacing w:after="0" w:line="205"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IMPLEMENTATION</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Amended and Restated Formulaic Equity Award Program for Non-Employee Board Members (the “Automatic Grant Program”) is implemented under the SJW Group (the “Corporation”) 2023 Long-Term Incentive Plan (the “Plan”) and shall become effective as of October 25, 2024.</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Unless indicated to the contrary, all capitalized terms in this Automatic Grant Program shall have the meanings assigned to them in the Appendix to the Plan.</w:t>
      </w:r>
    </w:p>
    <w:p>
      <w:pPr>
        <w:spacing w:after="0" w:line="181"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TERMS</w:t>
      </w:r>
    </w:p>
    <w:p>
      <w:pPr>
        <w:spacing w:after="0" w:line="237"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u w:val="single" w:color="auto"/>
          <w:color w:val="auto"/>
        </w:rPr>
        <w:t>Automatic Grants</w:t>
      </w:r>
      <w:r>
        <w:rPr>
          <w:rFonts w:ascii="Times New Roman" w:cs="Times New Roman" w:eastAsia="Times New Roman" w:hAnsi="Times New Roman"/>
          <w:sz w:val="21"/>
          <w:szCs w:val="21"/>
          <w:color w:val="auto"/>
        </w:rPr>
        <w:t>. The Awards to be made pursuant to the Automatic Grant Program shall be as follows:</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33" w:lineRule="auto"/>
        <w:tabs>
          <w:tab w:leader="none" w:pos="1944"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close of business on the date of each annual meeting of the Corporation’s shareholders, beginning with the 2023 Annual Meeting, each individual who is elected or re-elected to serve as a non-employee member of the Board of Directors of the Corporation (the “Board”) shall automatically be granted an Award in the form of restricted stock units covering that number of shares of Common Stock (rounded up to the next whole share) determined by dividing the Applicable Annual Amount (as defined below) by the Fair Market Value per share on such date. There shall be no limit on the number of such annual grants any one continuing non-employee Board member may receive over his or her period of Board service, and non-employee Board members who have previously been in the employ of the Corporation (or any Parent or Subsidiary) shall be eligible to receive one or more such annual grants over their period of continued Board service.</w:t>
      </w:r>
    </w:p>
    <w:p>
      <w:pPr>
        <w:spacing w:after="0" w:line="20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2"/>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individual who commences service as a non-employee Board member following the date of an annual meeting of the Corporation’s shareholders, but before the date that is two months prior to the next annual meeting of the Corporation’s shareholders (the “New Non-Employee Director”), shall automatically be granted an Award (the “New Non-Employee Director Award”) on the date of commencement of such service in the form of restricted stock units covering that number of shares of Common Stock (rounded up to the next whole share) determined by (i) dividing the Applicable Annual Amount by the Fair Market Value per share on the date of grant of the New Non-Employee Director Award, and (ii) multiplying the number obtained from clause (i) by a fraction, with the numerator being the number of months (with each partial month rounded up to a whole number) elapsed from the date the New Non-Employee Director commenced service to the estimated date of the next annual meeting of the Corporation’s shareholders, and the denominator being twelve (12). Each New Non-Employee Director shall be eligible for an Award pursuant to the terms of paragraph A.1 of this Section as of the next annual meeting following the date the New Non-Employee Director commences service as a non-employee Board member.</w:t>
      </w:r>
    </w:p>
    <w:p>
      <w:pPr>
        <w:sectPr>
          <w:pgSz w:w="11900" w:h="16838" w:orient="portrait"/>
          <w:cols w:equalWidth="0" w:num="1">
            <w:col w:w="11240"/>
          </w:cols>
          <w:pgMar w:left="320" w:top="126" w:right="339" w:bottom="1440" w:gutter="0" w:footer="0" w:header="0"/>
        </w:sectPr>
      </w:pPr>
    </w:p>
    <w:bookmarkStart w:id="37" w:name="page38"/>
    <w:bookmarkEnd w:id="37"/>
    <w:p>
      <w:pPr>
        <w:jc w:val="both"/>
        <w:ind w:left="-656" w:firstLine="1304"/>
        <w:spacing w:after="0" w:line="244" w:lineRule="auto"/>
        <w:tabs>
          <w:tab w:leader="none" w:pos="128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Annual Amount shall be One Hundred and Ten Thousand Dollars ($110,000.00) per non-employee Board member for the Awards to be made at each annual meeting of the Corporation’s shareholders, commencing with the 2025 Annual Meeting.</w:t>
      </w:r>
    </w:p>
    <w:p>
      <w:pPr>
        <w:spacing w:after="0" w:line="200" w:lineRule="exact"/>
        <w:rPr>
          <w:rFonts w:ascii="Times New Roman" w:cs="Times New Roman" w:eastAsia="Times New Roman" w:hAnsi="Times New Roman"/>
          <w:sz w:val="22"/>
          <w:szCs w:val="22"/>
          <w:color w:val="auto"/>
        </w:rPr>
      </w:pPr>
    </w:p>
    <w:p>
      <w:pPr>
        <w:ind w:left="-656" w:firstLine="1304"/>
        <w:spacing w:after="0" w:line="258" w:lineRule="auto"/>
        <w:tabs>
          <w:tab w:leader="none" w:pos="128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restricted unit awarded under the Automatic Grant Program shall entitle the non-employee Board member to one share of Common Stock on the applicable vesting date of that unit.</w:t>
      </w:r>
    </w:p>
    <w:p>
      <w:pPr>
        <w:spacing w:after="0" w:line="185"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Awards and Issuance of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56" w:firstLine="1304"/>
        <w:spacing w:after="0" w:line="244" w:lineRule="auto"/>
        <w:tabs>
          <w:tab w:leader="none" w:pos="128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restricted stock unit award granted under paragraph A.1. of this Section shall vest in full upon the non-employee Board member’s continuation in Board service through the day immediately preceding the date of the first annual shareholders meeting following the annual shareholders meeting at which that restricted stock unit award was made.</w:t>
      </w:r>
    </w:p>
    <w:p>
      <w:pPr>
        <w:spacing w:after="0" w:line="200" w:lineRule="exact"/>
        <w:rPr>
          <w:rFonts w:ascii="Times New Roman" w:cs="Times New Roman" w:eastAsia="Times New Roman" w:hAnsi="Times New Roman"/>
          <w:sz w:val="20"/>
          <w:szCs w:val="20"/>
          <w:color w:val="auto"/>
        </w:rPr>
      </w:pPr>
    </w:p>
    <w:p>
      <w:pPr>
        <w:jc w:val="both"/>
        <w:ind w:left="-656" w:firstLine="1304"/>
        <w:spacing w:after="0" w:line="244" w:lineRule="auto"/>
        <w:tabs>
          <w:tab w:leader="none" w:pos="128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restricted stock unit award granted under paragraph A.2. of this Section shall vest on the one-year anniversary of the date such award was granted, subject to the non-employee Board member’s continuation in Board service through such date.</w:t>
      </w:r>
    </w:p>
    <w:p>
      <w:pPr>
        <w:spacing w:after="0" w:line="200" w:lineRule="exact"/>
        <w:rPr>
          <w:rFonts w:ascii="Times New Roman" w:cs="Times New Roman" w:eastAsia="Times New Roman" w:hAnsi="Times New Roman"/>
          <w:sz w:val="20"/>
          <w:szCs w:val="20"/>
          <w:color w:val="auto"/>
        </w:rPr>
      </w:pPr>
    </w:p>
    <w:p>
      <w:pPr>
        <w:jc w:val="both"/>
        <w:ind w:left="-656" w:firstLine="1304"/>
        <w:spacing w:after="0" w:line="239" w:lineRule="auto"/>
        <w:tabs>
          <w:tab w:leader="none" w:pos="128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that the non-employee Board member (including any New Non-Employee Director) ceases Board service by reason of death or Permanent Disability prior to the vesting date set forth herein, then his or her restricted stock unit award outstanding under the Automatic Grant Program at the time of such cessation of Board service shall immediately vest in full at that time.</w:t>
      </w:r>
    </w:p>
    <w:p>
      <w:pPr>
        <w:spacing w:after="0" w:line="207" w:lineRule="exact"/>
        <w:rPr>
          <w:rFonts w:ascii="Times New Roman" w:cs="Times New Roman" w:eastAsia="Times New Roman" w:hAnsi="Times New Roman"/>
          <w:sz w:val="20"/>
          <w:szCs w:val="20"/>
          <w:color w:val="auto"/>
        </w:rPr>
      </w:pPr>
    </w:p>
    <w:p>
      <w:pPr>
        <w:jc w:val="both"/>
        <w:ind w:left="-656" w:firstLine="1304"/>
        <w:spacing w:after="0" w:line="238" w:lineRule="auto"/>
        <w:tabs>
          <w:tab w:leader="none" w:pos="128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Subject to Section IV hereof, the shares of Common Stock underlying each restricted stock unit award which vests in accordance with the foregoing vesting provisions shall be issued as soon as administratively practicable following the vesting date, but in no event more than fifteen (15) business days after such vesting date.</w:t>
      </w:r>
    </w:p>
    <w:p>
      <w:pPr>
        <w:spacing w:after="0" w:line="205" w:lineRule="exact"/>
        <w:rPr>
          <w:rFonts w:ascii="Times New Roman" w:cs="Times New Roman" w:eastAsia="Times New Roman" w:hAnsi="Times New Roman"/>
          <w:sz w:val="20"/>
          <w:szCs w:val="20"/>
          <w:color w:val="auto"/>
        </w:rPr>
      </w:pPr>
    </w:p>
    <w:p>
      <w:pPr>
        <w:jc w:val="both"/>
        <w:ind w:left="-656" w:firstLine="656"/>
        <w:spacing w:after="0" w:line="239" w:lineRule="auto"/>
        <w:tabs>
          <w:tab w:leader="none" w:pos="47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None of the restricted stock unit awards granted under the Automatic Grant Program shall include any dividend equivalent rights, and the holder of each restricted stock unit award under the Automatic Grant Program shall not have any shareholder rights with respect to the shares of Common Stock subject to that award until the award vests and the shares of Common Stock are issued to such holder.</w:t>
      </w:r>
    </w:p>
    <w:p>
      <w:pPr>
        <w:spacing w:after="0" w:line="207" w:lineRule="exact"/>
        <w:rPr>
          <w:rFonts w:ascii="Times New Roman" w:cs="Times New Roman" w:eastAsia="Times New Roman" w:hAnsi="Times New Roman"/>
          <w:sz w:val="22"/>
          <w:szCs w:val="22"/>
          <w:color w:val="auto"/>
        </w:rPr>
      </w:pPr>
    </w:p>
    <w:p>
      <w:pPr>
        <w:jc w:val="both"/>
        <w:ind w:left="-656" w:firstLine="656"/>
        <w:spacing w:after="0" w:line="233" w:lineRule="auto"/>
        <w:tabs>
          <w:tab w:leader="none" w:pos="5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of Issued Shares</w:t>
      </w:r>
      <w:r>
        <w:rPr>
          <w:rFonts w:ascii="Times New Roman" w:cs="Times New Roman" w:eastAsia="Times New Roman" w:hAnsi="Times New Roman"/>
          <w:sz w:val="22"/>
          <w:szCs w:val="22"/>
          <w:color w:val="auto"/>
        </w:rPr>
        <w:t>. Each non-employee Board member who participates in the Automatic Grant Program shall, with respect to each restricted stock unit award he or she receives under such program, retain beneficial ownership of at least fifty percent (50%) of the shares of Common Stock issued in connection with the vesting of that award until such time as such individual is in compliance with the equity ownership guidelines that the Corporation from time to time establishes for its non-employee Board members. In no event may the non-employee Board member sell or otherwise transfer beneficial ownership of more than fifty percent (50%) of the shares issued to him or her under the Automatic Grant Program unless he or she is at the time of such sale or transfer in full compliance with the equity ownership guidelines in effect at that time for the non-employee Board members.</w:t>
      </w:r>
    </w:p>
    <w:p>
      <w:pPr>
        <w:sectPr>
          <w:pgSz w:w="11900" w:h="16838" w:orient="portrait"/>
          <w:cols w:equalWidth="0" w:num="1">
            <w:col w:w="10584"/>
          </w:cols>
          <w:pgMar w:left="976" w:top="1408" w:right="339" w:bottom="1440" w:gutter="0" w:footer="0" w:header="0"/>
        </w:sectPr>
      </w:pPr>
    </w:p>
    <w:bookmarkStart w:id="38" w:name="page39"/>
    <w:bookmarkEnd w:id="38"/>
    <w:p>
      <w:pPr>
        <w:spacing w:after="0" w:line="208"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p>
    <w:p>
      <w:pPr>
        <w:spacing w:after="0" w:line="23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Should the non-employee Board member continue in Board service until the effective date of an actual Change in Control transaction, then the shares of Common Stock subject to any outstanding restricted stock unit award made to such Board member under the Automatic Grant Program shall, immediately prior to the effective date of that Change in Control transaction, vest in full and shall be issued to him or her as soon as administratively practicable thereafter, but in no event more than fifteen (15) business days after such effective date, or shall otherwise be converted into the right to receive the same consideration per share of Common Stock payable to the other stockholders in the Change in Control and distributed at the same time as such stockholder payments, but in no event later than the later of (i) the close of the calendar year in which such Change in Control is effected or (ii) the fifteenth (15th) day of the third (3rd) calendar month following the effective date of such Change in Control.</w:t>
      </w:r>
    </w:p>
    <w:p>
      <w:pPr>
        <w:spacing w:after="0" w:line="19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IV.</w:t>
        <w:tab/>
        <w:t>ELECTION TO DEFER ISSUANCES</w:t>
      </w:r>
    </w:p>
    <w:p>
      <w:pPr>
        <w:spacing w:after="0" w:line="237" w:lineRule="exact"/>
        <w:rPr>
          <w:sz w:val="20"/>
          <w:szCs w:val="20"/>
          <w:color w:val="auto"/>
        </w:rPr>
      </w:pPr>
    </w:p>
    <w:p>
      <w:pPr>
        <w:jc w:val="both"/>
        <w:ind w:firstLine="737"/>
        <w:spacing w:after="0" w:line="232" w:lineRule="auto"/>
        <w:tabs>
          <w:tab w:leader="none" w:pos="129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Board may, in its discretion and in accordance with the Plan, provide each non-employee Board member with the opportunity to defer the issuance of the Common Stock underlying restricted stock unit awards granted under this Automatic Grant Program, including any New Non-Employee Director Awards, that would otherwise be issued to the non-employee Board member in connection with the vesting of the restricted stock unit award pursuant to paragraph II.B.2 hereof until the earliest of: (i) the date on which the non-employee Board member incurs a separation from service within the meaning of Section 409A of the Code; (ii) the date specified by the non-employee Board member, in writing, in his or her Deferral Election (defined below); and (iii) the date of the closing of a transaction that results in a Change in Control. Any such deferral election (“Deferral Election”) shall be subject to such rules, conditions and procedures as shall be determined by the Board, in its sole discretion, which rules, conditions and procedures shall at all times comply with the requirements of Section 409A of the Code, unless otherwise specifically determined by the Board. If an individual elects to defer the delivery of the shares underlying restricted stock unit awards granted under this Program, settlement of the deferred restricted stock unit award shall be made in accordance with the terms of the Deferral Election.</w:t>
      </w:r>
    </w:p>
    <w:p>
      <w:pPr>
        <w:spacing w:after="0" w:line="210" w:lineRule="exact"/>
        <w:rPr>
          <w:rFonts w:ascii="Times New Roman" w:cs="Times New Roman" w:eastAsia="Times New Roman" w:hAnsi="Times New Roman"/>
          <w:sz w:val="22"/>
          <w:szCs w:val="22"/>
          <w:color w:val="auto"/>
        </w:rPr>
      </w:pPr>
    </w:p>
    <w:p>
      <w:pPr>
        <w:ind w:firstLine="737"/>
        <w:spacing w:after="0" w:line="258" w:lineRule="auto"/>
        <w:tabs>
          <w:tab w:leader="none" w:pos="119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Method</w:t>
      </w:r>
      <w:r>
        <w:rPr>
          <w:rFonts w:ascii="Times New Roman" w:cs="Times New Roman" w:eastAsia="Times New Roman" w:hAnsi="Times New Roman"/>
          <w:sz w:val="22"/>
          <w:szCs w:val="22"/>
          <w:color w:val="auto"/>
        </w:rPr>
        <w:t>. Each Deferral Election must be submitted to the Corporation in the form and manner specified by the Board. Deferral Elections must comply with the following timing requirements:</w:t>
      </w:r>
    </w:p>
    <w:p>
      <w:pPr>
        <w:spacing w:after="0" w:line="185"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Deferral Election</w:t>
      </w:r>
      <w:r>
        <w:rPr>
          <w:rFonts w:ascii="Times New Roman" w:cs="Times New Roman" w:eastAsia="Times New Roman" w:hAnsi="Times New Roman"/>
          <w:sz w:val="22"/>
          <w:szCs w:val="22"/>
          <w:color w:val="auto"/>
        </w:rPr>
        <w:t>. Each New Non-Employee Director may make a Deferral Election with respect to the New Non-Employee Director Award (the “Initial Deferral Election”). The Initial Deferral Election must be submitted to the Corporation on or before the date that the individual first becomes a New Non-Employee Director and the Initial Deferral Election shall become final and irrevocable as of such date.</w:t>
      </w:r>
    </w:p>
    <w:p>
      <w:pPr>
        <w:spacing w:after="0" w:line="206" w:lineRule="exact"/>
        <w:rPr>
          <w:rFonts w:ascii="Times New Roman" w:cs="Times New Roman" w:eastAsia="Times New Roman" w:hAnsi="Times New Roman"/>
          <w:sz w:val="22"/>
          <w:szCs w:val="22"/>
          <w:color w:val="auto"/>
        </w:rPr>
      </w:pPr>
    </w:p>
    <w:p>
      <w:pPr>
        <w:jc w:val="both"/>
        <w:ind w:right="20" w:firstLine="1304"/>
        <w:spacing w:after="0" w:line="261" w:lineRule="auto"/>
        <w:tabs>
          <w:tab w:leader="none" w:pos="1768"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Deferral Election</w:t>
      </w:r>
      <w:r>
        <w:rPr>
          <w:rFonts w:ascii="Times New Roman" w:cs="Times New Roman" w:eastAsia="Times New Roman" w:hAnsi="Times New Roman"/>
          <w:sz w:val="21"/>
          <w:szCs w:val="21"/>
          <w:color w:val="auto"/>
        </w:rPr>
        <w:t>. No later than December 31 of each calendar year, or such earlier deadline as may be established by the Board, in its discretion (the “Annual Election Deadline”), each individual who is a non-employee Board member as of immediately before the Annual Election Deadline may make a Deferral Election with respect to the restricted</w:t>
      </w:r>
    </w:p>
    <w:p>
      <w:pPr>
        <w:sectPr>
          <w:pgSz w:w="11900" w:h="16838" w:orient="portrait"/>
          <w:cols w:equalWidth="0" w:num="1">
            <w:col w:w="11240"/>
          </w:cols>
          <w:pgMar w:left="320" w:top="1440" w:right="339" w:bottom="1440" w:gutter="0" w:footer="0" w:header="0"/>
        </w:sectPr>
      </w:pPr>
    </w:p>
    <w:bookmarkStart w:id="39" w:name="page40"/>
    <w:bookmarkEnd w:id="39"/>
    <w:p>
      <w:pPr>
        <w:jc w:val="both"/>
        <w:spacing w:after="0" w:line="244" w:lineRule="auto"/>
        <w:rPr>
          <w:sz w:val="20"/>
          <w:szCs w:val="20"/>
          <w:color w:val="auto"/>
        </w:rPr>
      </w:pPr>
      <w:r>
        <w:rPr>
          <w:rFonts w:ascii="Times New Roman" w:cs="Times New Roman" w:eastAsia="Times New Roman" w:hAnsi="Times New Roman"/>
          <w:sz w:val="22"/>
          <w:szCs w:val="22"/>
          <w:color w:val="auto"/>
        </w:rPr>
        <w:t>stock unit award to be granted in the following calendar year (the “Annual Deferral Election”). The Annual Deferral Election must be submitted to the Corporation on or before the applicable Annual Election Deadline and shall become final and irrevocable for the subsequent calendar year as of the applicable Annual Election Deadline.</w:t>
      </w:r>
    </w:p>
    <w:p>
      <w:pPr>
        <w:spacing w:after="0" w:line="200" w:lineRule="exact"/>
        <w:rPr>
          <w:sz w:val="20"/>
          <w:szCs w:val="20"/>
          <w:color w:val="auto"/>
        </w:rPr>
      </w:pPr>
    </w:p>
    <w:p>
      <w:pPr>
        <w:ind w:right="500" w:firstLine="8"/>
        <w:spacing w:after="0" w:line="244" w:lineRule="auto"/>
        <w:tabs>
          <w:tab w:leader="none" w:pos="46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is Unfunded</w:t>
      </w:r>
      <w:r>
        <w:rPr>
          <w:rFonts w:ascii="Times New Roman" w:cs="Times New Roman" w:eastAsia="Times New Roman" w:hAnsi="Times New Roman"/>
          <w:sz w:val="22"/>
          <w:szCs w:val="22"/>
          <w:color w:val="auto"/>
        </w:rPr>
        <w:t>. Each non-employee Board member who submits a Deferral Election shall be considered a general unsecured creditor of the Corporation with respect to any rights under a restricted stock unit award granted hereunder and understands that the Corporation has not formally funded such award.</w:t>
      </w:r>
    </w:p>
    <w:p>
      <w:pPr>
        <w:spacing w:after="0" w:line="186" w:lineRule="exact"/>
        <w:rPr>
          <w:rFonts w:ascii="Times New Roman" w:cs="Times New Roman" w:eastAsia="Times New Roman" w:hAnsi="Times New Roman"/>
          <w:sz w:val="22"/>
          <w:szCs w:val="22"/>
          <w:color w:val="auto"/>
        </w:rPr>
      </w:pPr>
    </w:p>
    <w:p>
      <w:pPr>
        <w:ind w:right="40" w:firstLine="8"/>
        <w:spacing w:after="0" w:line="233" w:lineRule="auto"/>
        <w:tabs>
          <w:tab w:leader="none" w:pos="4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Corporation assumes no responsibility for individual income taxes, penalties or interest related to grant, vesting or settlement of any restricted stock unit award. Neither the Corporation nor any of its affiliate makes any representation or undertaking regarding the treatment of any tax withholding in connection with the grant, vesting or settlement of any restricted stock unit award. By accepting a restricted stock unit award and submitting a Deferral Election, non-employee Board members understand that (1) amounts deferred pursuant to a Deferral Election will be taxable as ordinary income in the year paid and (2) the Corporation may be required to withhold federal, state and/or local taxes in connection with the vesting and/or settlement of restricted stock unit awards. Further, by accepting a restricted stock unit award and submitting a Deferral Election, non-employee Board members understand that, upon receipt of deferred payouts, taxes may be owed both (1) to the state where such individual resided at the time of making the Deferral Election and, if different, (2) to the state where such individual resided when he or she received a deferred payout. The Corporation does not guarantee in any way whatsoever the tax treatment of any deferrals or payments made under this Program or the Deferral Election form.</w:t>
      </w:r>
    </w:p>
    <w:p>
      <w:pPr>
        <w:spacing w:after="0" w:line="200"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Although the Corporation makes no guarantee with respect to the tax treatment of payments and</w:t>
      </w:r>
    </w:p>
    <w:p>
      <w:pPr>
        <w:spacing w:after="0" w:line="14" w:lineRule="exact"/>
        <w:rPr>
          <w:rFonts w:ascii="Times New Roman" w:cs="Times New Roman" w:eastAsia="Times New Roman" w:hAnsi="Times New Roman"/>
          <w:sz w:val="22"/>
          <w:szCs w:val="22"/>
          <w:color w:val="auto"/>
        </w:rPr>
      </w:pPr>
    </w:p>
    <w:p>
      <w:pPr>
        <w:ind w:right="20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benefits hereunder, it is the intent of this Program and the Deferral Election form to comply with the applicable requirements of Code Section 409A and shall be limited, construed, administered, and interpreted in accordance with such intent. Accordingly, the Corporation reserves the rights to amend the provisions of the Program and the Deferral Election form at any time to avoid the imposition of an excise tax under Code Section 409A on any payments to be made hereunder. In no event whatsoever shall the Corporation or any of its affiliates be liable for any additional tax, interest or penalties that may be imposed on a non-employee Board member by Code Section 409A or any damages for failing to comply with Code Section 409A, other than for withholding or other obligations applicable to employers, if any, under Code Section 409A.</w:t>
      </w:r>
    </w:p>
    <w:p>
      <w:pPr>
        <w:sectPr>
          <w:pgSz w:w="11900" w:h="16838" w:orient="portrait"/>
          <w:cols w:equalWidth="0" w:num="1">
            <w:col w:w="11240"/>
          </w:cols>
          <w:pgMar w:left="320" w:top="1408"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SJW Group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2024</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W. THORNBURG</w:t>
            </w:r>
          </w:p>
        </w:tc>
      </w:tr>
      <w:tr>
        <w:trPr>
          <w:trHeight w:val="218"/>
        </w:trPr>
        <w:tc>
          <w:tcPr>
            <w:tcW w:w="57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W. Thornburg</w:t>
            </w:r>
          </w:p>
        </w:tc>
      </w:tr>
      <w:tr>
        <w:trPr>
          <w:trHeight w:val="230"/>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r>
        <w:trPr>
          <w:trHeight w:val="234"/>
        </w:trPr>
        <w:tc>
          <w:tcPr>
            <w:tcW w:w="5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F. Walters,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SJW Group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2024</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F. WALTERS</w:t>
            </w:r>
          </w:p>
        </w:tc>
      </w:tr>
      <w:tr>
        <w:trPr>
          <w:trHeight w:val="218"/>
        </w:trPr>
        <w:tc>
          <w:tcPr>
            <w:tcW w:w="588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F. Walters</w:t>
            </w:r>
          </w:p>
        </w:tc>
      </w:tr>
      <w:tr>
        <w:trPr>
          <w:trHeight w:val="180"/>
        </w:trPr>
        <w:tc>
          <w:tcPr>
            <w:tcW w:w="5880" w:type="dxa"/>
            <w:vAlign w:val="bottom"/>
          </w:tcPr>
          <w:p>
            <w:pPr>
              <w:spacing w:after="0"/>
              <w:rPr>
                <w:sz w:val="15"/>
                <w:szCs w:val="15"/>
                <w:color w:val="auto"/>
              </w:rPr>
            </w:pPr>
          </w:p>
        </w:tc>
        <w:tc>
          <w:tcPr>
            <w:tcW w:w="5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Treasurer and Interim Principal Accounting</w:t>
            </w:r>
          </w:p>
        </w:tc>
      </w:tr>
      <w:tr>
        <w:trPr>
          <w:trHeight w:val="234"/>
        </w:trPr>
        <w:tc>
          <w:tcPr>
            <w:tcW w:w="58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238"/>
        </w:trPr>
        <w:tc>
          <w:tcPr>
            <w:tcW w:w="58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SJW Group (the “Company”) on Form 10-Q for the quarter ended September 30, 2024, as filed with the Securities and Exchange Commission on the date hereof (the “Report”), I, Eric W. Thornburg, President, Chief Executive Officer and Chairman of the Board of the Company, certify, pursuant to 18 U.S.C. Section 1350, as adopted pursuant to Section 906 of the Sarbanes-Oxley Act of 2002, that to my knowledge on the date hereof:</w:t>
      </w:r>
    </w:p>
    <w:p>
      <w:pPr>
        <w:spacing w:after="0" w:line="126"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Eric W. Thornburg</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28, 2024</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SJW Group (the “Company”) on Form 10-Q for the quarter ended September 30, 2024, as filed with the Securities and Exchange Commission on the date hereof (the “Report”), I, Andrew F. Walters, Chief Financial Officer, Treasurer and Interim Principal Accounting Officer of the Company, certify, pursuant to 18 U.S.C. Section 1350, as adopted pursuant to Section 906 of the Sarbanes-Oxley Act of 2002, that to my knowledge on the date hereof:</w:t>
      </w:r>
    </w:p>
    <w:p>
      <w:pPr>
        <w:spacing w:after="0" w:line="126"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F. Walters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Treasurer and Interim Principal Accounting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28, 2024</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1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lvl w:ilvl="1">
      <w:lvlJc w:val="left"/>
      <w:lvlText w:val="%2"/>
      <w:numFmt w:val="decimal"/>
      <w:start w:val="104"/>
    </w:lvl>
  </w:abstractNum>
  <w:abstractNum w:abstractNumId="9">
    <w:nsid w:val="25E45D32"/>
    <w:multiLevelType w:val="hybridMultilevel"/>
    <w:lvl w:ilvl="0">
      <w:lvlJc w:val="left"/>
      <w:lvlText w:val="(%1)"/>
      <w:numFmt w:val="decimal"/>
      <w:start w:val="1"/>
    </w:lvl>
    <w:lvl w:ilvl="1">
      <w:lvlJc w:val="left"/>
      <w:lvlText w:val="%2"/>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2"/>
    </w:lvl>
  </w:abstractNum>
  <w:abstractNum w:abstractNumId="12">
    <w:nsid w:val="3F2DBA31"/>
    <w:multiLevelType w:val="hybridMultilevel"/>
    <w:lvl w:ilvl="0">
      <w:lvlJc w:val="left"/>
      <w:lvlText w:val="%1."/>
      <w:numFmt w:val="upperLetter"/>
      <w:start w:val="35"/>
    </w:lvl>
  </w:abstractNum>
  <w:abstractNum w:abstractNumId="13">
    <w:nsid w:val="7C83E458"/>
    <w:multiLevelType w:val="hybridMultilevel"/>
    <w:lvl w:ilvl="0">
      <w:lvlJc w:val="left"/>
      <w:lvlText w:val="%1."/>
      <w:numFmt w:val="upperLetter"/>
      <w:start w:val="9"/>
    </w:lvl>
  </w:abstractNum>
  <w:abstractNum w:abstractNumId="14">
    <w:nsid w:val="257130A3"/>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5">
    <w:nsid w:val="62BBD95A"/>
    <w:multiLevelType w:val="hybridMultilevel"/>
    <w:lvl w:ilvl="0">
      <w:lvlJc w:val="left"/>
      <w:lvlText w:val="%1"/>
      <w:numFmt w:val="upperLetter"/>
      <w:start w:val="1"/>
    </w:lvl>
    <w:lvl w:ilvl="1">
      <w:lvlJc w:val="left"/>
      <w:lvlText w:val="%2."/>
      <w:numFmt w:val="decimal"/>
      <w:start w:val="3"/>
    </w:lvl>
  </w:abstractNum>
  <w:abstractNum w:abstractNumId="16">
    <w:nsid w:val="436C6125"/>
    <w:multiLevelType w:val="hybridMultilevel"/>
    <w:lvl w:ilvl="0">
      <w:lvlJc w:val="left"/>
      <w:lvlText w:val="%1."/>
      <w:numFmt w:val="upperLetter"/>
      <w:start w:val="2"/>
    </w:lvl>
    <w:lvl w:ilvl="1">
      <w:lvlJc w:val="left"/>
      <w:lvlText w:val="%2."/>
      <w:numFmt w:val="decimal"/>
      <w:start w:val="1"/>
    </w:lvl>
  </w:abstractNum>
  <w:abstractNum w:abstractNumId="17">
    <w:nsid w:val="628C895D"/>
    <w:multiLevelType w:val="hybridMultilevel"/>
    <w:lvl w:ilvl="0">
      <w:lvlJc w:val="left"/>
      <w:lvlText w:val="%1."/>
      <w:numFmt w:val="upperLetter"/>
      <w:start w:val="61"/>
    </w:lvl>
  </w:abstractNum>
  <w:abstractNum w:abstractNumId="18">
    <w:nsid w:val="333AB105"/>
    <w:multiLevelType w:val="hybridMultilevel"/>
    <w:lvl w:ilvl="0">
      <w:lvlJc w:val="left"/>
      <w:lvlText w:val="%1."/>
      <w:numFmt w:val="upperLetter"/>
      <w:start w:val="1"/>
    </w:lvl>
    <w:lvl w:ilvl="1">
      <w:lvlJc w:val="left"/>
      <w:lvlText w:val="%2."/>
      <w:numFmt w:val="decimal"/>
      <w:start w:val="1"/>
    </w:lvl>
  </w:abstractNum>
  <w:abstractNum w:abstractNumId="19">
    <w:nsid w:val="721DA317"/>
    <w:multiLevelType w:val="hybridMultilevel"/>
    <w:lvl w:ilvl="0">
      <w:lvlJc w:val="left"/>
      <w:lvlText w:val="%1."/>
      <w:numFmt w:val="upperLetter"/>
      <w:start w:val="3"/>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48" Type="http://schemas.openxmlformats.org/officeDocument/2006/relationships/hyperlink" Target="https://www.sec.gov/Archives/edgar/data/766829/000076682924000084/exhibit101second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2024-10-28T21:04:12Z</dcterms:created>
  <dcterms:modified xsi:type="dcterms:W3CDTF">2024-10-28T21:04:12Z</dcterms:modified>
</cp:coreProperties>
</file>