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 </w:t>
      </w:r>
    </w:p>
    <w:p>
      <w:pPr>
        <w:pStyle w:val="TextBody"/>
        <w:bidi w:val="0"/>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March 31, 2024 </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OR</w:t>
      </w:r>
    </w:p>
    <w:p>
      <w:pPr>
        <w:pStyle w:val="TextBody"/>
        <w:bidi w:val="0"/>
        <w:spacing w:lineRule="auto" w:line="288" w:before="80" w:after="283"/>
        <w:jc w:val="left"/>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For the transition period from              to</w:t>
      </w:r>
    </w:p>
    <w:p>
      <w:pPr>
        <w:pStyle w:val="TextBody"/>
        <w:bidi w:val="0"/>
        <w:spacing w:lineRule="auto" w:line="288" w:before="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Commission file number 001-8966 </w:t>
      </w:r>
    </w:p>
    <w:p>
      <w:pPr>
        <w:pStyle w:val="TextBody"/>
        <w:bidi w:val="0"/>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SJW GROUP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8750" w:type="dxa"/>
        <w:jc w:val="center"/>
        <w:tblInd w:w="0" w:type="dxa"/>
        <w:tblLayout w:type="fixed"/>
        <w:tblCellMar>
          <w:top w:w="28" w:type="dxa"/>
          <w:left w:w="28" w:type="dxa"/>
          <w:bottom w:w="28" w:type="dxa"/>
          <w:right w:w="28" w:type="dxa"/>
        </w:tblCellMar>
      </w:tblPr>
      <w:tblGrid>
        <w:gridCol w:w="774"/>
        <w:gridCol w:w="678"/>
        <w:gridCol w:w="678"/>
        <w:gridCol w:w="540"/>
        <w:gridCol w:w="540"/>
        <w:gridCol w:w="540"/>
        <w:gridCol w:w="540"/>
        <w:gridCol w:w="540"/>
        <w:gridCol w:w="564"/>
        <w:gridCol w:w="109"/>
        <w:gridCol w:w="109"/>
        <w:gridCol w:w="109"/>
        <w:gridCol w:w="884"/>
        <w:gridCol w:w="884"/>
        <w:gridCol w:w="1261"/>
      </w:tblGrid>
      <w:tr>
        <w:trPr/>
        <w:tc>
          <w:tcPr>
            <w:tcW w:w="7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5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77-0066628</w:t>
            </w:r>
          </w:p>
        </w:tc>
      </w:tr>
      <w:tr>
        <w:trPr/>
        <w:tc>
          <w:tcPr>
            <w:tcW w:w="5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110 West Taylor Street,</w:t>
            </w:r>
          </w:p>
        </w:tc>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San Jose,</w:t>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95110</w:t>
            </w:r>
          </w:p>
        </w:tc>
      </w:tr>
      <w:tr>
        <w:trPr/>
        <w:tc>
          <w:tcPr>
            <w:tcW w:w="53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(408) 279-7800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Securities registered pursuant to Section 12(b) of the Act:</w:t>
      </w:r>
    </w:p>
    <w:tbl>
      <w:tblPr>
        <w:tblW w:w="9773" w:type="dxa"/>
        <w:jc w:val="center"/>
        <w:tblInd w:w="0" w:type="dxa"/>
        <w:tblLayout w:type="fixed"/>
        <w:tblCellMar>
          <w:top w:w="28" w:type="dxa"/>
          <w:left w:w="28" w:type="dxa"/>
          <w:bottom w:w="28" w:type="dxa"/>
          <w:right w:w="28" w:type="dxa"/>
        </w:tblCellMar>
      </w:tblPr>
      <w:tblGrid>
        <w:gridCol w:w="1301"/>
        <w:gridCol w:w="1143"/>
        <w:gridCol w:w="1156"/>
        <w:gridCol w:w="109"/>
        <w:gridCol w:w="109"/>
        <w:gridCol w:w="109"/>
        <w:gridCol w:w="564"/>
        <w:gridCol w:w="564"/>
        <w:gridCol w:w="566"/>
        <w:gridCol w:w="109"/>
        <w:gridCol w:w="109"/>
        <w:gridCol w:w="109"/>
        <w:gridCol w:w="1118"/>
        <w:gridCol w:w="1118"/>
        <w:gridCol w:w="1589"/>
      </w:tblGrid>
      <w:tr>
        <w:trPr/>
        <w:tc>
          <w:tcPr>
            <w:tcW w:w="130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Name of each exchange on which registered</w:t>
            </w:r>
          </w:p>
        </w:tc>
      </w:tr>
      <w:tr>
        <w:trPr/>
        <w:tc>
          <w:tcPr>
            <w:tcW w:w="36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SJW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 LLC</w:t>
            </w:r>
          </w:p>
        </w:tc>
      </w:tr>
    </w:tbl>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w:t>
      </w:r>
      <w:r>
        <w:rPr>
          <w:color w:val="333333"/>
        </w:rPr>
        <w:t xml:space="preserve">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w:t>
      </w:r>
      <w:r>
        <w:rPr>
          <w:color w:val="00000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bidi w:val="0"/>
        <w:spacing w:lineRule="auto" w:line="288" w:before="120" w:after="283"/>
        <w:jc w:val="left"/>
        <w:rPr/>
      </w:pPr>
      <w:r>
        <w:rPr>
          <w:color w:val="000000"/>
        </w:rPr>
        <w:t>        </w:t>
      </w:r>
      <w:r>
        <w:rPr>
          <w:rFonts w:ascii="Times New Roman;sans-serif" w:hAnsi="Times New Roman;sans-serif"/>
          <w:b w:val="false"/>
          <w:color w:val="000000"/>
          <w:sz w:val="20"/>
        </w:rPr>
        <w:t>Large accelerated filer  </w:t>
      </w:r>
      <w:r>
        <w:rPr>
          <w:color w:val="000000"/>
        </w:rPr>
        <w:t>☒                </w:t>
      </w:r>
      <w:r>
        <w:rPr>
          <w:rFonts w:ascii="Times New Roman;sans-serif" w:hAnsi="Times New Roman;sans-serif"/>
          <w:b w:val="false"/>
          <w:color w:val="000000"/>
          <w:sz w:val="20"/>
        </w:rPr>
        <w:t>Non-accelerated filer  </w:t>
      </w: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Accelerated filer  </w:t>
      </w:r>
      <w:r>
        <w:rPr>
          <w:color w:val="000000"/>
        </w:rPr>
        <w:t>☐                </w:t>
      </w:r>
      <w:r>
        <w:rPr>
          <w:rFonts w:ascii="Times New Roman;sans-serif" w:hAnsi="Times New Roman;sans-serif"/>
          <w:b w:val="false"/>
          <w:color w:val="000000"/>
          <w:sz w:val="20"/>
        </w:rPr>
        <w:t>Smaller reporting company  </w:t>
      </w:r>
      <w:r>
        <w:rPr>
          <w:color w:val="000000"/>
        </w:rPr>
        <w:t xml:space="preserve">☐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Emerging growth company  </w:t>
      </w:r>
      <w:r>
        <w:rPr>
          <w:color w:val="000000"/>
        </w:rPr>
        <w:t>☐</w:t>
      </w:r>
    </w:p>
    <w:p>
      <w:pPr>
        <w:pStyle w:val="TextBody"/>
        <w:bidi w:val="0"/>
        <w:spacing w:lineRule="auto" w:line="288" w:before="80" w:after="283"/>
        <w:jc w:val="left"/>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lineRule="auto" w:line="288" w:before="120" w:after="283"/>
        <w:jc w:val="left"/>
        <w:rPr/>
      </w:pPr>
      <w:r>
        <w:rPr>
          <w:rFonts w:ascii="Times New Roman;sans-serif" w:hAnsi="Times New Roman;sans-serif"/>
          <w:b w:val="false"/>
          <w:color w:val="000000"/>
          <w:sz w:val="20"/>
        </w:rPr>
        <w:t>Indicate by check mark whether the registrant is a shell company (as defined in Rule 12b-2 of the Exchange Act). Yes </w:t>
      </w:r>
      <w:r>
        <w:rPr>
          <w:color w:val="000000"/>
        </w:rPr>
        <w:t>☐   </w:t>
      </w:r>
      <w:r>
        <w:rPr>
          <w:rFonts w:ascii="Times New Roman;sans-serif" w:hAnsi="Times New Roman;sans-serif"/>
          <w:b w:val="false"/>
          <w:color w:val="000000"/>
          <w:sz w:val="20"/>
        </w:rPr>
        <w:t>No  </w:t>
      </w:r>
      <w:r>
        <w:rPr>
          <w:rFonts w:ascii="Wingdings;sans-serif" w:hAnsi="Wingdings;sans-serif"/>
          <w:b w:val="false"/>
          <w:color w:val="000000"/>
          <w:sz w:val="20"/>
        </w:rPr>
        <w:t>x</w:t>
      </w:r>
      <w:r>
        <w:rPr>
          <w:color w:val="000000"/>
        </w:rPr>
        <w:t xml:space="preserve">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APPLICABLE ONLY TO CORPORATE ISSUERS: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of April 22, 2024, there were 32,234,465 shares of the registrant’s Common Stock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before="160" w:after="283"/>
        <w:jc w:val="left"/>
        <w:rPr/>
      </w:pPr>
      <w:r>
        <w:rPr/>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Some of these forward-looking statements can be identified by the use of forward-looking words such as “believes,” “expects,” “may,” “will,” “should,” “seeks,” “approximately,” “intends,” “plans,” “estimates,” “projects,” “strategy,” or “anticipates,” or the negative of those words or other comparable terminology. These forward-looking statements are only predictions and are subject to risks, uncertainties and assumptions that are difficult to predict.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accuracy of such statements is subject to a number of risks, uncertainties and assumptions including, but not limited to, the following factors: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effect of water, utility, environmental and other governmental policies and regulations, including regulatory actions concerning rates, authorized return on equity, authorized capital structures, capital expenditures, per- and polyfluroralkyl substances (“PFAS”) and other decisions;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changes in demand for water and other services;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unanticipated weather conditions and changes in seasonality including those affecting water supply and customer usage;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effect of the impacts of climate change;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unexpected costs, charges or expenses;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our ability to successfully evaluate investments in new business and growth initiatives;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contamination of our water supplies and damage or failure of our water equipment and infrastructure;</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risk of work stoppages, strikes and other labor-related actions;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catastrophic events such as fires, earthquakes, explosions, floods, ice storms, tornadoes, hurricanes, terrorist acts, physical attacks, cyber-attacks, epidemic or other similar occurrences;</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changes in general economic, political, business and financial market conditions;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 xml:space="preserve">the ability to obtain financing on favorable terms, which can be affected by various factors, including credit ratings, changes in interest rates, compliance with regulatory requirements, compliance with the terms and conditions of our outstanding indebtedness and general market and economic conditions; and </w:t>
      </w:r>
    </w:p>
    <w:p>
      <w:pPr>
        <w:pStyle w:val="TextBody"/>
        <w:bidi w:val="0"/>
        <w:spacing w:lineRule="auto" w:line="288" w:before="160" w:after="283"/>
        <w:ind w:left="0" w:right="0" w:hanging="360"/>
        <w:jc w:val="left"/>
        <w:rPr/>
      </w:pPr>
      <w:r>
        <w:rPr>
          <w:color w:val="000000"/>
        </w:rPr>
        <w:t>•</w:t>
      </w:r>
      <w:r>
        <w:rPr>
          <w:rFonts w:ascii="Times New Roman;sans-serif" w:hAnsi="Times New Roman;sans-serif"/>
          <w:b w:val="false"/>
          <w:color w:val="000000"/>
          <w:sz w:val="20"/>
        </w:rPr>
        <w:t>legislative and general market and economic developments.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Results for a quarter are not indicative of results for a full year due to seasonality and other factors. In addition, actual results are subject to other risks and uncertainties that relate more broadly to our overall business, including those more fully described in our filings with the SEC, including our most recent reports on Form 10-K, Form 10-Q and Form 8-K. Forward-looking statements are not guarantees of performance, and speak only as of the date made, and we undertake no obligation to update or revise any forward-looking statements except as required by law.</w:t>
      </w:r>
    </w:p>
    <w:p>
      <w:pPr>
        <w:pStyle w:val="TextBody"/>
        <w:bidi w:val="0"/>
        <w:spacing w:before="160" w:after="283"/>
        <w:jc w:val="left"/>
        <w:rPr/>
      </w:pPr>
      <w:r>
        <w:rPr/>
      </w:r>
    </w:p>
    <w:p>
      <w:pPr>
        <w:pStyle w:val="TextBody"/>
        <w:bidi w:val="0"/>
        <w:spacing w:before="160" w:after="283"/>
        <w:jc w:val="left"/>
        <w:rPr/>
      </w:pPr>
      <w:r>
        <w:rPr/>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8023" w:type="dxa"/>
        <w:jc w:val="left"/>
        <w:tblInd w:w="0" w:type="dxa"/>
        <w:tblLayout w:type="fixed"/>
        <w:tblCellMar>
          <w:top w:w="28" w:type="dxa"/>
          <w:left w:w="28" w:type="dxa"/>
          <w:bottom w:w="28" w:type="dxa"/>
          <w:right w:w="28" w:type="dxa"/>
        </w:tblCellMar>
      </w:tblPr>
      <w:tblGrid>
        <w:gridCol w:w="1587"/>
        <w:gridCol w:w="1390"/>
        <w:gridCol w:w="1403"/>
        <w:gridCol w:w="276"/>
        <w:gridCol w:w="1081"/>
        <w:gridCol w:w="142"/>
        <w:gridCol w:w="142"/>
        <w:gridCol w:w="142"/>
        <w:gridCol w:w="142"/>
        <w:gridCol w:w="540"/>
        <w:gridCol w:w="541"/>
        <w:gridCol w:w="156"/>
        <w:gridCol w:w="109"/>
        <w:gridCol w:w="109"/>
        <w:gridCol w:w="109"/>
        <w:gridCol w:w="154"/>
      </w:tblGrid>
      <w:tr>
        <w:trPr/>
        <w:tc>
          <w:tcPr>
            <w:tcW w:w="1587"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revenue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149,382 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expense:</w:t>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Expenses:</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Groundwater extraction charges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production expenses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production expenses</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51,794 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 and other non-income taxes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operating expense</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income</w:t>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(expense) income:</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Pension non-service credit (cost)</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2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net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Income before income taxes</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13,930 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income</w:t>
            </w:r>
          </w:p>
        </w:tc>
        <w:tc>
          <w:tcPr>
            <w:tcW w:w="13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Comprehensive income</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11,257 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Earnings per share</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Dividends per share</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Weighted average shares outstanding</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32,076,720 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30,936,476 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32,144,579 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31,040,897 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48"/>
        <w:gridCol w:w="2267"/>
        <w:gridCol w:w="2262"/>
        <w:gridCol w:w="211"/>
        <w:gridCol w:w="976"/>
        <w:gridCol w:w="109"/>
        <w:gridCol w:w="109"/>
        <w:gridCol w:w="109"/>
        <w:gridCol w:w="109"/>
        <w:gridCol w:w="487"/>
        <w:gridCol w:w="489"/>
        <w:gridCol w:w="429"/>
      </w:tblGrid>
      <w:tr>
        <w:trPr/>
        <w:tc>
          <w:tcPr>
            <w:tcW w:w="2648"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7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Utility plant:</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41,415 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Depreciable plant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3,967,911 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work in progress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106,980 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35,946 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4,215,925 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4,152,252 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981,598 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utility plant</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3,208,847 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3,170,654 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Nonutility properties and real estate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nonutility properties and real estate investments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Current 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Customers, net of allowances for uncollectible accounts of $6,198 and $6,551 on March 31, 2024 and December 31,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3,684 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unbilled utility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49,543 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held for sale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11,110 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Current regulatory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6,146 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198,389 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less current portion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235,910 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16,411 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33,794 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28,386 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640,311 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8,056 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967,401 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962,868 </w:t>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4,345,067 </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620"/>
        <w:gridCol w:w="2280"/>
        <w:gridCol w:w="2291"/>
        <w:gridCol w:w="211"/>
        <w:gridCol w:w="976"/>
        <w:gridCol w:w="109"/>
        <w:gridCol w:w="109"/>
        <w:gridCol w:w="109"/>
        <w:gridCol w:w="109"/>
        <w:gridCol w:w="488"/>
        <w:gridCol w:w="488"/>
        <w:gridCol w:w="415"/>
      </w:tblGrid>
      <w:tr>
        <w:trPr/>
        <w:tc>
          <w:tcPr>
            <w:tcW w:w="2620"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7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Capitalization and liabilities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Capitalization:</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Common stock, $0.001 par value; authorized 70,000,000 shares; issued and outstanding share</w:t>
            </w:r>
            <w:r>
              <w:rPr>
                <w:rFonts w:ascii="Times New Roman;sans-serif" w:hAnsi="Times New Roman;sans-serif"/>
                <w:b w:val="false"/>
                <w:color w:val="000000"/>
                <w:sz w:val="20"/>
                <w:shd w:fill="FFFFFF" w:val="clear"/>
              </w:rPr>
              <w:t>s</w:t>
            </w:r>
            <w:r>
              <w:rPr>
                <w:color w:val="000000"/>
              </w:rPr>
              <w:t xml:space="preserve"> </w:t>
            </w:r>
            <w:r>
              <w:rPr>
                <w:rFonts w:ascii="Times New Roman;sans-serif" w:hAnsi="Times New Roman;sans-serif"/>
                <w:b w:val="false"/>
                <w:color w:val="000000"/>
                <w:sz w:val="20"/>
              </w:rPr>
              <w:t>32,201,216 on March 31, 2024 and 32,023,004 on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736,191 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495,383 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1,233,397 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1,526,699 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capitalization</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2,790,549 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2,760,096 </w:t>
            </w:r>
          </w:p>
        </w:tc>
        <w:tc>
          <w:tcPr>
            <w:tcW w:w="4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Lines of credit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171,500 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48,975 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groundwater extraction charges, purchased water and power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46,121 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payroll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12,229 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regulatory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20,795 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342,974 </w:t>
            </w:r>
          </w:p>
        </w:tc>
        <w:tc>
          <w:tcPr>
            <w:tcW w:w="4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238,528 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Advances for construction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146,582 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Contributions in aid of construction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326,451 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Postretirement benefit plans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46,836 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Regulatory liabilities, less current portion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461,108 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Other noncurrent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22,492 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Commitments and contingencies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Total capitalization and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4,367,512 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4,345,067 </w:t>
            </w:r>
          </w:p>
        </w:tc>
        <w:tc>
          <w:tcPr>
            <w:tcW w:w="4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lineRule="auto" w:line="288" w:before="0" w:after="0"/>
        <w:jc w:val="left"/>
        <w:rPr>
          <w:color w:val="000000"/>
        </w:rPr>
      </w:pPr>
      <w:r>
        <w:rPr>
          <w:color w:val="000000"/>
        </w:rPr>
        <w:t> </w:t>
      </w:r>
    </w:p>
    <w:tbl>
      <w:tblPr>
        <w:tblW w:w="10412" w:type="dxa"/>
        <w:jc w:val="left"/>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13"/>
        <w:gridCol w:w="413"/>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December 31, 2023</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32,023,004 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736,191 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495,383 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1,233,397 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investment, net of tax of $163</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net of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126,025 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($0.40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March 31, 2024</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32,201,216 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744,621 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494,249 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1,240,251 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bl>
      <w:tblPr>
        <w:tblW w:w="10412" w:type="dxa"/>
        <w:jc w:val="center"/>
        <w:tblInd w:w="0" w:type="dxa"/>
        <w:tblLayout w:type="fixed"/>
        <w:tblCellMar>
          <w:top w:w="28" w:type="dxa"/>
          <w:left w:w="28" w:type="dxa"/>
          <w:bottom w:w="28" w:type="dxa"/>
          <w:right w:w="28" w:type="dxa"/>
        </w:tblCellMar>
      </w:tblPr>
      <w:tblGrid>
        <w:gridCol w:w="667"/>
        <w:gridCol w:w="296"/>
        <w:gridCol w:w="298"/>
        <w:gridCol w:w="540"/>
        <w:gridCol w:w="541"/>
        <w:gridCol w:w="231"/>
        <w:gridCol w:w="109"/>
        <w:gridCol w:w="109"/>
        <w:gridCol w:w="109"/>
        <w:gridCol w:w="214"/>
        <w:gridCol w:w="366"/>
        <w:gridCol w:w="111"/>
        <w:gridCol w:w="109"/>
        <w:gridCol w:w="109"/>
        <w:gridCol w:w="109"/>
        <w:gridCol w:w="413"/>
        <w:gridCol w:w="413"/>
        <w:gridCol w:w="291"/>
        <w:gridCol w:w="109"/>
        <w:gridCol w:w="109"/>
        <w:gridCol w:w="109"/>
        <w:gridCol w:w="413"/>
        <w:gridCol w:w="413"/>
        <w:gridCol w:w="251"/>
        <w:gridCol w:w="109"/>
        <w:gridCol w:w="109"/>
        <w:gridCol w:w="109"/>
        <w:gridCol w:w="405"/>
        <w:gridCol w:w="405"/>
        <w:gridCol w:w="406"/>
        <w:gridCol w:w="109"/>
        <w:gridCol w:w="109"/>
        <w:gridCol w:w="109"/>
        <w:gridCol w:w="109"/>
        <w:gridCol w:w="109"/>
        <w:gridCol w:w="109"/>
        <w:gridCol w:w="109"/>
        <w:gridCol w:w="109"/>
        <w:gridCol w:w="109"/>
        <w:gridCol w:w="488"/>
        <w:gridCol w:w="488"/>
        <w:gridCol w:w="47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3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7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44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30,801,912 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651,004 </w:t>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458,356 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1,110,868 </w:t>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investment, net of taxes of $0</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deferred stock units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stock purchase plan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issuance, net of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570,026 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40,997 </w:t>
            </w:r>
          </w:p>
        </w:tc>
        <w:tc>
          <w:tcPr>
            <w:tcW w:w="2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40,997 </w:t>
            </w:r>
          </w:p>
        </w:tc>
        <w:tc>
          <w:tcPr>
            <w:tcW w:w="4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 ($0.38 per share)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w:t>
            </w:r>
          </w:p>
        </w:tc>
        <w:tc>
          <w:tcPr>
            <w:tcW w:w="4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Balances, March 31, 2023</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31,427,124 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692,742 </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458,142 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1,152,485 </w:t>
            </w:r>
          </w:p>
        </w:tc>
        <w:tc>
          <w:tcPr>
            <w:tcW w:w="4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r>
        <w:trPr/>
        <w:tc>
          <w:tcPr>
            <w:tcW w:w="1261" w:type="dxa"/>
            <w:gridSpan w:val="3"/>
            <w:tcBorders/>
            <w:vAlign w:val="center"/>
          </w:tcPr>
          <w:p>
            <w:pPr>
              <w:pStyle w:val="TableContents"/>
              <w:bidi w:val="0"/>
              <w:spacing w:before="0" w:after="283"/>
              <w:jc w:val="left"/>
              <w:rPr>
                <w:sz w:val="4"/>
                <w:szCs w:val="4"/>
              </w:rPr>
            </w:pPr>
            <w:r>
              <w:rPr>
                <w:sz w:val="4"/>
                <w:szCs w:val="4"/>
              </w:rPr>
            </w:r>
          </w:p>
        </w:tc>
        <w:tc>
          <w:tcPr>
            <w:tcW w:w="13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0" w:after="0"/>
        <w:jc w:val="center"/>
        <w:rPr/>
      </w:pPr>
      <w:r>
        <w:rPr>
          <w:rFonts w:ascii="Times New Roman;sans-serif" w:hAnsi="Times New Roman;sans-serif"/>
          <w:b/>
          <w:color w:val="000000"/>
          <w:sz w:val="20"/>
        </w:rPr>
        <w:t>(in thousands)</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815"/>
        <w:gridCol w:w="2326"/>
        <w:gridCol w:w="2340"/>
        <w:gridCol w:w="267"/>
        <w:gridCol w:w="913"/>
        <w:gridCol w:w="137"/>
        <w:gridCol w:w="137"/>
        <w:gridCol w:w="137"/>
        <w:gridCol w:w="137"/>
        <w:gridCol w:w="387"/>
        <w:gridCol w:w="390"/>
        <w:gridCol w:w="219"/>
      </w:tblGrid>
      <w:tr>
        <w:trPr/>
        <w:tc>
          <w:tcPr>
            <w:tcW w:w="2815"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4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4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Allowance for equity funds used during construction</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and accrued unbilled utility revenue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current liabilities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groundwater extraction charges, purchased water and power</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(7,968)</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receivable and payable, and other accrued taxes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Postretirement benefits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and liabilities excluding cost of removal, income tax temporary differences, and postretirement benefits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8,367 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net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50,607 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3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utility plant:</w:t>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Company-funded</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(68,879)</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(52,384)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in aid of construction</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to retire utility plant, net of salvage</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net</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used in investing activities</w:t>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(74,273)</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(55,029)</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31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line of credit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87,645 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on line of credit</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(99,383)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Repayments of long-term borrowings</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net of issuance costs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(12,824)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Receipts of advances and contributions in aid of construction</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Refunds of advances for construction</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changes, net</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cash provided by financing activities</w:t>
            </w:r>
          </w:p>
        </w:tc>
        <w:tc>
          <w:tcPr>
            <w:tcW w:w="11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15,411 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Net change in cash and cash equivalents</w:t>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10,989 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Cash and cash equivalents, beginning of period</w:t>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20"/>
              </w:rPr>
            </w:pPr>
            <w:r>
              <w:rPr>
                <w:rFonts w:ascii="Times New Roman;sans-serif" w:hAnsi="Times New Roman;sans-serif"/>
                <w:b/>
                <w:color w:val="000000"/>
                <w:sz w:val="20"/>
              </w:rPr>
              <w:t>Cash and cash equivalents, end of period</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23,333 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paid during the period for:</w:t>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disclosure of non-cash activities:</w:t>
            </w:r>
          </w:p>
        </w:tc>
        <w:tc>
          <w:tcPr>
            <w:tcW w:w="13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payables for additions to utility plant</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Utility property installed by developers</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MARCH 31, 2024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pPr>
      <w:r>
        <w:rPr>
          <w:rFonts w:ascii="Times New Roman;sans-serif" w:hAnsi="Times New Roman;sans-serif"/>
          <w:b/>
          <w:color w:val="000000"/>
          <w:sz w:val="20"/>
        </w:rPr>
        <w:t>Note 1.</w:t>
      </w:r>
      <w:r>
        <w:rPr>
          <w:rFonts w:ascii="Times New Roman;sans-serif" w:hAnsi="Times New Roman;sans-serif"/>
          <w:b/>
          <w:color w:val="000000"/>
          <w:sz w:val="20"/>
          <w:u w:val="single"/>
        </w:rPr>
        <w:t>General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opinion of management, the accompanying unaudited condensed consolidated financial statements reflect all adjustments (consisting only of normal, recurring adjustments) necessary for a fair presentation of the results for the interim periods.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interim financial information has been prepared in accordance with accounting principles generally accepted in the United States of America and in accordance with the instructions for Form 10-Q and Rule 10-01 of Regulation S-X promulgated by the Securities and Exchange Commission. The Notes to Consolidated Financial Statements in SJW Group’s 2023 Annual Report on Form 10-K should be read in conjunction with the accompanying unaudited condensed consolidated financial statements.</w:t>
      </w:r>
    </w:p>
    <w:p>
      <w:pPr>
        <w:pStyle w:val="TextBody"/>
        <w:bidi w:val="0"/>
        <w:spacing w:lineRule="auto" w:line="288" w:before="120" w:after="283"/>
        <w:jc w:val="left"/>
        <w:rPr/>
      </w:pPr>
      <w:r>
        <w:rPr>
          <w:rFonts w:ascii="Times New Roman;sans-serif" w:hAnsi="Times New Roman;sans-serif"/>
          <w:b w:val="false"/>
          <w:color w:val="000000"/>
          <w:sz w:val="20"/>
        </w:rPr>
        <w:t>SJW Group is a holding company with four wholly owned subsidiaries: San Jose Water Company (“SJWC”), SJWTX Holdings, Inc., SJW Land Company, and SJWNE LLC. SJWTX Holdings, Inc., is a holding company for its wholly owned subsidiaries, SJWTX, Inc., doing business as The Texas Water Company (“TWC”), Texas Water Operation Services, LLC, (“TWOS”) and Texas Water Resources, LLC (“TWR”)</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 xml:space="preserve">SJWNE LLC is the holding company for Connecticut Water Service, Inc. (“CTWS”) whose wholly owned subsidiaries are The Connecticut Water Company (“CWC”), The Maine Water Company (“MWC”), New England Water Utility Services, Inc. (“NEWUS”), and Chester Realty, Inc. </w:t>
      </w:r>
      <w:r>
        <w:rPr>
          <w:rFonts w:ascii="Times New Roman;sans-serif" w:hAnsi="Times New Roman;sans-serif"/>
          <w:b w:val="false"/>
          <w:color w:val="000000"/>
          <w:sz w:val="20"/>
          <w:shd w:fill="FFFFFF" w:val="clear"/>
        </w:rPr>
        <w:t>SJWC, CWC, TWC</w:t>
      </w:r>
      <w:r>
        <w:rPr>
          <w:rFonts w:ascii="Times New Roman;sans-serif" w:hAnsi="Times New Roman;sans-serif"/>
          <w:b w:val="false"/>
          <w:color w:val="000000"/>
          <w:sz w:val="20"/>
        </w:rPr>
        <w:t>, TWOS, TWR, MWC and NEWUS are referred to as “Water Utility Services.” SJW Land Company and Chester Realty, Inc. are collectively referred to as “Real Estate Services.”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resulting in lower sales.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Group’s revenue components are as follows: </w:t>
      </w:r>
    </w:p>
    <w:tbl>
      <w:tblPr>
        <w:tblW w:w="9250" w:type="dxa"/>
        <w:jc w:val="left"/>
        <w:tblInd w:w="0" w:type="dxa"/>
        <w:tblLayout w:type="fixed"/>
        <w:tblCellMar>
          <w:top w:w="28" w:type="dxa"/>
          <w:left w:w="28" w:type="dxa"/>
          <w:bottom w:w="28" w:type="dxa"/>
          <w:right w:w="28" w:type="dxa"/>
        </w:tblCellMar>
      </w:tblPr>
      <w:tblGrid>
        <w:gridCol w:w="2280"/>
        <w:gridCol w:w="2003"/>
        <w:gridCol w:w="2016"/>
        <w:gridCol w:w="274"/>
        <w:gridCol w:w="1074"/>
        <w:gridCol w:w="141"/>
        <w:gridCol w:w="141"/>
        <w:gridCol w:w="141"/>
        <w:gridCol w:w="141"/>
        <w:gridCol w:w="413"/>
        <w:gridCol w:w="413"/>
        <w:gridCol w:w="213"/>
      </w:tblGrid>
      <w:tr>
        <w:trPr/>
        <w:tc>
          <w:tcPr>
            <w:tcW w:w="2280"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2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contracts with customers</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150,008 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135,836 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Alternative revenue programs, net</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(1,837)</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balancing and memorandum accounts and regulatory mechanisms, net</w:t>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Rental income</w:t>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149,382 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137,296 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Nonutility Properties and Real Estate Investments</w:t>
      </w:r>
    </w:p>
    <w:p>
      <w:pPr>
        <w:pStyle w:val="TextBody"/>
        <w:bidi w:val="0"/>
        <w:spacing w:lineRule="auto" w:line="288" w:before="120" w:after="283"/>
        <w:jc w:val="left"/>
        <w:rPr/>
      </w:pPr>
      <w:r>
        <w:rPr>
          <w:rFonts w:ascii="Times New Roman;sans-serif" w:hAnsi="Times New Roman;sans-serif"/>
          <w:b w:val="false"/>
          <w:color w:val="000000"/>
          <w:sz w:val="20"/>
        </w:rPr>
        <w:t>The major components of real estate investments and nonutility properties as of March 31, 2024 and December 31, 2023, are as follows:</w:t>
      </w:r>
      <w:r>
        <w:rPr>
          <w:color w:val="000000"/>
        </w:rPr>
        <w:t> </w:t>
      </w:r>
    </w:p>
    <w:tbl>
      <w:tblPr>
        <w:tblW w:w="6674" w:type="dxa"/>
        <w:jc w:val="left"/>
        <w:tblInd w:w="0" w:type="dxa"/>
        <w:tblLayout w:type="fixed"/>
        <w:tblCellMar>
          <w:top w:w="28" w:type="dxa"/>
          <w:left w:w="28" w:type="dxa"/>
          <w:bottom w:w="28" w:type="dxa"/>
          <w:right w:w="28" w:type="dxa"/>
        </w:tblCellMar>
      </w:tblPr>
      <w:tblGrid>
        <w:gridCol w:w="1487"/>
        <w:gridCol w:w="1306"/>
        <w:gridCol w:w="1317"/>
        <w:gridCol w:w="211"/>
        <w:gridCol w:w="721"/>
        <w:gridCol w:w="109"/>
        <w:gridCol w:w="109"/>
        <w:gridCol w:w="109"/>
        <w:gridCol w:w="109"/>
        <w:gridCol w:w="390"/>
        <w:gridCol w:w="334"/>
        <w:gridCol w:w="472"/>
      </w:tblGrid>
      <w:tr>
        <w:trPr/>
        <w:tc>
          <w:tcPr>
            <w:tcW w:w="1487"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Wholesale water supply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13,350 </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13,156 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SJW Land Company entered into a broker agreement to sell its warehouse, office buildings, and land property located in Knoxville, Tennessee. The company reclassified the Tennessee properties from held-and-used to held-for-sale at March 31, 2023. The company’s intention is to complete the sale of these assets within the next twelve months. The company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records the Tennessee properties at the lower of their carrying value or estimated fair value less cost to sell, and also stopped recording depreciation on assets held for sale. SJW Group's broker provides the estimated fair value of the Tennessee properties. No impairment has been recorded as the estimated fair value less cost to sell exceeds carrying value. The property is classified as part of the Real Estate Services reportable segment.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sale of the Tennessee properties does not represent a strategic shift that has or will have a major effect on SJW Group; therefore, the sale does not qualify for treatment as a discontinued operation.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April 2024, SJW Land Company completed the sale of a warehouse building of the Tennessee properties for $27,000. The estimated pre-tax gain on the sale is $7,000.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represents the major components of the Tennessee warehouse buildings and land property recorded in assets held-for-sale on the condensed consolidated balance sheets as of March 31, 2024:</w:t>
      </w:r>
    </w:p>
    <w:tbl>
      <w:tblPr>
        <w:tblW w:w="5195" w:type="dxa"/>
        <w:jc w:val="left"/>
        <w:tblInd w:w="0" w:type="dxa"/>
        <w:tblLayout w:type="fixed"/>
        <w:tblCellMar>
          <w:top w:w="28" w:type="dxa"/>
          <w:left w:w="28" w:type="dxa"/>
          <w:bottom w:w="28" w:type="dxa"/>
          <w:right w:w="28" w:type="dxa"/>
        </w:tblCellMar>
      </w:tblPr>
      <w:tblGrid>
        <w:gridCol w:w="1488"/>
        <w:gridCol w:w="1304"/>
        <w:gridCol w:w="1317"/>
        <w:gridCol w:w="211"/>
        <w:gridCol w:w="721"/>
        <w:gridCol w:w="154"/>
      </w:tblGrid>
      <w:tr>
        <w:trPr/>
        <w:tc>
          <w:tcPr>
            <w:tcW w:w="148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2024</w:t>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Subtotal</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Fair Value Measurement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instruments are not measured at fair value on SJW Group’s condensed consolidated balance sheets as of March 31, 2024, but require disclosure of their fair values: cash and cash equivalents, accounts receivable and accounts payable. The estimated fair value of such instruments as of March 31, 2024 approximates their carrying value as reported on the condensed consolidated balance sheets. There have been no changes in valuation techniques during the three months ended March 31, 2024. The fair value of these instruments would be categorized as Level 2 in the fair value hierarchy, with the exception of cash and cash equivalents, which would be categorized as Level 1.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SJW Group’s long-term debt was $1,355,609 and $1,394,412 as of March 31, 2024 and December 31, 2023, respectively, and was determined using a discounted cash flow analysis, based on the current rates for similar financial instruments of the same duration and creditworthiness of the company. Of the total fair value of long-term debt at March 31, 2024 and December 31, 2023, $1,339,659 and $1,378,683, respectively, would be categorized as Level 2 in the fair value hierarchy and $15,950 and $15,729, respectively, would be categorized as Level 3 in the fair value hierarchy.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CTWS’s additional retirement benefits under the supplemental executive retirement plans and retirement contracts are funded by investment assets held by a Rabbi Trust. The fair value of the money market funds, mutual funds and fixed income investments in the Rabbi Trust was $2,890 and $2,833 as of March 31, 2024 and December 31, 2023, respectively, and are categorized as Level 1 in the fair value hierarchy.</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earnings per share is calculated using income available to common stockholders, divided by the weighted average number of shares outstanding during the period. Diluted earnings per share is calculated using income available to common stockholders divided by the weighted average number of shares of common stock including both shares outstanding and shares potentially issuable in connection with restricted common stock awards under SJW Group’s long-term incentive plans, shares potentially issuable under the performance stock plans assumed through the business combination with CTWS, and shares potentially issuable under SJW Group’s employee stock purchase plans. For the three months ended March 31, 2024 and 2023, 12,221 and 8,855 anti-dilutive restricted common stock units were excluded from the diluted earnings per share calculation, respectively. </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New Accounting Standards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Accounting Standards Update (“ASU”) 2023-07, “Improvements to Reportable Segment Disclosures.” (“ASU 2023-07”). Among other changes, the ASU requires disclosure of significant segment expenses and extends certain annual disclosures to interim periods. The ASU is effective for SJW Group beginning with its annual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statements for the year ending December 31, 2024. Early adoption is permitted. SJW Group is currently evaluating the requirements of ASU 2023-07.</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“Improvements to Income Tax Disclosures.” The ASU amends certain income tax disclosure requirements, including adding requirements to present the reconciliation of income tax expense computed at the statutory rate to actual income tax expense using both percentages and amounts and providing a disaggregation of income taxes paid. Further, certain disclosures are eliminated, including the current requirement to disclose information on changes in unrecognized tax benefits in the next 12 months. The ASU is effective for SJW Group beginning with its annual financial statements for the year ending December 31, 2025. Early adoption is permitted. SJW Group is currently evaluating the requirements of ASU 2023-09.</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pPr>
      <w:r>
        <w:rPr>
          <w:rFonts w:ascii="Times New Roman;sans-serif" w:hAnsi="Times New Roman;sans-serif"/>
          <w:b/>
          <w:color w:val="000000"/>
          <w:sz w:val="20"/>
        </w:rPr>
        <w:t>Note 2.</w:t>
      </w:r>
      <w:r>
        <w:rPr>
          <w:rFonts w:ascii="Times New Roman;sans-serif" w:hAnsi="Times New Roman;sans-serif"/>
          <w:b/>
          <w:color w:val="000000"/>
          <w:sz w:val="20"/>
          <w:u w:val="single"/>
        </w:rPr>
        <w:t>Regulatory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 and liabilities are comprised of the following as of March 31, 2024 and December 31, 2023:</w:t>
      </w:r>
    </w:p>
    <w:p>
      <w:pPr>
        <w:pStyle w:val="TextBody"/>
        <w:bidi w:val="0"/>
        <w:spacing w:before="120" w:after="283"/>
        <w:jc w:val="left"/>
        <w:rPr/>
      </w:pPr>
      <w:r>
        <w:rPr/>
      </w:r>
    </w:p>
    <w:tbl>
      <w:tblPr>
        <w:tblW w:w="8739" w:type="dxa"/>
        <w:jc w:val="left"/>
        <w:tblInd w:w="0" w:type="dxa"/>
        <w:tblLayout w:type="fixed"/>
        <w:tblCellMar>
          <w:top w:w="28" w:type="dxa"/>
          <w:left w:w="28" w:type="dxa"/>
          <w:bottom w:w="28" w:type="dxa"/>
          <w:right w:w="28" w:type="dxa"/>
        </w:tblCellMar>
      </w:tblPr>
      <w:tblGrid>
        <w:gridCol w:w="2030"/>
        <w:gridCol w:w="1786"/>
        <w:gridCol w:w="1793"/>
        <w:gridCol w:w="232"/>
        <w:gridCol w:w="908"/>
        <w:gridCol w:w="119"/>
        <w:gridCol w:w="109"/>
        <w:gridCol w:w="109"/>
        <w:gridCol w:w="109"/>
        <w:gridCol w:w="452"/>
        <w:gridCol w:w="452"/>
        <w:gridCol w:w="640"/>
      </w:tblGrid>
      <w:tr>
        <w:trPr/>
        <w:tc>
          <w:tcPr>
            <w:tcW w:w="2030"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79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56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assets:</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temporary differences (a)</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158,793 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157,669 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pensions and other postretirement benefits (b)</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Business combinations debt premium (c)</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14,219 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 costs (d)</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9,815 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shd w:fill="FFFFFF" w:val="clear"/>
              </w:rPr>
              <w:t>Monterey Water Revenue Adjustment</w:t>
            </w:r>
            <w:r>
              <w:rPr>
                <w:color w:val="000000"/>
              </w:rPr>
              <w:t xml:space="preserve"> </w:t>
            </w:r>
            <w:r>
              <w:rPr>
                <w:rFonts w:ascii="Times New Roman;sans-serif" w:hAnsi="Times New Roman;sans-serif"/>
                <w:b w:val="false"/>
                <w:color w:val="000000"/>
                <w:sz w:val="20"/>
              </w:rPr>
              <w:t>Mechanism (“MWRAM”) (e)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Customer Assistance Program (“CAP”) balancing account (f)</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Catastrophic event memorandum accounts (“CEMA”) (g)</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4,883 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2022 general rate case interim memorandum account (h)</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4,571 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supply costs (i)</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(j)</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8,463 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assets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240,692 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240,186 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regulatory assets (k)</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assets, less current portion</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238,842 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235,910 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liabilities:</w:t>
            </w:r>
          </w:p>
        </w:tc>
        <w:tc>
          <w:tcPr>
            <w:tcW w:w="125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Cost of removal (l)</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350,369 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346,418 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Future income tax benefits due to customers (m)</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87,908 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88,610 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pensions and other postretirement benefits (b)</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20,196 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Revenue adjustment mechanisms (n)</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5,536 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supply costs (i)</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(o)</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liabilities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472,433 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464,167 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regulatory liabilities (p)</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regulatory liabilities, less current portion</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469,953 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461,108 </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w:t>
      </w:r>
    </w:p>
    <w:p>
      <w:pPr>
        <w:pStyle w:val="TextBody"/>
        <w:bidi w:val="0"/>
        <w:spacing w:lineRule="auto" w:line="26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(a)Consists primarily of temporary income tax differences that are flowed through to customers, which will be recovered in future rates as these temporary differences reverse. The company expects to recover regulatory assets related to plant depreciation income tax temporary differences over the lives of the plant assets, which are between 4 to 100 years. </w:t>
      </w:r>
    </w:p>
    <w:p>
      <w:pPr>
        <w:pStyle w:val="TextBody"/>
        <w:bidi w:val="0"/>
        <w:spacing w:lineRule="auto" w:line="26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(b)Represents actuarial losses and gains and prior service cost that have not yet been recognized as components of net periodic benefit cost for certain pension and other postretirement benefit plans.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(c)Consists of debt fair value adjustments recognized through purchase accounting for the completed merger with CTWS in 2019.</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(d)Includes deferrals of pension and other postretirement benefit expense and cost of accrued benefits for vacation.</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(e)MWRAM is described in the following section.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(f)Represents costs associated with SJWC’s CAP.</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(g)Primarily related to increased bad debt expenses associated with SJWC’s response to COVID-19. The California Public Utilities Commission (“CPUC”) has authorized water utilities to activate CEMA accounts in order to track savings and costs related to SJWC’s response to catastrophic events, which includes external labor and materials, increases in bad debt from suspension of shutoffs for non-payment, waived deposits and reconnection fees, and divergence from actual versus authorized usage.</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(h)Represents the difference between revenues collected in interim rates in effect as of January 1, 2022 and revenues that would result from rates authorized in SJWC’s 2022 general rate case retroactive to January 1, 2022.</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(i)Reflects differences in actual water supply costs compared to amounts assumed in base rates, including applicable changes and variations in costs and quantities that affect the overall mix of the water supply.</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(j)Other includes other balancing and memorandum accounts and regulatory mechanisms, deferred costs for certain information technology activities, asset retirement obligations and rate case expenses.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(k)As of March 31, 2024 and December 31, 2023, primarily relates to the current portion of MWRAM.</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(l)Represents amounts collected in rates from customers for estimated costs to retire assets at the end of their expected useful lives before the costs are incurred.</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(m)On December 22, 2017 the Tax Act was signed into law. The Tax Act included a reduction in the federal income tax rate from 35% to 21%. The rate reduction was effective on January 1, 2018 and resulted in a regulatory liability for the excess deferred income taxes. The benefit of amortization of excess deferred income taxes flows back to the customers under current normalization rules and agreed upon methods with the commissions. </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(n)Consists of Water Rate Adjustment mechanism (“WRA”) and WCMA, which are described in the following section.</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(o)Other includes other balancing and memorandum accounts, other regulatory mechanisms and accrued tank painting costs.</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(p)As of March 31, 2024 and December 31, 2023, primarily relates to the current portion of WRA.</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has established balancing accounts for the purpose of tracking the under-collection or over-collection associated with expense changes and revenue authorized by the CPUC to offset those expense changes. In 2022, SJWC’s general rate case decision approved the use of the Full Cost Balancing Account to track the water supply costs and energy consumption. The MWRAM balancing account tracks the difference between the revenue received for actual metered sales through the tiered volumetric rate and the revenue that would have been received with the same actual metered sales if a uniform rate would have been in effect.</w:t>
      </w:r>
    </w:p>
    <w:p>
      <w:pPr>
        <w:pStyle w:val="TextBody"/>
        <w:bidi w:val="0"/>
        <w:spacing w:lineRule="auto" w:line="288" w:before="160" w:after="283"/>
        <w:jc w:val="left"/>
        <w:rPr/>
      </w:pPr>
      <w:r>
        <w:rPr>
          <w:rFonts w:ascii="Times New Roman;sans-serif" w:hAnsi="Times New Roman;sans-serif"/>
          <w:b w:val="false"/>
          <w:color w:val="000000"/>
          <w:sz w:val="20"/>
        </w:rPr>
        <w:t xml:space="preserve">SJWC also maintains memorandum accounts to track impacts due to catastrophic events, certain unforeseen water quality expenses related to new federal and state water quality standards, energy efficiency, water conservation, water tariffs, and other approved activities or as directed by the CPUC. The WCMA allows SJWC to track lost revenue, net of related water costs, associated with reduced sales due to water conservation and associated calls for water use reductions. SJWC records the lost revenue captured in the WCMA balancing accounts. Applicable drought surcharges collected are used to offset the revenue losses tracked in the WCMA. Mandatory water conservation requirements from </w:t>
      </w:r>
      <w:r>
        <w:rPr>
          <w:rFonts w:ascii="Times New Roman;sans-serif" w:hAnsi="Times New Roman;sans-serif"/>
          <w:b w:val="false"/>
          <w:color w:val="000000"/>
          <w:sz w:val="20"/>
          <w:shd w:fill="FFFFFF" w:val="clear"/>
        </w:rPr>
        <w:t xml:space="preserve">Santa Clara Valley Water District </w:t>
      </w:r>
      <w:r>
        <w:rPr>
          <w:rFonts w:ascii="Times New Roman;sans-serif" w:hAnsi="Times New Roman;sans-serif"/>
          <w:b w:val="false"/>
          <w:color w:val="000000"/>
          <w:sz w:val="20"/>
        </w:rPr>
        <w:t>(“Valley Water”)</w:t>
      </w:r>
      <w:r>
        <w:rPr>
          <w:color w:val="000000"/>
          <w:shd w:fill="FFFFFF" w:val="clear"/>
        </w:rPr>
        <w:t xml:space="preserve"> </w:t>
      </w:r>
      <w:r>
        <w:rPr>
          <w:rFonts w:ascii="Times New Roman;sans-serif" w:hAnsi="Times New Roman;sans-serif"/>
          <w:b w:val="false"/>
          <w:color w:val="000000"/>
          <w:sz w:val="20"/>
          <w:shd w:fill="FFFFFF" w:val="clear"/>
        </w:rPr>
        <w:t>ended on April 11, 2023, which also ended</w:t>
      </w:r>
      <w:r>
        <w:rPr>
          <w:color w:val="000000"/>
        </w:rPr>
        <w:t xml:space="preserve"> </w:t>
      </w:r>
      <w:r>
        <w:rPr>
          <w:rFonts w:ascii="Times New Roman;sans-serif" w:hAnsi="Times New Roman;sans-serif"/>
          <w:b w:val="false"/>
          <w:color w:val="000000"/>
          <w:sz w:val="20"/>
        </w:rPr>
        <w:t>SJWC’s Mandatory Conservation Plan, that included drought allocations and surcharges. On October 2, 2023, the CPUC approved the continuation of WCMA and Water Conservation Expense Memorandum Account under the voluntary call for conservation effective April 20, 2023. All balancing accounts and memorandum accounts not included for recovery or refund in the current general rate case will be reviewed by the CPUC in SJWC’s next general rate case or at the time an individual account balance reaches a threshold of 2% of authorized revenue, whichever occurs first.</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CWC has been authorized by the Connecticut Public Utilities Regulatory Authority (“PURA”) to utilize a Water Revenue Adjustment mechanism (“WRA”), a decoupling mechanism, to mitigate risk associated with changes in demand. The WRA is used to reconcile actual water demands with the demands projected in the most recent general rate case and allows the company to implement a surcharge or sur-credit as necessary to recover or refund the revenues approved in the general rate case. The WRA allows the company to defer, as a regulatory asset or liability, the amount by which actual revenues deviate from the revenues allowed in the most recent general rate proceedings.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SJW Group’s regulatory assets not earning a return primarily included unrecognized pensions and other postretirement benefits and business combination debt premiums. The total amount of regulatory assets not earning a return at March 31, 2024 and December 31, 2023, either by interest on the regulatory asset or as a component of rate base at the allowed rate of return, was $42,598 and $43,141,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pPr>
      <w:r>
        <w:rPr>
          <w:rFonts w:ascii="Times New Roman;sans-serif" w:hAnsi="Times New Roman;sans-serif"/>
          <w:b/>
          <w:color w:val="000000"/>
          <w:sz w:val="20"/>
        </w:rPr>
        <w:t>Note 3.</w:t>
      </w:r>
      <w:r>
        <w:rPr>
          <w:rFonts w:ascii="Times New Roman;sans-serif" w:hAnsi="Times New Roman;sans-serif"/>
          <w:b/>
          <w:color w:val="000000"/>
          <w:sz w:val="20"/>
          <w:u w:val="single"/>
        </w:rPr>
        <w:t>Capitalization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SJW Group entered into Amendment No. 1 to the equity distribution agreement (the “Equity Distribution Agreement”), dated November 17, 2021, between SJW Group and J.P. Morgan Securities LLC, Janney Montgomery Scott LLC, RBC Capital Markets, LLC and Wells Fargo Securities, LLC, pursuant to which the company may offer and sell shares of its common stock, $0.001 par value per share, from time to time in “at-the-market” offerings, having an aggregate gross sales price of up to $240,000. For the three months ended March 31, 2024, SJW Group issued and sold a total of 126,025 shares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with a weighted average price of $57.13 per share and received $7,006 in net proceeds under the Equity Distribution Agreement. Since the inception of the Equity Distribution Agreement, SJW Group has issued and sold 2,130,682 shares of common stock at a weighted average price of $72.60 for a total net proceeds of $151,004 and has $85,309 remaining under the Equity Distribution Agreement to issue into shares. </w:t>
      </w:r>
    </w:p>
    <w:p>
      <w:pPr>
        <w:pStyle w:val="TextBody"/>
        <w:bidi w:val="0"/>
        <w:spacing w:before="0" w:after="0"/>
        <w:ind w:left="0" w:right="0" w:hanging="18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pPr>
      <w:r>
        <w:rPr>
          <w:rFonts w:ascii="Times New Roman;sans-serif" w:hAnsi="Times New Roman;sans-serif"/>
          <w:b/>
          <w:color w:val="000000"/>
          <w:sz w:val="20"/>
        </w:rPr>
        <w:t>Note 4.</w:t>
      </w:r>
      <w:r>
        <w:rPr>
          <w:rFonts w:ascii="Times New Roman;sans-serif" w:hAnsi="Times New Roman;sans-serif"/>
          <w:b/>
          <w:color w:val="000000"/>
          <w:sz w:val="20"/>
          <w:u w:val="single"/>
        </w:rPr>
        <w:t>Lines of Credit and Long-Term Liabilities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contractual obligations and commitments include senior notes, bank term loans, revenue bonds, state revolving fund loans and other obligations.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Lines of Credit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interest rate on short-term borrowings outstanding at March 31, 2024, was 6.42% compared to 6.48% at December 31, 2023.</w: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Long-term Financing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15, 2023, CWC entered into a note purchase agreement with certain affiliates of American United Life Insurance, The State Life Insurance, Mutual of Omaha Insurance, and United of Omaha Life Insurance, pursuant to which the company sold an aggregate principal amount of $25,000 of its 6.46% Senior Notes, Series 2023 (“Series 2023 Notes”). The Series 2023 Notes are unsecured obligations of CWC and are due on January 1, 2054. Interest is payable semi-annually in arrears on January 15th and July 15th of each year. The closing of the notes purchase agreement occurred in January 2024.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pPr>
      <w:r>
        <w:rPr>
          <w:rFonts w:ascii="Times New Roman;sans-serif" w:hAnsi="Times New Roman;sans-serif"/>
          <w:b/>
          <w:color w:val="000000"/>
          <w:sz w:val="20"/>
          <w:shd w:fill="FFFFFF" w:val="clear"/>
        </w:rPr>
        <w:t>Note 5.</w:t>
      </w:r>
      <w:r>
        <w:rPr>
          <w:rFonts w:ascii="Times New Roman;sans-serif" w:hAnsi="Times New Roman;sans-serif"/>
          <w:b/>
          <w:color w:val="000000"/>
          <w:sz w:val="20"/>
          <w:u w:val="single"/>
          <w:shd w:fill="FFFFFF" w:val="clear"/>
        </w:rPr>
        <w:t>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 for the three months ended March 31, 2024 and 2023 was $2,231 and $1,078, respectively. The effective consolidated income tax rates were 16% and 9% for the three months ended March 31, 2024 and 2023, respectively. The higher effective tax rate for the three months ended March 31, 2024 was primarily due to the tax deficiencies recorded in the first quarter of 2024 for share-based payments and other discrete tax items. SJW Group had unrecognized tax benefits, before the impact of deductions of state taxes, excluding interest and penalties, of approximately $4,488 and $4,511 as of March 31, 2024 and December 31, 2023, respectively. SJW Group currently does not expect uncertain tax positions to change significantly over the next 12 months, except in the case of a lapse of the statute of limitations.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pPr>
      <w:r>
        <w:rPr>
          <w:rFonts w:ascii="Times New Roman;sans-serif" w:hAnsi="Times New Roman;sans-serif"/>
          <w:b/>
          <w:color w:val="000000"/>
          <w:sz w:val="20"/>
        </w:rPr>
        <w:t>Note 6.</w:t>
      </w:r>
      <w:r>
        <w:rPr>
          <w:rFonts w:ascii="Times New Roman;sans-serif" w:hAnsi="Times New Roman;sans-serif"/>
          <w:b/>
          <w:color w:val="000000"/>
          <w:sz w:val="20"/>
          <w:u w:val="single"/>
        </w:rPr>
        <w:t>Commitments and Contingencies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subject to ordinary routine litigation incidental to its business.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pPr>
      <w:r>
        <w:rPr>
          <w:rFonts w:ascii="Times New Roman;sans-serif" w:hAnsi="Times New Roman;sans-serif"/>
          <w:b/>
          <w:color w:val="000000"/>
          <w:sz w:val="20"/>
        </w:rPr>
        <w:t>Note 7.</w:t>
      </w:r>
      <w:r>
        <w:rPr>
          <w:rFonts w:ascii="Times New Roman;sans-serif" w:hAnsi="Times New Roman;sans-serif"/>
          <w:b/>
          <w:color w:val="000000"/>
          <w:sz w:val="20"/>
          <w:u w:val="single"/>
        </w:rPr>
        <w:t>Benefit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maintains noncontributory defined benefit pension plans for its eligible employees. SJWC employees hired before March 31, 2008 and CWC and MWC employees hired before January 1, 2009 are entitled to benefits under the pension plans based on the employee’s years of service and compensation. For SJWC employees hired on or after March 31, 2008, benefits are determined using a cash balance formula based upon compensation credits and interest credits for each employee. Starting in 2023, TWC employees are also eligible to participate under SJWC’s cash balance plan. Certain employees hired before March 1, 2012, and covered by a plan merged into the CWC plan in 2013 are also entitled to benefits based on the employee’s years of service and compensation. CTWS employees hired on or after January 1, 2009, are entitled to an additional 1.5% of eligible compensation to their company sponsored savings plan. SJW Group does not have multi-employer plans.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senior management hired before March 31, 2008, for SJWC and January 1, 2009 for CWC, are eligible to receive additional retirement benefits under supplemental executive retirement plans and retirement contracts. SJWC’s senior management hired on or after March 31, 2008, are eligible to receive additional retirement benefits under SJWC’s Cash Balance Executive Supplemental Retirement Plan. The supplemental retirement plans and Cash Balance Executive Supplemental Retirement Plan are non-qualified plans in which only senior management and other designated members of management may participate. SJW Group also provides health care and life insurance benefits for retired employees under employer-sponsored postretirement benefits that are not pension plans.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costs for the defined benefit plans and other postretirement benefits for the three months ended March 31, 2024 and 2023 are as follows:</w:t>
      </w:r>
    </w:p>
    <w:tbl>
      <w:tblPr>
        <w:tblW w:w="7391" w:type="dxa"/>
        <w:jc w:val="left"/>
        <w:tblInd w:w="0" w:type="dxa"/>
        <w:tblLayout w:type="fixed"/>
        <w:tblCellMar>
          <w:top w:w="28" w:type="dxa"/>
          <w:left w:w="28" w:type="dxa"/>
          <w:bottom w:w="28" w:type="dxa"/>
          <w:right w:w="28" w:type="dxa"/>
        </w:tblCellMar>
      </w:tblPr>
      <w:tblGrid>
        <w:gridCol w:w="1117"/>
        <w:gridCol w:w="982"/>
        <w:gridCol w:w="990"/>
        <w:gridCol w:w="211"/>
        <w:gridCol w:w="616"/>
        <w:gridCol w:w="109"/>
        <w:gridCol w:w="109"/>
        <w:gridCol w:w="109"/>
        <w:gridCol w:w="109"/>
        <w:gridCol w:w="344"/>
        <w:gridCol w:w="346"/>
        <w:gridCol w:w="156"/>
        <w:gridCol w:w="109"/>
        <w:gridCol w:w="109"/>
        <w:gridCol w:w="109"/>
        <w:gridCol w:w="211"/>
        <w:gridCol w:w="466"/>
        <w:gridCol w:w="109"/>
        <w:gridCol w:w="109"/>
        <w:gridCol w:w="109"/>
        <w:gridCol w:w="109"/>
        <w:gridCol w:w="269"/>
        <w:gridCol w:w="271"/>
        <w:gridCol w:w="213"/>
      </w:tblGrid>
      <w:tr>
        <w:trPr/>
        <w:tc>
          <w:tcPr>
            <w:tcW w:w="111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0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Benefits</w:t>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of actuarial loss (gain)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prior service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2676"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2024, SJW Group expects to make required and discretionary cash contributions of up to $4,515 to the pension plans and other postretirement benefits. For the three months ended March 31, 2024, SJW Group has made no contributions to such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pPr>
      <w:r>
        <w:rPr>
          <w:rFonts w:ascii="Times New Roman;sans-serif" w:hAnsi="Times New Roman;sans-serif"/>
          <w:b/>
          <w:color w:val="000000"/>
          <w:sz w:val="20"/>
        </w:rPr>
        <w:t>Note 8.</w:t>
      </w:r>
      <w:r>
        <w:rPr>
          <w:rFonts w:ascii="Times New Roman;sans-serif" w:hAnsi="Times New Roman;sans-serif"/>
          <w:b/>
          <w:color w:val="000000"/>
          <w:sz w:val="20"/>
          <w:u w:val="single"/>
        </w:rPr>
        <w:t>Equity Plans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Group’s long-term incentive plans provide employees, non-employee board members or the board of directors of any parent or subsidiary, consultants, and other independent advisors who provide services to the company or subsidiary the opportunity to acquire an equity interest in SJW Group. SJW Group also maintains stock plans in connection with its acquisition of CTWS which are no longer granting new stock awards. In addition, shares are issued to employees under SJW Group’s employee stock purchase plan (“ESPP”). As of March 31, 2024, 181,280 shares are issuable upon the vesting of outstanding restricted stock units and deferred restricted stock units and an additional 1,055,383 shares are available for award issuances under the long-term incentive plans.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compensation costs charged to income, by award type, and proceeds from the ESPP, are presented below for the three months ended March 31, 2024 and 2023:</w:t>
      </w:r>
    </w:p>
    <w:tbl>
      <w:tblPr>
        <w:tblW w:w="7055" w:type="dxa"/>
        <w:jc w:val="left"/>
        <w:tblInd w:w="0" w:type="dxa"/>
        <w:tblLayout w:type="fixed"/>
        <w:tblCellMar>
          <w:top w:w="28" w:type="dxa"/>
          <w:left w:w="28" w:type="dxa"/>
          <w:bottom w:w="28" w:type="dxa"/>
          <w:right w:w="28" w:type="dxa"/>
        </w:tblCellMar>
      </w:tblPr>
      <w:tblGrid>
        <w:gridCol w:w="1423"/>
        <w:gridCol w:w="1251"/>
        <w:gridCol w:w="1255"/>
        <w:gridCol w:w="312"/>
        <w:gridCol w:w="912"/>
        <w:gridCol w:w="161"/>
        <w:gridCol w:w="161"/>
        <w:gridCol w:w="161"/>
        <w:gridCol w:w="161"/>
        <w:gridCol w:w="308"/>
        <w:gridCol w:w="308"/>
        <w:gridCol w:w="161"/>
        <w:gridCol w:w="109"/>
        <w:gridCol w:w="109"/>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costs charged to income:</w:t>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ESPP</w:t>
            </w:r>
          </w:p>
        </w:tc>
        <w:tc>
          <w:tcPr>
            <w:tcW w:w="3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Restricted stock and deferred restricted stock</w:t>
            </w:r>
          </w:p>
        </w:tc>
        <w:tc>
          <w:tcPr>
            <w:tcW w:w="12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costs charged to income</w:t>
            </w:r>
          </w:p>
        </w:tc>
        <w:tc>
          <w:tcPr>
            <w:tcW w:w="3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 proceeds</w:t>
            </w:r>
          </w:p>
        </w:tc>
        <w:tc>
          <w:tcPr>
            <w:tcW w:w="3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1,101 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1,080 </w:t>
            </w:r>
          </w:p>
        </w:tc>
        <w:tc>
          <w:tcPr>
            <w:tcW w:w="1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Restricted Stock and Deferred Restricted Stock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SJW Group granted 37,520 and 27,732, respectively, one year and three year service-based restricted stock awards with a weighted-average grant date fair value per unit of $61.10 and $77.88, respectively.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31, 2024 and 2023, SJW Group granted 44,433 and 31,345 target units, respectively, of performance-based and market-based restricted stock awards with a weighted-average grant date fair value per unit of $53.69 and $80.05, respectively. Based upon actual attainment relative to the target performance metric, the number of shares issuable can range between 0% to 150% of the target number of shares for performance-based restricted stock awards, or between 0% and 200% of the target number of shares for market-based restricted stock awards.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2024, the total unrecognized compensation costs related to restricted and deferred restricted stock plans was $8,149. This cost is expected to be recognized over a weighted-average period of 2.17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Employee Stock Purchase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recorded expenses for its ESPP were $97 and $90 for the three months ended March 31, 2024 and 2023, respectively. The total unrecognized compensation costs related to the semi-annual offering period that ends July 31, 2024, for the employee stock purchase plan is approximately $141. This cost is expected to be recognized during the second and third quarters of 2024.</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2160"/>
        <w:jc w:val="left"/>
        <w:rPr/>
      </w:pPr>
      <w:r>
        <w:rPr>
          <w:rFonts w:ascii="Times New Roman;sans-serif" w:hAnsi="Times New Roman;sans-serif"/>
          <w:b/>
          <w:color w:val="000000"/>
          <w:sz w:val="20"/>
        </w:rPr>
        <w:t>Note 9.</w:t>
      </w:r>
      <w:r>
        <w:rPr>
          <w:rFonts w:ascii="Times New Roman;sans-serif" w:hAnsi="Times New Roman;sans-serif"/>
          <w:b/>
          <w:color w:val="000000"/>
          <w:sz w:val="20"/>
          <w:u w:val="single"/>
        </w:rPr>
        <w:t>Segment and Non-Tariffed Business Reporting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a holding company with four subsidiaries: (i) SJWC, (ii) SJWTX Holdings, Inc., a holding company for TWC, its consolidated variable interest entity, Acequia Water Supply Corporation, TWOS and TWR, (iii) SJW Land Company, and (iv) SJWNE LLC, a holding company for CTWS and its subsidiaries, CWC, MWC, NEWUS and Chester Realty, Inc. The first segment provides water utility and utility-related services to its customers through SJW Group’s subsidiaries, SJWC, CWC, TWC, MWC, and NEWUS together referred to as “Water Utility Services.” Water Utility Services’ activities are water utility operations with both regulated and non-tariffed businesses. The second segment consists of property management and investment activity conducted by SJW Land Company and Chester Realty, Inc., referred to as “Real Estate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reportable segments have been determined based on information used by the chief operating decision maker. SJW Group’s chief operating decision maker includes the Chairman, President and Chief Executive Officer, and his executive staff. The executive staff reviews financial information presented on a consolidated basis that is accompanied by disaggregated information about operating revenue, net income and total assets, by subsidiary.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information relating to SJW Group’s reportable segments and distribution of regulated and non-tariffed business activities within the reportable segments. Certain allocated assets, such as goodwill, revenue and expenses have been included in the reportable segment amounts. Other business activity of SJW Group not included in the reportable segments is included in the “All Other” category.</w:t>
      </w:r>
    </w:p>
    <w:tbl>
      <w:tblPr>
        <w:tblW w:w="10521" w:type="dxa"/>
        <w:jc w:val="left"/>
        <w:tblInd w:w="0" w:type="dxa"/>
        <w:tblLayout w:type="fixed"/>
        <w:tblCellMar>
          <w:top w:w="28" w:type="dxa"/>
          <w:left w:w="28" w:type="dxa"/>
          <w:bottom w:w="28" w:type="dxa"/>
          <w:right w:w="28" w:type="dxa"/>
        </w:tblCellMar>
      </w:tblPr>
      <w:tblGrid>
        <w:gridCol w:w="577"/>
        <w:gridCol w:w="296"/>
        <w:gridCol w:w="298"/>
        <w:gridCol w:w="211"/>
        <w:gridCol w:w="826"/>
        <w:gridCol w:w="109"/>
        <w:gridCol w:w="109"/>
        <w:gridCol w:w="109"/>
        <w:gridCol w:w="109"/>
        <w:gridCol w:w="340"/>
        <w:gridCol w:w="340"/>
        <w:gridCol w:w="341"/>
        <w:gridCol w:w="109"/>
        <w:gridCol w:w="109"/>
        <w:gridCol w:w="109"/>
        <w:gridCol w:w="519"/>
        <w:gridCol w:w="271"/>
        <w:gridCol w:w="231"/>
        <w:gridCol w:w="109"/>
        <w:gridCol w:w="109"/>
        <w:gridCol w:w="109"/>
        <w:gridCol w:w="349"/>
        <w:gridCol w:w="349"/>
        <w:gridCol w:w="323"/>
        <w:gridCol w:w="109"/>
        <w:gridCol w:w="109"/>
        <w:gridCol w:w="109"/>
        <w:gridCol w:w="413"/>
        <w:gridCol w:w="413"/>
        <w:gridCol w:w="281"/>
        <w:gridCol w:w="109"/>
        <w:gridCol w:w="109"/>
        <w:gridCol w:w="109"/>
        <w:gridCol w:w="340"/>
        <w:gridCol w:w="340"/>
        <w:gridCol w:w="341"/>
        <w:gridCol w:w="109"/>
        <w:gridCol w:w="109"/>
        <w:gridCol w:w="109"/>
        <w:gridCol w:w="413"/>
        <w:gridCol w:w="413"/>
        <w:gridCol w:w="225"/>
      </w:tblGrid>
      <w:tr>
        <w:trPr/>
        <w:tc>
          <w:tcPr>
            <w:tcW w:w="5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0"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Three Months Ended March 31, 2024</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Water Utility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SJW Group</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144,915 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149,382 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117,781 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27,913 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(4,416)</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(2,901)</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11,699 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28,061 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5,821 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17,584 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(1,465)</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tbl>
      <w:tblPr>
        <w:tblW w:w="10521" w:type="dxa"/>
        <w:jc w:val="left"/>
        <w:tblInd w:w="0" w:type="dxa"/>
        <w:tblLayout w:type="fixed"/>
        <w:tblCellMar>
          <w:top w:w="28" w:type="dxa"/>
          <w:left w:w="28" w:type="dxa"/>
          <w:bottom w:w="28" w:type="dxa"/>
          <w:right w:w="28" w:type="dxa"/>
        </w:tblCellMar>
      </w:tblPr>
      <w:tblGrid>
        <w:gridCol w:w="577"/>
        <w:gridCol w:w="296"/>
        <w:gridCol w:w="298"/>
        <w:gridCol w:w="211"/>
        <w:gridCol w:w="826"/>
        <w:gridCol w:w="109"/>
        <w:gridCol w:w="109"/>
        <w:gridCol w:w="109"/>
        <w:gridCol w:w="109"/>
        <w:gridCol w:w="340"/>
        <w:gridCol w:w="340"/>
        <w:gridCol w:w="341"/>
        <w:gridCol w:w="109"/>
        <w:gridCol w:w="109"/>
        <w:gridCol w:w="109"/>
        <w:gridCol w:w="519"/>
        <w:gridCol w:w="271"/>
        <w:gridCol w:w="231"/>
        <w:gridCol w:w="109"/>
        <w:gridCol w:w="109"/>
        <w:gridCol w:w="109"/>
        <w:gridCol w:w="349"/>
        <w:gridCol w:w="349"/>
        <w:gridCol w:w="323"/>
        <w:gridCol w:w="109"/>
        <w:gridCol w:w="109"/>
        <w:gridCol w:w="109"/>
        <w:gridCol w:w="413"/>
        <w:gridCol w:w="413"/>
        <w:gridCol w:w="281"/>
        <w:gridCol w:w="109"/>
        <w:gridCol w:w="109"/>
        <w:gridCol w:w="109"/>
        <w:gridCol w:w="340"/>
        <w:gridCol w:w="340"/>
        <w:gridCol w:w="341"/>
        <w:gridCol w:w="109"/>
        <w:gridCol w:w="109"/>
        <w:gridCol w:w="109"/>
        <w:gridCol w:w="413"/>
        <w:gridCol w:w="413"/>
        <w:gridCol w:w="225"/>
      </w:tblGrid>
      <w:tr>
        <w:trPr/>
        <w:tc>
          <w:tcPr>
            <w:tcW w:w="57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50" w:type="dxa"/>
            <w:gridSpan w:val="3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 Three Months Ended March 31, 2023</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Water Utility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SJW Group</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Regulated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Non-tariffed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133,272 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137,296 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1,414 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108,867 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3,251 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(loss)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25,178 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(2,735)</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13,222 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(1,692)</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25,686 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26,296 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on long-term debt and other 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(benefit) for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(2,111)</w:t>
            </w:r>
          </w:p>
        </w:tc>
        <w:tc>
          <w:tcPr>
            <w:tcW w:w="3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3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638"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69" w:type="dxa"/>
            <w:gridSpan w:val="36"/>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7" w:type="dxa"/>
            <w:gridSpan w:val="18"/>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720"/>
        <w:jc w:val="left"/>
        <w:rPr>
          <w:rFonts w:ascii="Times New Roman;sans-serif" w:hAnsi="Times New Roman;sans-serif"/>
          <w:b w:val="false"/>
          <w:color w:val="000000"/>
          <w:sz w:val="16"/>
        </w:rPr>
      </w:pPr>
      <w:r>
        <w:rPr>
          <w:rFonts w:ascii="Times New Roman;sans-serif" w:hAnsi="Times New Roman;sans-serif"/>
          <w:b w:val="false"/>
          <w:color w:val="000000"/>
          <w:sz w:val="16"/>
        </w:rPr>
        <w:t>(1)    The “All Other” category for the three months ended March 31, 2024 and 2023, includes the accounts of SJW Group, SJWNE LLC, CTWS and SJWTX Holdings, Inc. on a stand-alone basis.</w:t>
      </w:r>
    </w:p>
    <w:p>
      <w:pPr>
        <w:pStyle w:val="TextBody"/>
        <w:bidi w:val="0"/>
        <w:spacing w:before="0" w:after="0"/>
        <w:ind w:left="0" w:right="0" w:hanging="720"/>
        <w:jc w:val="left"/>
        <w:rPr/>
      </w:pPr>
      <w:r>
        <w:rPr/>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SJW Group’s assets by segment are as follows:</w:t>
      </w:r>
    </w:p>
    <w:tbl>
      <w:tblPr>
        <w:tblW w:w="5518" w:type="dxa"/>
        <w:jc w:val="left"/>
        <w:tblInd w:w="0" w:type="dxa"/>
        <w:tblLayout w:type="fixed"/>
        <w:tblCellMar>
          <w:top w:w="28" w:type="dxa"/>
          <w:left w:w="28" w:type="dxa"/>
          <w:bottom w:w="28" w:type="dxa"/>
          <w:right w:w="28" w:type="dxa"/>
        </w:tblCellMar>
      </w:tblPr>
      <w:tblGrid>
        <w:gridCol w:w="825"/>
        <w:gridCol w:w="724"/>
        <w:gridCol w:w="730"/>
        <w:gridCol w:w="211"/>
        <w:gridCol w:w="976"/>
        <w:gridCol w:w="109"/>
        <w:gridCol w:w="109"/>
        <w:gridCol w:w="109"/>
        <w:gridCol w:w="109"/>
        <w:gridCol w:w="488"/>
        <w:gridCol w:w="488"/>
        <w:gridCol w:w="640"/>
      </w:tblGrid>
      <w:tr>
        <w:trPr/>
        <w:tc>
          <w:tcPr>
            <w:tcW w:w="82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4,199,172 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Non-tariffed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43,532 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utility services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4,242,704 </w:t>
            </w:r>
          </w:p>
        </w:tc>
        <w:tc>
          <w:tcPr>
            <w:tcW w:w="6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44,222 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58,141 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4,367,512 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4,345,067 </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4,228,675 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4,199,172 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Non-tariffed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145,895 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4,367,512 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4,345,067 </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hanging="2160"/>
        <w:jc w:val="left"/>
        <w:rPr/>
      </w:pPr>
      <w:r>
        <w:rPr>
          <w:rFonts w:ascii="Times New Roman;sans-serif" w:hAnsi="Times New Roman;sans-serif"/>
          <w:b/>
          <w:color w:val="000000"/>
          <w:sz w:val="20"/>
        </w:rPr>
        <w:t>Note 10.</w:t>
      </w:r>
      <w:r>
        <w:rPr>
          <w:rFonts w:ascii="Times New Roman;sans-serif" w:hAnsi="Times New Roman;sans-serif"/>
          <w:b/>
          <w:color w:val="000000"/>
          <w:sz w:val="20"/>
          <w:u w:val="single"/>
        </w:rPr>
        <w:t>Acquisitions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2023, TWC reached an agreement to acquire KT Water Development Ltd. (“KT Water Development”) and SJWTX Holdings, Inc. reached an agreement to acquire KT Water Resources, L.P. (“KT Water Resources”). The agreement between SJWTX Holdings, Inc. and KT Water Resources was assigned to TWR prior to closing. KT Water Development was an investor-owned water utility providing water to approximately 1,725 people through over 570 service connections in the Rockwall Ranch subdivision in southern Comal County, Texas. KT Water Resources was a wholesale groundwater resource supplier to KT Water Development formed to develop wholesale water supplies for the fast-growing utilities of Comal County, Texas. The Public Utility Commission of Texas (“PUCT”) approved the proposed KT Water Development acquisition on July 24, 2023. The acquisition of KT Water Resources did not require PUCT approval. Both transactions closed on August 14, 2023. Further information regarding each of the acquisitions is set forth below.</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KT Water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of KT Water Development was $7,338, all of which was cash, and was determined in accordance with a fair market value process defined under the Texas Water Code. The transaction was accounted for as a business combination in accordance with Accounting Standards Codification (“ASC”) Topic 805—“Business Combinations.” The transaction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SJW GROUP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STATEMENTS—(Continued)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March 31,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p>
      <w:pPr>
        <w:pStyle w:val="TextBody"/>
        <w:bidi w:val="0"/>
        <w:spacing w:before="0" w:after="0"/>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consideration was allocated to utility plant. The final purchase price allocation was completed during the quarter ended March 31, 2024, with no change from the preliminary purchase price allocation. Transaction costs were not material. The results of KT Water Development are included in SJW Group’s consolidated statements of comprehensive income since the acquisition date and were not material. Pro forma financial information has not been presented because the acquisition was not material to SJW Group’s consolidated financial statements.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KT Water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total purchase price of KT Water Resources of $39,891 and consisted of a $24,491 up-front cash payment and an obligation for a post-closing production payment with an acquisition date fair value of $15,400. Considering transaction costs of $170, the total cost of the acquisition was $40,061. The KT Water Resources acquisition was accounted for as an asset acquisition in accordance with ASC Topic 805.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total cost was allocated as follows based on the fair values of the assets acquired: $28,386 to other intangible asset, $11,684 to nonutility property, and $9 to other current liabilities. The other intangible asset represents indefinite life water rights. The nonutility property consists of wells, land, easements, and construction work in progress.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post-closing production payment represents an obligation to pay a total amount of $29,000 to the seller over a period up to 29 years. The repayment schedule is based on the quantity of groundwater produced from the acquired wells, subject to certain provisions in the purchase agreement. The fair value of the post-closing payment as of the acquisition date was determined by discounting forecasted repayments based on management’s estimates of future groundwater production. The difference between the fair value of $15,400 and the gross obligation of $29,000 was recorded as a debt discount and is being amortized as interest expense using the effective interest method over the life of the obligation. The post-closing production payment obligation is classified as long-term debt in the condensed consolidated balance sheets.</w:t>
      </w:r>
    </w:p>
    <w:p>
      <w:pPr>
        <w:pStyle w:val="TextBody"/>
        <w:bidi w:val="0"/>
        <w:spacing w:before="120" w:after="283"/>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 xml:space="preserve">ITEM 2.MANAGEMENT’S DISCUSSION AND ANALYSIS OF FINANCIAL CONDITION AND RESULTS OF OPERATIONS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(Dollar amounts in thousands, except per share amounts and where otherwise noted)</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The information in this Item 2 should be read in conjunction with the financial information and the notes thereto included in Item 1 of this Form 10-Q and the condensed consolidated financial statements and notes thereto and the related “Management’s Discussion and Analysis of Financial Condition and Results of Operations” contained in SJW Group’s Annual Report on Form 10-K for the year ended December 31, 2023.</w:t>
      </w:r>
    </w:p>
    <w:p>
      <w:pPr>
        <w:pStyle w:val="TextBody"/>
        <w:bidi w:val="0"/>
        <w:spacing w:lineRule="auto" w:line="288" w:before="16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This report contains forward-looking statements within the meaning of the federal securities laws relating to future events and future results of SJW Group and its subsidiaries that are based on current expectations, estimates, forecasts, and projections about SJW Group and its subsidiaries and the industries in which SJW Group and its subsidiaries operate and the beliefs and assumptions of the management of SJW Group. Actual results may differ materially from those currently anticipated and expressed in such forward-looking statements as a result of a number of factors. For more information about such forward-looking statements, including some of the factors that may affect our actual results, please see our disclosures under “Forward-Looking Statements,” and elsewhere in this Form 10-Q, including Part II, Item 1A under “Risk Factors” as well as the disclosures under Part I, Item 1A in SJW Group’s Annual Report on Form 10-K for the year ended December 31, 2023 under “Risk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General: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a holding company with four wholly owned subsidiaries: San Jose Water Company (“SJWC”), SJWNE LLC, SJWTX Holdings, Inc. and SJW Land Company.</w:t>
      </w:r>
    </w:p>
    <w:p>
      <w:pPr>
        <w:pStyle w:val="TextBody"/>
        <w:bidi w:val="0"/>
        <w:spacing w:lineRule="auto" w:line="288" w:before="120" w:after="283"/>
        <w:jc w:val="left"/>
        <w:rPr/>
      </w:pPr>
      <w:r>
        <w:rPr>
          <w:rFonts w:ascii="Times New Roman;sans-serif" w:hAnsi="Times New Roman;sans-serif"/>
          <w:b w:val="false"/>
          <w:color w:val="000000"/>
          <w:sz w:val="20"/>
        </w:rPr>
        <w:t>SJWC is a public utility in the business of providing water service to approximately 232,000 connections that serve a population of approximately one million people in an area comprising approximately 140 square miles in the metropolitan San Jose, California area. The principal business of SJWC consists of the production, purchase, storage, purification, distribution, wholesale, and retail sale of water. SJWC provides water service to customers in portions of the cities of San Jose and Cupertino and in the cities of Campbell, Monte Sereno, and Saratoga and the Town of Los Gatos, and adjacent unincorporated territories, all in the County of Santa Clara in the State of California. SJWC distributes water to customers in accordance with accepted water utility methods which include pumping from storage and gravity feed from high elevation reservoirs. SJWC also provides non-tariffed services under agreements with municipalities and other utilities. These non-tariffed services include water system operations, maintenance agreements, and antenna site le</w:t>
      </w:r>
      <w:r>
        <w:rPr>
          <w:rFonts w:ascii="Times New Roman;sans-serif" w:hAnsi="Times New Roman;sans-serif"/>
          <w:b w:val="false"/>
          <w:color w:val="000000"/>
          <w:sz w:val="20"/>
          <w:shd w:fill="FFFFFF" w:val="clear"/>
        </w:rPr>
        <w:t>ases.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has utility property including land held in fee, impounding reservoirs, diversion facilities, wells, distribution storage, and all water facilities, equipment, office buildings and other property necessary to serve its customers. Under Section 851 of the California Public Utilities Code, properties currently used and useful in providing utilities services cannot be disposed of unless California Public Utilities Commission (“CPUC”) approval is obtained.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also has approximately 234 acres of nonutility property which has been identified as no longer used and useful in providing utility services. The majority of the properties are located in the hillside areas adjacent to SJWC’s various watershed properties.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SJWNE LLC is the holding company for Connecticut Water Service, Inc. (“CTWS”). CTWS, headquartered in Connecticut, serves as a holding company for water utility companies providing water service to approximately 142,000 connections that serve a population of approximately 462,000 people in 81 municipalities throughout Connecticut and Maine and more than 3,000 wastewater connections in Southbury, Connecticut. The subsidiaries held by CTWS that provide utility water services are The Connecticut Water Company (“CWC”) and The Maine Water Company (“MWC”). The remaining two CTWS subsidiaries are Chester Realty, Inc., a real estate company in Connecticut, and New England Water Utility Services, Inc., which provides contract water and sewer operations and other water related services.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properties of CTWS’s subsidiaries consist of land, easements, rights (including water rights), buildings, reservoirs, standpipes, dams, wells, supply lines, water treatment plants, pumping plants, transmission and distribution mains and other facilities and equipment used for the collection, purification, storage and distribution of water throughout Connecticut and Maine. In certain cases, CWC and MWC are or may be a party to limited contractual arrangements for the provision of water supply from neighboring utilities.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SJWTX Holdings, Inc. is the holding company for SJWTX, Inc., doing business as The Texas Water Company (“TWC”), Texas Water Operation Services LLC (“TWOS”) and Texas Water Resources, LLC (“TWR”). TWC is a public utility in the business of providing water service to approximately 28,000 connections that serve approximately 85,000 people and approximately 1,000 wastewater connections. TWC’s service area comprises more than 271 square miles in Bandera, Blanco, Comal, Hays, Kendall, Medina and Travis Counties in the growing region between San Antonio and Austin, Texas. Comal, Kendall and Hays counties are three of the top five growth counties in the United States. TWC also holds a 25% equity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Acequia Water Supply Corporation (“Acequia”). Acequia has been determined to be a variable interest entity within the scope of Accounting Standards Codification Topic 810 with TWC as the primary beneficiary. As a result, Acequia has been consolidated with TWC. TWOS was created for non-tariffed service operations and TWR was formed to hold wholesale water supply assets.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Land Company and Chester Realty, Inc. own undeveloped land and operate commercial buildings in Tennessee, California and Connecticut. SJW Land Company and Chester Realty, Inc. owned the following real properties during the three months ended March 31, 2024:</w:t>
      </w:r>
    </w:p>
    <w:tbl>
      <w:tblPr>
        <w:tblW w:w="10205" w:type="dxa"/>
        <w:jc w:val="left"/>
        <w:tblInd w:w="0" w:type="dxa"/>
        <w:tblLayout w:type="fixed"/>
        <w:tblCellMar>
          <w:top w:w="28" w:type="dxa"/>
          <w:left w:w="28" w:type="dxa"/>
          <w:bottom w:w="28" w:type="dxa"/>
          <w:right w:w="28" w:type="dxa"/>
        </w:tblCellMar>
      </w:tblPr>
      <w:tblGrid>
        <w:gridCol w:w="898"/>
        <w:gridCol w:w="734"/>
        <w:gridCol w:w="743"/>
        <w:gridCol w:w="109"/>
        <w:gridCol w:w="109"/>
        <w:gridCol w:w="109"/>
        <w:gridCol w:w="524"/>
        <w:gridCol w:w="524"/>
        <w:gridCol w:w="531"/>
        <w:gridCol w:w="109"/>
        <w:gridCol w:w="109"/>
        <w:gridCol w:w="109"/>
        <w:gridCol w:w="235"/>
        <w:gridCol w:w="235"/>
        <w:gridCol w:w="236"/>
        <w:gridCol w:w="109"/>
        <w:gridCol w:w="109"/>
        <w:gridCol w:w="109"/>
        <w:gridCol w:w="420"/>
        <w:gridCol w:w="420"/>
        <w:gridCol w:w="421"/>
        <w:gridCol w:w="109"/>
        <w:gridCol w:w="109"/>
        <w:gridCol w:w="109"/>
        <w:gridCol w:w="284"/>
        <w:gridCol w:w="246"/>
        <w:gridCol w:w="569"/>
        <w:gridCol w:w="228"/>
        <w:gridCol w:w="228"/>
        <w:gridCol w:w="228"/>
        <w:gridCol w:w="284"/>
        <w:gridCol w:w="237"/>
        <w:gridCol w:w="672"/>
      </w:tblGrid>
      <w:tr>
        <w:trPr/>
        <w:tc>
          <w:tcPr>
            <w:tcW w:w="898"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 for Three months ended March 31, 2024 of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Real Estate Services</w:t>
            </w:r>
          </w:p>
        </w:tc>
      </w:tr>
      <w:tr>
        <w:trPr/>
        <w:tc>
          <w:tcPr>
            <w:tcW w:w="2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Acreage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w:t>
            </w:r>
          </w:p>
        </w:tc>
        <w:tc>
          <w:tcPr>
            <w:tcW w:w="6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Expense</w:t>
            </w:r>
          </w:p>
        </w:tc>
      </w:tr>
      <w:tr>
        <w:trPr/>
        <w:tc>
          <w:tcPr>
            <w:tcW w:w="2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Warehouse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Knoxville, 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Knoxville, Tennessee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Undeveloped land and parking lot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Knoxville, Tennessee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Undeveloped land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Jose, California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building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Clinton, 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5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building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Guilford, 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Business Strategy for Water Utility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focuses its business initiatives in three strategic areas: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(1)Investing in regional regulated water utility operations to support the health, safety and quality of life of our customers;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(2)Regional non-tariffed water utility-related services provided in accordance with the guidelines established by the CPUC in California, the Public Utilities Regulatory Authority (“PURA”) in Connecticut, the Public Utilities Commission of Texas (“PUCT”) in Texas, and the Maine Public Utilities Commission (“MPUC”) in Maine;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(3)Out-of-region water and utility-related services.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part of our pursuit of the above three strategic areas, we consider from time to time opportunities to acquire businesses and assets. However, we cannot be certain we will be successful in identifying and consummating any strategic business combinations or acquisitions relating to such opportunities. In addition, the execution of our business strategy will expose us to different risks than those associated with the current utility operations. We expect to incur costs in connection with the execution of this strategy and any integration of an acquired business could involve significant costs, the assumption of certain known and unknown liabilities related to the acquired assets, the diversion of management’s time and resources, the potential for a negative impact on our financial position and operating results, entering markets in which we have no or limited direct prior experience and the potential loss of key employees of any acquired company. Any strategic combination or acquisition we decide to undertake may also impact our ability to finance our business, affect our compliance with regulatory requirements, and impose additional burdens on our operations. Any businesses we acquire may not achieve sales, customer growth and projected profitability that would justify the investment. Any difficulties we encounter in the integration process, including the integration of controls necessary for internal control and financial reporting, could interfere with our operations, reduce our operating margins and adversely affect our internal controls. SJW Group cannot be certain that any transaction will be successful or that it will not materially harm operating results or our financial condition.</w:t>
      </w:r>
    </w:p>
    <w:p>
      <w:pPr>
        <w:pStyle w:val="TextBody"/>
        <w:bidi w:val="0"/>
        <w:spacing w:lineRule="auto" w:line="256" w:before="160" w:after="283"/>
        <w:jc w:val="left"/>
        <w:rPr/>
      </w:pPr>
      <w:r>
        <w:rPr>
          <w:rFonts w:ascii="Times New Roman;sans-serif" w:hAnsi="Times New Roman;sans-serif"/>
          <w:b w:val="false"/>
          <w:color w:val="000000"/>
          <w:sz w:val="20"/>
        </w:rPr>
        <w:t xml:space="preserve">Please also see </w:t>
      </w:r>
      <w:hyperlink w:anchor="i9384cc76da1845a69ef7ec03b7cf977f_58">
        <w:r>
          <w:rPr>
            <w:rStyle w:val="InternetLink"/>
            <w:rFonts w:ascii="Times New Roman;sans-serif" w:hAnsi="Times New Roman;sans-serif"/>
            <w:b w:val="false"/>
            <w:color w:val="0000FF"/>
            <w:sz w:val="20"/>
            <w:u w:val="single"/>
          </w:rPr>
          <w:t>Note 10</w:t>
        </w:r>
      </w:hyperlink>
      <w:r>
        <w:rPr>
          <w:color w:val="000000"/>
        </w:rPr>
        <w:t xml:space="preserve"> </w:t>
      </w:r>
      <w:r>
        <w:rPr>
          <w:rFonts w:ascii="Times New Roman;sans-serif" w:hAnsi="Times New Roman;sans-serif"/>
          <w:b w:val="false"/>
          <w:color w:val="000000"/>
          <w:sz w:val="20"/>
        </w:rPr>
        <w:t>of “Notes to Condensed Consolidated Financial Statements” for SJW Group’s recent acquisition activities.</w:t>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Real Estate Services: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real estate investment activity is conducted through SJW Land Company and Chester Realty, Inc. SJW Land Company owns undeveloped land in California and Tennessee and owns and operates commercial buildings in Tennessee. Chester Realty, Inc. owns and operates land and commercial buildings in Connecticut. SJW Land Company and Chester Realty, Inc. manage their acquired income producing and other properties until such time a determination is made to reinvest proceeds from the sale of such properties.</w:t>
      </w:r>
    </w:p>
    <w:p>
      <w:pPr>
        <w:pStyle w:val="TextBody"/>
        <w:bidi w:val="0"/>
        <w:spacing w:before="1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Critical Accounting Policies: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on the accounting policies used and disclosed in our 2023 consolidated financial statements and accompanying notes that were prepared in accordance with accounting principles generally accepted in the United States of America and included as part of our annual report on Form 10-K for the year ended December 31, 2023, that was filed with the Securities and Exchange Commission on February 23,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critical accounting policies are described in Management’s Discussion and Analysis of Financial Condition and Results of Operations included in our annual report on Form 10-K for the year ended December 31, 2023. Our significant accounting policies are described in the notes to the 2023 consolidated financial statements included in our annual report on Form 10-K for the year ended December 31, 2023. There have been no changes to our critical or significant accounting policies during the three months ended March 31, 2024.</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New Accounting Pronouncements: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1 of “Notes to Unaudited Condensed Consolidated Financial Statements” for a discussion of new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Water sales are seasonal in nature and influenced by weather conditions. The timing of precipitation and climatic conditions can cause seasonal water consumption by customers to vary significantly. Due to the seasonal nature of the water business, the operating results for interim periods are not indicative of the operating results for a 12-month period. Revenue is generally higher in the warm, dry summer months when water usage and sales are greater, and lower in the winter months when cooler temperatures and increased precipitation curtail water usage and sales. </w:t>
      </w:r>
    </w:p>
    <w:p>
      <w:pPr>
        <w:pStyle w:val="TextBody"/>
        <w:bidi w:val="0"/>
        <w:spacing w:lineRule="auto" w:line="288" w:before="120" w:after="283"/>
        <w:ind w:left="0" w:right="0" w:firstLine="45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Group’s consolidated net income for the three months ended March 31, 2024 was $11,699, an increase of $169, or approximately 1%, from $11,530 for the same period in 2023. The increase in net income was primarily driven by rate increases in California and Maine, increases in the infrastructure recovery mechanism in Connecticut, and an increase from higher customer usage driven primarily by weather conditions and the end of California mandatory water conservation requirements. These factors were offset by higher water production expenses, increased depreciation and amortization for new utility plant placed in service, and higher interest expense and compensation costs. </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Revenue</w:t>
      </w:r>
    </w:p>
    <w:tbl>
      <w:tblPr>
        <w:tblW w:w="5495" w:type="dxa"/>
        <w:jc w:val="left"/>
        <w:tblInd w:w="0" w:type="dxa"/>
        <w:tblLayout w:type="fixed"/>
        <w:tblCellMar>
          <w:top w:w="28" w:type="dxa"/>
          <w:left w:w="28" w:type="dxa"/>
          <w:bottom w:w="28" w:type="dxa"/>
          <w:right w:w="28" w:type="dxa"/>
        </w:tblCellMar>
      </w:tblPr>
      <w:tblGrid>
        <w:gridCol w:w="749"/>
        <w:gridCol w:w="658"/>
        <w:gridCol w:w="663"/>
        <w:gridCol w:w="281"/>
        <w:gridCol w:w="1101"/>
        <w:gridCol w:w="145"/>
        <w:gridCol w:w="145"/>
        <w:gridCol w:w="145"/>
        <w:gridCol w:w="145"/>
        <w:gridCol w:w="413"/>
        <w:gridCol w:w="413"/>
        <w:gridCol w:w="156"/>
        <w:gridCol w:w="109"/>
        <w:gridCol w:w="109"/>
        <w:gridCol w:w="109"/>
        <w:gridCol w:w="154"/>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Revenue by Segment</w:t>
            </w:r>
          </w:p>
        </w:tc>
        <w:tc>
          <w:tcPr>
            <w:tcW w:w="481" w:type="dxa"/>
            <w:gridSpan w:val="4"/>
            <w:tcBorders/>
          </w:tcPr>
          <w:p>
            <w:pPr>
              <w:pStyle w:val="TableContents"/>
              <w:bidi w:val="0"/>
              <w:spacing w:before="0" w:after="283"/>
              <w:jc w:val="left"/>
              <w:rPr>
                <w:sz w:val="4"/>
                <w:szCs w:val="4"/>
              </w:rPr>
            </w:pPr>
            <w:r>
              <w:rPr>
                <w:sz w:val="4"/>
                <w:szCs w:val="4"/>
              </w:rPr>
            </w:r>
          </w:p>
        </w:tc>
      </w:tr>
      <w:tr>
        <w:trPr/>
        <w:tc>
          <w:tcPr>
            <w:tcW w:w="2070" w:type="dxa"/>
            <w:gridSpan w:val="3"/>
            <w:vMerge w:val="continue"/>
            <w:tcBorders/>
            <w:tcMar>
              <w:top w:w="0" w:type="dxa"/>
              <w:left w:w="0" w:type="dxa"/>
              <w:bottom w:w="0" w:type="dxa"/>
              <w:right w:w="0" w:type="dxa"/>
            </w:tcMar>
            <w:vAlign w:val="center"/>
          </w:tcPr>
          <w:p>
            <w:pPr>
              <w:pStyle w:val="Normal"/>
              <w:bidi w:val="0"/>
              <w:jc w:val="left"/>
              <w:rPr/>
            </w:pPr>
            <w:r>
              <w:rPr/>
            </w:r>
          </w:p>
        </w:tc>
        <w:tc>
          <w:tcPr>
            <w:tcW w:w="29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147,607 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revenue</w:t>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149,382 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137,296 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consolidated operating revenues was due to the following factors:</w:t>
      </w:r>
    </w:p>
    <w:tbl>
      <w:tblPr>
        <w:tblW w:w="5435" w:type="dxa"/>
        <w:jc w:val="left"/>
        <w:tblInd w:w="0" w:type="dxa"/>
        <w:tblLayout w:type="fixed"/>
        <w:tblCellMar>
          <w:top w:w="28" w:type="dxa"/>
          <w:left w:w="28" w:type="dxa"/>
          <w:bottom w:w="28" w:type="dxa"/>
          <w:right w:w="28" w:type="dxa"/>
        </w:tblCellMar>
      </w:tblPr>
      <w:tblGrid>
        <w:gridCol w:w="1053"/>
        <w:gridCol w:w="924"/>
        <w:gridCol w:w="932"/>
        <w:gridCol w:w="211"/>
        <w:gridCol w:w="721"/>
        <w:gridCol w:w="109"/>
        <w:gridCol w:w="109"/>
        <w:gridCol w:w="109"/>
        <w:gridCol w:w="109"/>
        <w:gridCol w:w="203"/>
        <w:gridCol w:w="203"/>
        <w:gridCol w:w="271"/>
        <w:gridCol w:w="109"/>
        <w:gridCol w:w="109"/>
        <w:gridCol w:w="109"/>
        <w:gridCol w:w="154"/>
      </w:tblGrid>
      <w:tr>
        <w:trPr/>
        <w:tc>
          <w:tcPr>
            <w:tcW w:w="105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b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09" w:type="dxa"/>
            <w:gridSpan w:val="3"/>
            <w:vMerge w:val="continue"/>
            <w:tcBorders/>
            <w:tcMar>
              <w:top w:w="0" w:type="dxa"/>
              <w:left w:w="0" w:type="dxa"/>
              <w:bottom w:w="0" w:type="dxa"/>
              <w:right w:w="0" w:type="dxa"/>
            </w:tcMar>
            <w:vAlign w:val="center"/>
          </w:tcPr>
          <w:p>
            <w:pPr>
              <w:pStyle w:val="Normal"/>
              <w:bidi w:val="0"/>
              <w:jc w:val="left"/>
              <w:rPr/>
            </w:pPr>
            <w:r>
              <w:rPr/>
            </w:r>
          </w:p>
        </w:tc>
        <w:tc>
          <w:tcPr>
            <w:tcW w:w="204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Consumption changes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customers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Rate increases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Regulatory mechanisms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operating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Operating Expense</w:t>
      </w:r>
    </w:p>
    <w:tbl>
      <w:tblPr>
        <w:tblW w:w="5484" w:type="dxa"/>
        <w:jc w:val="left"/>
        <w:tblInd w:w="0" w:type="dxa"/>
        <w:tblLayout w:type="fixed"/>
        <w:tblCellMar>
          <w:top w:w="28" w:type="dxa"/>
          <w:left w:w="28" w:type="dxa"/>
          <w:bottom w:w="28" w:type="dxa"/>
          <w:right w:w="28" w:type="dxa"/>
        </w:tblCellMar>
      </w:tblPr>
      <w:tblGrid>
        <w:gridCol w:w="754"/>
        <w:gridCol w:w="662"/>
        <w:gridCol w:w="668"/>
        <w:gridCol w:w="277"/>
        <w:gridCol w:w="1088"/>
        <w:gridCol w:w="143"/>
        <w:gridCol w:w="143"/>
        <w:gridCol w:w="143"/>
        <w:gridCol w:w="143"/>
        <w:gridCol w:w="413"/>
        <w:gridCol w:w="413"/>
        <w:gridCol w:w="156"/>
        <w:gridCol w:w="109"/>
        <w:gridCol w:w="109"/>
        <w:gridCol w:w="109"/>
        <w:gridCol w:w="154"/>
      </w:tblGrid>
      <w:tr>
        <w:trPr/>
        <w:tc>
          <w:tcPr>
            <w:tcW w:w="75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Expense by Segment</w:t>
            </w:r>
          </w:p>
        </w:tc>
        <w:tc>
          <w:tcPr>
            <w:tcW w:w="481" w:type="dxa"/>
            <w:gridSpan w:val="4"/>
            <w:tcBorders/>
          </w:tcPr>
          <w:p>
            <w:pPr>
              <w:pStyle w:val="TableContents"/>
              <w:bidi w:val="0"/>
              <w:spacing w:before="0" w:after="283"/>
              <w:jc w:val="left"/>
              <w:rPr>
                <w:sz w:val="4"/>
                <w:szCs w:val="4"/>
              </w:rPr>
            </w:pPr>
            <w:r>
              <w:rPr>
                <w:sz w:val="4"/>
                <w:szCs w:val="4"/>
              </w:rPr>
            </w:r>
          </w:p>
        </w:tc>
      </w:tr>
      <w:tr>
        <w:trPr/>
        <w:tc>
          <w:tcPr>
            <w:tcW w:w="2084" w:type="dxa"/>
            <w:gridSpan w:val="3"/>
            <w:vMerge w:val="continue"/>
            <w:tcBorders/>
            <w:tcMar>
              <w:top w:w="0" w:type="dxa"/>
              <w:left w:w="0" w:type="dxa"/>
              <w:bottom w:w="0" w:type="dxa"/>
              <w:right w:w="0" w:type="dxa"/>
            </w:tcMar>
            <w:vAlign w:val="center"/>
          </w:tcPr>
          <w:p>
            <w:pPr>
              <w:pStyle w:val="Normal"/>
              <w:bidi w:val="0"/>
              <w:jc w:val="left"/>
              <w:rPr/>
            </w:pPr>
            <w:r>
              <w:rPr/>
            </w:r>
          </w:p>
        </w:tc>
        <w:tc>
          <w:tcPr>
            <w:tcW w:w="2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119,391 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Services</w:t>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w:t>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121,469 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112,118 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 in consolidated operating expense was due to the following factors:</w:t>
      </w:r>
    </w:p>
    <w:tbl>
      <w:tblPr>
        <w:tblW w:w="10205" w:type="dxa"/>
        <w:jc w:val="left"/>
        <w:tblInd w:w="0" w:type="dxa"/>
        <w:tblLayout w:type="fixed"/>
        <w:tblCellMar>
          <w:top w:w="28" w:type="dxa"/>
          <w:left w:w="28" w:type="dxa"/>
          <w:bottom w:w="28" w:type="dxa"/>
          <w:right w:w="28" w:type="dxa"/>
        </w:tblCellMar>
      </w:tblPr>
      <w:tblGrid>
        <w:gridCol w:w="2850"/>
        <w:gridCol w:w="2462"/>
        <w:gridCol w:w="2470"/>
        <w:gridCol w:w="211"/>
        <w:gridCol w:w="616"/>
        <w:gridCol w:w="109"/>
        <w:gridCol w:w="109"/>
        <w:gridCol w:w="109"/>
        <w:gridCol w:w="109"/>
        <w:gridCol w:w="202"/>
        <w:gridCol w:w="204"/>
        <w:gridCol w:w="271"/>
        <w:gridCol w:w="109"/>
        <w:gridCol w:w="109"/>
        <w:gridCol w:w="109"/>
        <w:gridCol w:w="156"/>
      </w:tblGrid>
      <w:tr>
        <w:trPr/>
        <w:tc>
          <w:tcPr>
            <w:tcW w:w="2850" w:type="dxa"/>
            <w:tcBorders/>
            <w:vAlign w:val="center"/>
          </w:tcPr>
          <w:p>
            <w:pPr>
              <w:pStyle w:val="TableContents"/>
              <w:bidi w:val="0"/>
              <w:spacing w:before="0" w:after="283"/>
              <w:jc w:val="left"/>
              <w:rPr>
                <w:sz w:val="4"/>
                <w:szCs w:val="4"/>
              </w:rPr>
            </w:pPr>
            <w:r>
              <w:rPr>
                <w:sz w:val="4"/>
                <w:szCs w:val="4"/>
              </w:rPr>
            </w:r>
          </w:p>
        </w:tc>
        <w:tc>
          <w:tcPr>
            <w:tcW w:w="2462" w:type="dxa"/>
            <w:tcBorders/>
            <w:vAlign w:val="center"/>
          </w:tcPr>
          <w:p>
            <w:pPr>
              <w:pStyle w:val="TableContents"/>
              <w:bidi w:val="0"/>
              <w:spacing w:before="0" w:after="283"/>
              <w:jc w:val="left"/>
              <w:rPr>
                <w:sz w:val="4"/>
                <w:szCs w:val="4"/>
              </w:rPr>
            </w:pPr>
            <w:r>
              <w:rPr>
                <w:sz w:val="4"/>
                <w:szCs w:val="4"/>
              </w:rPr>
            </w:r>
          </w:p>
        </w:tc>
        <w:tc>
          <w:tcPr>
            <w:tcW w:w="2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br/>
              <w:t>2024 vs.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782" w:type="dxa"/>
            <w:gridSpan w:val="3"/>
            <w:vMerge w:val="continue"/>
            <w:tcBorders/>
            <w:tcMar>
              <w:top w:w="0" w:type="dxa"/>
              <w:left w:w="0" w:type="dxa"/>
              <w:bottom w:w="0" w:type="dxa"/>
              <w:right w:w="0" w:type="dxa"/>
            </w:tcMar>
            <w:vAlign w:val="center"/>
          </w:tcPr>
          <w:p>
            <w:pPr>
              <w:pStyle w:val="Normal"/>
              <w:bidi w:val="0"/>
              <w:jc w:val="left"/>
              <w:rPr/>
            </w:pPr>
            <w:r>
              <w:rPr/>
            </w:r>
          </w:p>
        </w:tc>
        <w:tc>
          <w:tcPr>
            <w:tcW w:w="194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Increase/(decrease)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production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surface water use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usage and new customers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 and groundwater extraction charge, energy price change and other production expenses,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Balancing and memorandum accounts cost recovery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water production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and general</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taxes and other non-income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change in operating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782"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Sources of Water Supply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SJWC’s water supply consists of groundwater from wells, surface water from watershed run-off and diversion, reclaimed water, and imported water purchased from Santa Clara Valley Water District (“Valley Water”) under the terms of a master contract with Valley Water expiring in 2051. During normal rainfall years, purchased water provides approximately 40% to 50% of SJWC’s annual production. An additional 40% to 50% of its water supply is pumped from the underground basin which is subject to a groundwater extraction charge paid to Valley Water. Surface supply, which during a normal rainfall year satisfies about 6% to 8% of SJWC’s annual water supply needs, provides approximately 1% of its water supply in a dry year and approximately 14% in a wet year. In dry years, the decrease in availability of water from surface run-off and diversion and the corresponding increase in purchased and pumped water increases production expenses substantially. The opposite is also true where water production expenses decrease in wet years. In both instances, the impacts of surface water, purchased water, groundwater charges and purchased power are tracked in SJWC’s Full Cost Balancing Account authorized in the Decision No. 22-10-005 (“2022 GRC Decision”).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Throughout the three months ended March 31, 2024, water conditions improved across the State of California. As a result, the California Department of Water Resources announced an increase in the State Water Project allocation from 15% to 30% of contract amount for 2024 and the U.S Bureau of Reclamation announced an increase in the Central Valley Project allocation from 65% to 75%. On April 1, 2024, Valley Water’s 10 reservoirs were 37% of capacity, or 99% of restricted capacity, with 20.2 billion gallons of water in storage. Valley Water’s largest reservoir, Anderson, remained drained for a dam seismic retrofit project. Valley Water also reported that the managed groundwater recharge from January to March in the Santa Clara Plain was 146% of the five-year average. The groundwater level in the Santa Clara Plain is approximately three feet higher than March 2023. According to Valley Water, the projected total groundwater storage at the end of 2024 is expected to be in the Normal Stage of the Water Shortage Contingency Plan.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SJWC’s Lake Elsman was 100.8% of capacity with 2.0 billion gallons of water, approximately 160.4% of the five-year seasonal average. In addition, the rainfall at SJWC’s Lake Elsman was measured at 46.31 inches for the period from July 1, 2023 through March 31, 2024, which is 106.7% of the five-year average. SJWC’s Montevina Water Treatment Plant treated 1.3 billion gallons of water through the first quarter, which is 154.6% of the five-year average. SJWC’s Saratoga Water Treatment Plant remains offline until the updated operations plan is granted approval by the California Division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Drinking Water. SJWC believes that its various sources of water supply will be sufficient to meet customer demand through the remainder of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CWC’s water sources vary among the individual systems, but overall, approximately 80% of the total dependable yield comes from surface water supplies and 20% from wells. In addition, CWC has water supply agreements to supplement its water supply with the South Central Connecticut Regional Water Authority and The Metropolitan District that expire in 2058 and 2053, respectively.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TWC’s water supply consists of groundwater from wells and purchased treated and untreated raw water from local water agencies. TWC has long-term agreements with the Guadalupe-Blanco River Authority (“GBRA”), which expire in 2037, 2040, 2044 and 2050. The agreements, which are take-or-pay contracts, provide TWC with an aggregate of 7,650 acre-feet of water per year from Canyon Lake at prices that may be adjusted periodically by GBRA. TWC also has raw water supply agreements with the Lower Colorado River Authority and West Travis Public Utility Agency expiring in 2059 and 2046, respectively, to provide for 350 acre-feet of water per year from Lake Austin and the Colorado River, respectively, at prices that may be adjusted periodically by the agencies. Forty active production wells located in a Comal Trinity Groundwater Conservation District, a regulated portion of the Trinity aquifer, are charged a groundwater pump tax based upon usage.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August 2023, SJWTX Holdings Inc.’s unregulated subsidiary, TWR acquired eight wells and the water rights of KT Water Resources LLC. These wells have been projected to yield an additional 6,000 acre-feet per year or more. TWC staff is currently working on acquiring easements and routing of the waterline and infrastructure needed to get this water into our Triple Peak water system to serve existing customers and planned new developments.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sources at MWC vary among the individual systems, but overall, approximately 90% of the total dependable yield comes from surface water supplies and 10% from wells. MWC has a water supply agreement with the Kennebec Water District expiring in 2040.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 in sources of water supply, in billion gallons, for Water Utility Services:</w:t>
      </w:r>
    </w:p>
    <w:tbl>
      <w:tblPr>
        <w:tblW w:w="7727" w:type="dxa"/>
        <w:jc w:val="left"/>
        <w:tblInd w:w="0" w:type="dxa"/>
        <w:tblLayout w:type="fixed"/>
        <w:tblCellMar>
          <w:top w:w="28" w:type="dxa"/>
          <w:left w:w="28" w:type="dxa"/>
          <w:bottom w:w="28" w:type="dxa"/>
          <w:right w:w="28" w:type="dxa"/>
        </w:tblCellMar>
      </w:tblPr>
      <w:tblGrid>
        <w:gridCol w:w="531"/>
        <w:gridCol w:w="467"/>
        <w:gridCol w:w="471"/>
        <w:gridCol w:w="261"/>
        <w:gridCol w:w="261"/>
        <w:gridCol w:w="261"/>
        <w:gridCol w:w="261"/>
        <w:gridCol w:w="261"/>
        <w:gridCol w:w="261"/>
        <w:gridCol w:w="261"/>
        <w:gridCol w:w="261"/>
        <w:gridCol w:w="261"/>
        <w:gridCol w:w="109"/>
        <w:gridCol w:w="109"/>
        <w:gridCol w:w="109"/>
        <w:gridCol w:w="279"/>
        <w:gridCol w:w="279"/>
        <w:gridCol w:w="281"/>
        <w:gridCol w:w="109"/>
        <w:gridCol w:w="109"/>
        <w:gridCol w:w="109"/>
        <w:gridCol w:w="333"/>
        <w:gridCol w:w="333"/>
        <w:gridCol w:w="833"/>
        <w:gridCol w:w="109"/>
        <w:gridCol w:w="109"/>
        <w:gridCol w:w="109"/>
        <w:gridCol w:w="109"/>
        <w:gridCol w:w="109"/>
        <w:gridCol w:w="109"/>
        <w:gridCol w:w="109"/>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Increase/</w:t>
              <w:br/>
              <w:t>(decrease)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of Total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469" w:type="dxa"/>
            <w:gridSpan w:val="3"/>
            <w:vMerge w:val="continue"/>
            <w:tcBorders/>
            <w:tcMar>
              <w:top w:w="0" w:type="dxa"/>
              <w:left w:w="0" w:type="dxa"/>
              <w:bottom w:w="0" w:type="dxa"/>
              <w:right w:w="0" w:type="dxa"/>
            </w:tcMar>
            <w:vAlign w:val="center"/>
          </w:tcPr>
          <w:p>
            <w:pPr>
              <w:pStyle w:val="Normal"/>
              <w:bidi w:val="0"/>
              <w:jc w:val="left"/>
              <w:rPr/>
            </w:pPr>
            <w:r>
              <w:rPr/>
            </w:r>
          </w:p>
        </w:tc>
        <w:tc>
          <w:tcPr>
            <w:tcW w:w="7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9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(billion gallons)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water</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Groundwater</w:t>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Surface water</w:t>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Reclaimed water</w:t>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source of supply mix were consistent with the changes in the water production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SJWC’s unaccounted-for water on a 12-month-to-date basis for March 31, 2024 and 2023 approximated 7.9% and 7.5%, respectively, as a percentage of total production. The unaccounted-for water estimate is based on the results of past experience and the impact of flows through the system, partially offset by SJWC’s main replacements and lost water reduction programs.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CTWS’s unaccounted-for water on a 12-month-to-date basis for March 31, 2024 and 2023 approximated 13.4% and 13.9%, respectively, as a percentage of total production. The unaccounted-for water estimate is based on the results of past experience and the impact of flows through CTWS’s systems, unadjusted for any required system flushing, partially offset by Water Infrastructure Conservation Adjustment and Water Infrastructure Surcharge main replacement programs and lost water reduction initiatives.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Water Production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change in water production expenses of $4,775 for the three months ended March 31, 2024, compared to the same period in 2023, was primarily attributable to increases in customer usage, average per unit costs for purchased water, groundwater extraction, and other production expenses and increases resulting to the surface water mix net of regulatory adjustments. Effective July 1, 2023, Valley Water increased the unit price of purchased water by approximately 14% and the groundwater extraction charge by approximately 15%. </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Operating Expenses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excluding water production expenses, increased $4,576 for the three months ended March 31, 2024, compared to the same period in 2023. The increase was primarily attributable to an increase in depreciation and amortization for new utility plant placed in service and increased compensation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(Expense) Income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compared to the same period in 2023, the change in other (expense) income was primarily due to an increase in interest expense due to higher interest rates and higher average balances on lines of credit borrowings, and an increase in long-term debt balances, offset by decreases in pension non-service cost.</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Provision for Income Taxes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compared to the same period in 2023, income tax expense increased by $1,153. The effective consolidated income tax rates were 16% and 9% for the three months ended March 31, 2024 and 2023, respectively. The higher income tax expense and effective tax rate for the three months ended March 31, 2024 were primarily due to tax deficiencies recorded in the first quarter of 2024 for share-based payments and other discrete tax items.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Regulation and Rates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Almost all of the operating revenue of SJW Group results from the sale of water at rates authorized by the subsidiaries’ respective state utilities commissions. The state utilities commissions set rates that are intended to provide revenue sufficient to recover operating expenses and the opportunity to achieve a specified return on common equity. The timing of rate decisions could have an impact on the results of operations.</w:t>
      </w:r>
    </w:p>
    <w:p>
      <w:pPr>
        <w:pStyle w:val="TextBody"/>
        <w:bidi w:val="0"/>
        <w:spacing w:lineRule="auto" w:line="256" w:before="160" w:after="283"/>
        <w:jc w:val="left"/>
        <w:rPr/>
      </w:pPr>
      <w:r>
        <w:rPr>
          <w:rFonts w:ascii="Times New Roman;sans-serif" w:hAnsi="Times New Roman;sans-serif"/>
          <w:b w:val="false"/>
          <w:color w:val="000000"/>
          <w:sz w:val="20"/>
        </w:rPr>
        <w:t xml:space="preserve">Please also see </w:t>
      </w:r>
      <w:hyperlink w:anchor="i9384cc76da1845a69ef7ec03b7cf977f_34">
        <w:r>
          <w:rPr>
            <w:rStyle w:val="InternetLink"/>
            <w:rFonts w:ascii="Times New Roman;sans-serif" w:hAnsi="Times New Roman;sans-serif"/>
            <w:b w:val="false"/>
            <w:color w:val="0000FF"/>
            <w:sz w:val="20"/>
            <w:u w:val="single"/>
          </w:rPr>
          <w:t>Note 2</w:t>
        </w:r>
      </w:hyperlink>
      <w:r>
        <w:rPr>
          <w:color w:val="000000"/>
        </w:rPr>
        <w:t xml:space="preserve"> </w:t>
      </w:r>
      <w:r>
        <w:rPr>
          <w:rFonts w:ascii="Times New Roman;sans-serif" w:hAnsi="Times New Roman;sans-serif"/>
          <w:b w:val="false"/>
          <w:color w:val="000000"/>
          <w:sz w:val="20"/>
        </w:rPr>
        <w:t>of “Notes to Condensed Consolidated Financial Statements.”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California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CPUC approved the settlement in SJWC’s 2021 General Rate Case application on October 6, 2022 and issued 2022 GRC Decision on October 11, 2022. SJWC received authority for an increase of revenue requirement by $25,074 or 6.03% in 2022, $12,955 or 2.94% in 2023, and $16,102 or 3.56% in 2024. The application included requests to recover $18,174 from balancing and memorandum accounts and authorization for a $350,000 capital budget. Additionally, it further aligned authorized and actual consumption, particularly for business customers, addressed the water supply mix variability, and provided greater revenue recovery in the fixed charge.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601 on October 13, 2023, to inform the CPUC that the Water Cost of Capital Mechanism (“WCCM”) authorized in Decision No. 23-06-025 required an update to SJWC’s authorized rate of return effective January 1, 2024. The filing requested an adjusted return on equity of 10.01%, a cost of debt of 5.28%, and a resulting authorized rate of return of 7.86%. Advice Letter No. 601 was approved with an effective date of January 1, 2024. Separate from the filing, the return on equity was further adjusted by a 20 bps reduction for the reimplementation of the Water Conservation Memorandum Account resulting in an overall rate of return of 7.75%.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603 on November 14, 2023, to establish a Group Insurance Balancing Account to track the difference between the company’s authorized versus actual costs for medical, dental, and opt-out insurance expenses. Advice Letter No. 603 was approved with an effective date of January 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 filed Advice Letter No. 605 on November 21, 2023, to increase the authorized revenue requirement by $21,270 or 4.16% for the attrition year increase in accordance with the 2022 GRC Decision and the adjusted Rate of Return approved in Advice Letter No. 601. Advice Letter No. 605 was approved with an effective date of January 1,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15, 2023, SJWC, along with three other California water utilities, filed a joint request for one-year deferment on the cost of capital filings which would otherwise be due on May 1, 2024. Postponing the filing a year alleviates administrative processing costs on the utilities as well as the CPUC staff, and provide relief for both CPUC and utility resources already strained by numerous other proceedings. The request is conditioned on leaving the current WCCM in place such that any adjustments will be made to the respective utilities’ cost of capital during the one-year deferment based on the mechanism. The request was approved on February 2,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2, 2024, SJWC filed General Rate Case Application No. 24-01-001 with the CPUC to increase rates charged for water service by $55,196 or 11.11% in 2025, by $22,041 or 3.99% in 2026, and by $25,809 or 4.49% in 2027. The application proposed a $540,000 three-year capital budget and includes requests to recover $23,462 from balancing and memorandum accounts, further alignment between actual and authorized usage, and a shift to greater revenue collection in the service charge. The application will undergo a year-long review process and new rates, if approved, are expected to be effective January 1, 2025.</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u w:val="single"/>
          <w:shd w:fill="FFFFFF" w:val="clear"/>
        </w:rPr>
        <w:t>Connecticut</w:t>
      </w:r>
      <w:r>
        <w:rPr>
          <w:color w:val="000000"/>
          <w:u w:val="single"/>
        </w:rPr>
        <w:t xml:space="preserve"> </w:t>
      </w:r>
      <w:r>
        <w:rPr>
          <w:rFonts w:ascii="Times New Roman;sans-serif" w:hAnsi="Times New Roman;sans-serif"/>
          <w:b w:val="false"/>
          <w:i/>
          <w:color w:val="000000"/>
          <w:sz w:val="20"/>
          <w:u w:val="single"/>
        </w:rPr>
        <w:t>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October 3, 2023, CWC filed an application with PURA to adjust customer rates. If PURA approves the request as proposed, annual revenues of CWC will increase by approximately $21,400, or 18.1%, over current authorized revenues and would be effective on or about July 1, 2024. A final decision is scheduled for June 28,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14, 2023, CWC submitted an application to PURA for the approval to issue unsecured notes in the amount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$25,000. A decision from PURA approving the application was received on January 10,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26, 2024, CWC filed its 2023 Water Infrastructure Conservation Adjustment (“WICA”) reconciliation with PURA. The reconciliation, approved by PURA on March 27, 2024 and effective for 12 months beginning April 1, 2024, replaced the expiring 2022 reconciliation credit of 0.16% with a credit of 0.13%. The cumulative WICA surcharge as of April 1, 2024 is 7.41%, collecting $7,835 on an annual basis.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2024, CWC filed its 2023 Water Revenue Adjustment (“WRA”). The mechanism reconciles 2023 revenues as authorized in the CWC’s most recent rate case. The 2023 WRA, as approved by PURA on March 11, 2024 and effective for 12 months beginning on April 1, 2024, imposed a 2.11% sur-credit on customer bills to refund the 2022 revenues over-collection. </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Texas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TWC has no current general rate case pending. However, it filed its application to establish a System Improvement Charge (“SIC”) with the PUCT under Docket No. 54430 on December 30, 2022. SIC filings are used to include certain utility plant additions made since 2020 to its rate base, thereby increasing revenue and avoiding the immediate need for a general rate case. On March 21, 2024, the PUCT filed the final order approving TWC’s request to implement its SIC. As a result of the final order, the SIC is projected to increase TWC’s water revenue by $1,574 and sewer revenue by $28 within one year of the approval. Additionally, TWC is required to file a general rate case within four years. TWC will incrementally increase its SIC annually until its next rate case. Notwithstanding the SIC filing, TWC will continue to file its annual adjustments for the Water Pass-through Charges (“WPC”) for Canyon Lake, Deer Creek and Kendall West customers. All water supply cost increases are recoverable when the next annual WPC adjustment for each system is filed.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10, 2023, TWC filed an application with the PUCT to acquire the Elm Ridge water system that serves 21 residential customers. TWC has asked for filed rate doctrine treatment, which allows the acquiring utility’s current rates to be applied at the time of acquisition. On December 12, 2023, the Administrative Law Judge filed Order No. 11, which allowed TWC to proceed and the acquisition closed on January 26, 2024. The final order, which transfers the Certificate of Convenience and Necessity (“CCN”) and allows filed rate doctrine, is expected to be approved during the second quarter of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July 24, 2023, the PUCT approved TWC's application to acquire KT Water Development Ltd. (“KT Water Development”). KT Water Development provides service to approximately 570 residential water connections. On August 14, 2023, TWC closed on the acquisition. On March 7, 2024, the PUCT filed the final order which transferred the CCN to TWC, approved the fair market value, and allowed TWC to charge its existing rates to the customers of KT Water Development.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January 5, 2024, TWC filed an application with the PUCT to acquire the 3009 Water Company LLC water system that serves approximately 270 residential connections. TWC requested fair market value and to apply TWC’s existing rates to the customers being acquired. TWC expects to receive approval to close on the acquisition during the third quarter of 2024.</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Maine Regulatory Affairs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rates approved in the Biddeford Saco division by the April 5, 2022 stipulated agreement, which authorized a rate increase of $6,313, or 72.5% went into effect on July 1, 2022. The Saco River Drinking Water Resource Center began supplying the water distribution system on June 16, 2022. As part of the stipulated agreement, MWC agreed to file a final phase of the rate case by April 1, 2023. The third filing was submitted on March 31, 2023. Step 3 of the planned multi-year rate filings for the Saco River Drinking Water Resource Center was filed in accordance with the MPUC order on March 31, 2023. The filing requested an increase in revenue requirement of $2,949, or 19.9% and requested that the increase be implemented over two years with a 12% increase effective July 1, 2023 followed by a 9% increase effective July 1, 2024 with a slight decrease in year three to reach the overall 19.9% requested. On August 25, 2023, the MPUC issued an order granting a temporary rate increase of $1,495 or 10% while the case and the Company’s full request were litigated. The company reached a settlement agreement with staff and the Office of the Public Advocate and filed a stipulated settlement agreement with the MPUC on December 22, 2023. The MPUC approved the stipulation in deliberations on January 5, 2024, with an increase in authorized annual revenue of $2,603, or 17.6%, effective January 1, 2024. The Biddeford and Saco division’s increase in rates is based on an authorized return on equity of 9.5% along with a capital structure of 49% debt and 51% equity. This return on equity and capital structure will be used for any future Water Infrastructure Surcharge (“WISC”) calculations for all divisions until the MPUC has authorized or approved a different return on equity structure in a different proceeding.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30, 2023, MWC filed a WISC for the Camden-Rockland division. The requested surcharge is 2.34% or $158. The MPUC issued an order approving the surcharge on March 22, 2024.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Regulatory Matters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2024, the U.S. Environmental Protection Agency issued final new national primary drinking water regulations for six PFAS. The regulations impose maximum contaminant levels and monitoring requirements for the nation’s water systems for six PFAS chemicals under the Safe Drinking Water Act. The final regulation requires water systems to comply with PFAS monitoring and reporting requirements by 2027, and to comply with the maximum contaminant levels by 2029. SJW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estimates capital expenditures of approximately $230,000 for treatment based on the maximum contaminant levels in the previously proposed regulation. See discussion below under “Liquidity” for additional information on capital expenditures.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ans-serif" w:hAnsi="Times New Roman;sans-serif"/>
          <w:b/>
          <w:color w:val="000000"/>
          <w:sz w:val="20"/>
          <w:u w:val="single"/>
        </w:rPr>
      </w:pPr>
      <w:r>
        <w:rPr>
          <w:rFonts w:ascii="Times New Roman;sans-serif" w:hAnsi="Times New Roman;sans-serif"/>
          <w:b/>
          <w:color w:val="000000"/>
          <w:sz w:val="20"/>
          <w:u w:val="single"/>
        </w:rPr>
        <w:t>Liquidity:</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SJW Group generated cash flows from operations of approximately $51,200, compared to approximately $50,600 for the same period in 2023. Cash flow from operations is primarily generated by net income from revenue producing activities, adjusted for non-cash expenses for depreciation and amortization, deferred income taxes, stock-based compensation, allowance for equity funds used during construction, gains or losses on the sale of assets, and changes in working capital items. Cash flow from operations increased by approximately $600. This increase was the result of a combination of the following factors: (1) an increase in collections from accounts receivable and accrued unbilled utility revenue of $3,700, and (2) increased tax accruals of $2,400 compared to the prior period, offset by (3) a decrease of $2,800 attributable to changes in payments of amounts previously invoiced and accrued including accrued production costs, (4) a decrease of $2,600 attributable to changes in regulatory assets and liabilities, including the effect of lower surcharge collections on balancing and memorandum accounts, and (5) general working capital and net income, adjusted for non-cash items, decreased by $100.</w:t>
      </w:r>
    </w:p>
    <w:p>
      <w:pPr>
        <w:pStyle w:val="TextBody"/>
        <w:bidi w:val="0"/>
        <w:spacing w:lineRule="auto" w:line="288" w:before="120" w:after="283"/>
        <w:jc w:val="left"/>
        <w:rPr/>
      </w:pPr>
      <w:r>
        <w:rPr>
          <w:rFonts w:ascii="Times New Roman;sans-serif" w:hAnsi="Times New Roman;sans-serif"/>
          <w:b w:val="false"/>
          <w:color w:val="000000"/>
          <w:sz w:val="20"/>
        </w:rPr>
        <w:t xml:space="preserve">As of March 31, 2024, Water Utility Services’ write-offs for uncollectible accounts represented less than 1% of its total revenue, which decreased from 2% as of March 31, 2023. Management believes that the collection rate will continue for its accounts receivables as service disconnections return to normal operations. </w:t>
      </w:r>
      <w:r>
        <w:rPr>
          <w:rFonts w:ascii="Times New Roman;sans-serif" w:hAnsi="Times New Roman;sans-serif"/>
          <w:b w:val="false"/>
          <w:color w:val="000000"/>
          <w:sz w:val="20"/>
          <w:shd w:fill="FFFFFF" w:val="clear"/>
        </w:rPr>
        <w:t>On December 28, 2023, SJWC submitted the application to receive $10,237 through the State of California Water and Wastewater Arrearages Payment Program to relieve outstanding payment delinquencies for customer accounts greater than 60-days past due as of December 31, 2022. We anticipate the funds to be received in the second quarter of 2024 after the State of California Water and Wastewater Arrearages Payment Program completes the review of this application.</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SJW Group used cash flows from investing activities of approximately $74,300, compared to approximately $55,000 for the same period in 2023. This increase was primarily driven by additions to utility plant. SJW Group used approximately: (1) $68,900 of cash for company-funded utility capital expenditures and (2) $4,600 for developer-funded utility capital expenditures during the three months ended March 31, 2024. For the same period in 2023, SJW Group used approximately: (1) 52,384 of cash for company-funded utility capital expenditures and (2) 2,703 for developer-funded utility capital expenditures.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Water Utility Services’ estimated utility capital expenditures for 2024, exclusive of capital expenditures financed by customer contributions and advances, are anticipated to be approximately $332,000. As of March 31, 2024, approximately $68,900 or 21% of the $332,000 has been invested.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Water Utility Services’ capital expenditures are incurred in connection with normal upgrading and expansion of existing facilities and to comply with environmental regulations. Over the next five years, Water Utility Services expects to incur approximately $1,621,000 in capital expenditures, which includes replacement of pipes and mains, maintaining water systems, and installing PFAS treatment. A significant portion of this amount is subject to future respective state regulatory utility commissions’ approval. Capital expenditures have the effect of increasing utility plant rate base on which Water Utility Services earns a return. Water Utility Services actual capital expenditures may vary from their projections due to changes in the expected demand for services, weather patterns, actions by governmental agencies, and general economic conditions. Total additions to utility plant normally exceed company-financed additions as a result of new facilities construction funded with advances from developers and contributions in aid of construction.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Water Utility Services’ distribution systems were constructed during the period from the early 1900’s through today. Expenditure levels for renewal and modernization will occur as the components reach the end of their useful lives. In most cases, replacement costs will significantly exceed the original installation costs of the retired assets due to increases in the costs of goods and services and increased regulation.</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Cash Flow from 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March 31, 2024 increased by approximately $2,500 from the same period in the prior year, primarily as a result of (1) an increase in net borrowings and repayments on our lines of credit of $125,500, offset by (2) a decrease in net borrowings and repayments on long-term debt of $85,000, and (3) a decrease in net proceeds from our common stock equity offerings of $34,000.</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u w:val="single"/>
        </w:rPr>
      </w:pPr>
      <w:r>
        <w:rPr>
          <w:rFonts w:ascii="Times New Roman;sans-serif" w:hAnsi="Times New Roman;sans-serif"/>
          <w:b/>
          <w:color w:val="000000"/>
          <w:sz w:val="20"/>
          <w:u w:val="single"/>
        </w:rPr>
        <w:t>Sources of Capital: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ability to finance future construction programs and sustain dividend payments depends on its ability to maintain or increase internally generated funds and attract external financing. The level of future earnings and the related cash flow from operations is dependent, in large part, upon the timing and outcome of regulatory proceedings.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Short-term Financing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and its subsidiaries have unsecured line of credit agreements where borrowings are used to refinance existing debt, for working capital, and for general corporate purposes. </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summary of the line of credit agreements as of March 31, 2024 are as follows:</w:t>
      </w:r>
    </w:p>
    <w:tbl>
      <w:tblPr>
        <w:tblW w:w="9406" w:type="dxa"/>
        <w:jc w:val="left"/>
        <w:tblInd w:w="0" w:type="dxa"/>
        <w:tblLayout w:type="fixed"/>
        <w:tblCellMar>
          <w:top w:w="28" w:type="dxa"/>
          <w:left w:w="28" w:type="dxa"/>
          <w:bottom w:w="28" w:type="dxa"/>
          <w:right w:w="28" w:type="dxa"/>
        </w:tblCellMar>
      </w:tblPr>
      <w:tblGrid>
        <w:gridCol w:w="1042"/>
        <w:gridCol w:w="917"/>
        <w:gridCol w:w="920"/>
        <w:gridCol w:w="449"/>
        <w:gridCol w:w="449"/>
        <w:gridCol w:w="451"/>
        <w:gridCol w:w="109"/>
        <w:gridCol w:w="109"/>
        <w:gridCol w:w="109"/>
        <w:gridCol w:w="211"/>
        <w:gridCol w:w="826"/>
        <w:gridCol w:w="109"/>
        <w:gridCol w:w="109"/>
        <w:gridCol w:w="109"/>
        <w:gridCol w:w="109"/>
        <w:gridCol w:w="564"/>
        <w:gridCol w:w="564"/>
        <w:gridCol w:w="566"/>
        <w:gridCol w:w="109"/>
        <w:gridCol w:w="109"/>
        <w:gridCol w:w="109"/>
        <w:gridCol w:w="426"/>
        <w:gridCol w:w="400"/>
        <w:gridCol w:w="531"/>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Line Limit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Unused Portion</w:t>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Syndicated credit agreement:</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TWC</w:t>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17,000 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syndicated credit agreement</w:t>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162,000 </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138,000 </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 credit agreement</w:t>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1,252 </w:t>
            </w:r>
          </w:p>
        </w:tc>
        <w:tc>
          <w:tcPr>
            <w:tcW w:w="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 credit agreement</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40,000 </w:t>
            </w:r>
          </w:p>
        </w:tc>
        <w:tc>
          <w:tcPr>
            <w:tcW w:w="5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210,748 </w:t>
            </w:r>
          </w:p>
        </w:tc>
        <w:tc>
          <w:tcPr>
            <w:tcW w:w="5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139,252 </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cost of borrowing on the lines of credit averaged 6.54% compared to 5.74% in the same period in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of SJW Group’s and subsidiaries’ lines of credit contain customary representations, warranties and events of default, as well as certain restrictive covenants customary for facilities of this type, including restrictions on indebtedness, liens, acquisitions and investments, restricted payments, asset sales, and fundamental changes. All of the lines of credit also include certain customary financial covenants such as a funded debt to capitalization ratio and a minimum interest coverage ratio. As of March 31, 2024, SJW Group and its subsidiaries were in compliance with all covenants on their lines of credit.</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Long-term Financing Agreements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November 15, 2023, CWC entered into a note purchase agreement with certain affiliates of American United Life Insurance, The State Life Insurance, Mutual of Omaha Insurance, and United of Omaha Life Insurance, pursuant to which the company sold an aggregate principal amount of $25,000 of its 6.46% Senior Notes, Series 2023 (“Series 2023 Notes”). The Series 2023 Notes are unsecured obligations of CWC and are due on January 1, 2054. Interest is payable semi-annually in arrears on January 15th and July 15th of each year. The closing of the notes purchase agreement occurred on January 22,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debt and credit agreements of SJW Group and its subsidiaries contain various financial and other covenants. Non-compliance with these covenants could result in accelerated due dates and termination of the agreements. In addition, the credit agreements contain customary representations and warranties and are subject to customary events of default, which may result in the outstanding debt becoming immediately due and payable. As of March 31, 2024, SJW Group and its subsidiaries were in compliance with all covenants in their long-term debt agreements.</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Equity Financing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 2023, SJW Group entered into Amendment No. 1 to the equity distribution agreement (the “Equity Distribution Agreement”), dated November 17, 2021, between SJW Group and J.P. Morgan Securities LLC, Janney Montgomery Scott LLC, RBC Capital Markets, LLC and Wells Fargo Securities, LLC (each a “Sales Agent” and, collectively, the “Sales Agents”), pursuant to which SJW Group increased the aggregate gross sales price of shares of SJW Group’s common stock, $0.001 par value per share, that may be sold under the Equity Distribution Agreement from $100,000 to $240,000. For the three months ended March 31, 2024, SJW Group issued and sold a total of 126,025 shares of common stock with a weighted average price of $57.13 per share and received $7,006 in net proceeds under the Equity Distribution Agreement. Since the inception of the Equity Distribution Agreement, SJW Group has issued and sold 2,130,682 shares of common stock with a weighted average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price of $72.60 for a total net proceeds of $151,004 and has $85,309 remaining to issue from the sale of shares as of March 31, 2024 under the Equity Distribution Agreement. </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shd w:fill="FFFFFF" w:val="clear"/>
        </w:rPr>
      </w:pPr>
      <w:r>
        <w:rPr>
          <w:rFonts w:ascii="Times New Roman;sans-serif" w:hAnsi="Times New Roman;sans-serif"/>
          <w:b w:val="false"/>
          <w:i/>
          <w:color w:val="000000"/>
          <w:sz w:val="20"/>
          <w:u w:val="single"/>
          <w:shd w:fill="FFFFFF" w:val="clear"/>
        </w:rPr>
        <w:t>Credit Rating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condition of the capital and credit markets or the strength of financial institutions could impact SJW Group’s ability to draw on its lines of credit, issue long-term debt, sell its equity or earn interest income. In addition, government policies, the state of the credit markets and other factors could result in increased interest rates, which would increase SJW Group’s cost of capital. While our ability to obtain financing will continue to be a risk, we believe that based on our 2024 and 2023 activities, we will have access to the external funding sources necessary to implement our ongoing capital investment programs in the future. SJW Group, CTWS and CWC were put on negative watch on September 19, 2023. Standard &amp; Poor’s noted the change in outlook is due to recent regulatory and legislative developments in Connecticut that are not consistent with Standard &amp; Poor’s view of the regulatory framework for investor owned utilities.</w:t>
      </w:r>
    </w:p>
    <w:p>
      <w:pPr>
        <w:pStyle w:val="TextBody"/>
        <w:bidi w:val="0"/>
        <w:spacing w:lineRule="auto" w:line="288" w:before="12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 are the current Standard &amp; Poor’s Rating Service assigned company ratings:</w:t>
      </w:r>
    </w:p>
    <w:tbl>
      <w:tblPr>
        <w:tblW w:w="3176" w:type="dxa"/>
        <w:jc w:val="left"/>
        <w:tblInd w:w="0" w:type="dxa"/>
        <w:tblLayout w:type="fixed"/>
        <w:tblCellMar>
          <w:top w:w="28" w:type="dxa"/>
          <w:left w:w="28" w:type="dxa"/>
          <w:bottom w:w="28" w:type="dxa"/>
          <w:right w:w="28" w:type="dxa"/>
        </w:tblCellMar>
      </w:tblPr>
      <w:tblGrid>
        <w:gridCol w:w="374"/>
        <w:gridCol w:w="328"/>
        <w:gridCol w:w="333"/>
        <w:gridCol w:w="109"/>
        <w:gridCol w:w="109"/>
        <w:gridCol w:w="109"/>
        <w:gridCol w:w="200"/>
        <w:gridCol w:w="200"/>
        <w:gridCol w:w="201"/>
        <w:gridCol w:w="109"/>
        <w:gridCol w:w="109"/>
        <w:gridCol w:w="109"/>
        <w:gridCol w:w="259"/>
        <w:gridCol w:w="259"/>
        <w:gridCol w:w="368"/>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Entity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Outlook</w:t>
            </w:r>
          </w:p>
        </w:tc>
      </w:tr>
      <w:tr>
        <w:trPr/>
        <w:tc>
          <w:tcPr>
            <w:tcW w:w="10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Stable</w:t>
            </w:r>
          </w:p>
        </w:tc>
      </w:tr>
      <w:tr>
        <w:trPr/>
        <w:tc>
          <w:tcPr>
            <w:tcW w:w="10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CTWS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r>
        <w:trPr/>
        <w:tc>
          <w:tcPr>
            <w:tcW w:w="1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Negative</w:t>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is subject to market risks in the normal course of business, including changes in interest rates, pension plan asset values, and equity prices. The exposure to changes in interest rates can result from the issuance of debt and short-term funds obtained through the company’s variable rate lines of credit. SJW Group’s subsidiaries sponsor noncontributory pension and other post-retirement plans for its employees. Pension and other post-retirement costs and the funded status of the plans may be affected by a number of factors including the discount rate, mortality rates of plan participants, investment returns on plan assets, and pension reform legislation. </w:t>
      </w:r>
    </w:p>
    <w:p>
      <w:pPr>
        <w:pStyle w:val="TextBody"/>
        <w:bidi w:val="0"/>
        <w:spacing w:lineRule="auto" w:line="288" w:before="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SJW Group has no derivative financial instruments, financial instruments with significant off-balance sheet risks, or financial instruments with concentrations of credit risk. </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pPr>
      <w:r>
        <w:rPr>
          <w:rFonts w:ascii="Times New Roman;sans-serif" w:hAnsi="Times New Roman;sans-serif"/>
          <w:b/>
          <w:color w:val="000000"/>
          <w:sz w:val="20"/>
        </w:rPr>
        <w:t>ITEM 4.</w:t>
      </w:r>
      <w:r>
        <w:rPr>
          <w:color w:val="000000"/>
        </w:rPr>
        <w:t> </w:t>
      </w:r>
      <w:r>
        <w:rPr>
          <w:rFonts w:ascii="Times New Roman;sans-serif" w:hAnsi="Times New Roman;sans-serif"/>
          <w:b/>
          <w:color w:val="000000"/>
          <w:sz w:val="20"/>
        </w:rPr>
        <w:t>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Group’s management, with the participation of its Chief Executive Officer and Chief Financial Officer, evaluated the effectiveness of SJW Group’s disclosure controls and procedures (as defined in Rules 13a-15(e) and 15d-15(e) under the Securities Exchange Act of 1934, as amended, the “Exchange Act”), as of the end of the period covered by this report. Based on that evaluation, the Chief Executive Officer and Chief Financial Officer concluded that SJW Group’s disclosure controls and procedures as of the end of the period covered by this report have been designed and are functioning effectively to provide reasonable assurance that the information required to be disclosed by SJW Group in the reports that it files or submits under the Exchange Act is recorded, processed, summarized, and reported within the time periods specified in the SEC’s rules and forms, and that such information is accumulated and communicated to management, including our Chief Executive Officer and Chief Financial Officer, or persons performing similar functions, as appropriate to allow timely decisions regarding required disclosure. SJW Group believes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has been no change in internal control over financial reporting during the first fiscal quarter of 2024 that has materially affected, or is reasonably likely to materially affect, the internal controls over financial reporting of SJW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is subject to ordinary routine litigation incidental to its business. In October 2023, The Connecticut Water Company, a subsidiary of SJW Group, was named as a defendant in a class action lawsuit alleging that the water provided by Connecticut Water contained contaminants. Connecticut Water intends to vigorously defend itself in this lawsuit. There are no pending legal proceedings to which SJW Group or any of its subsidiaries is a party, or to which any of its properties is the subject, that are expected to have a material effect on SJW Group’s business, financial position, results of operations or cash flows.</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other information set forth in this report, you should carefully consider the factors discussed in the “Risk Factors” in SJW Group’s annual report on Form 10-K for the year ended December 31, 2023 and our other public filings, which could materially affect our business, financial condition or future results. There have been no material changes from risk factors previously disclosed in “Risk Factors” in SJW Group’s annual report on Form 10-K for the year ended December 31, 2023.</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left"/>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Quarterly Dividend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April 24, 2024, the Board of Directors of SJW Group declared the regular quarterly dividend of $0.40 per share of common stock. The dividend will be paid on June 3, 2024, to stockholders of record as of the close of business on May 6, 2024.</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Insider Trading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the quarter ended March 31, 2024, none of our directors or officers (as defined in Rule 16a-1(f) of the Exchange Act) adopted or terminated a plan for the purchase or sale of our securities intended to satisfy the affirmative defense conditions of Rule 10b5-1(c) or a non-Rule 10b5-1 trading arrangement for the purchase or sale of our securities, within the meaning of Item 408 of Regulation S-K.</w:t>
      </w:r>
    </w:p>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Information Web Sites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SJW Group posts information about the operating and financial performance of SJW Group and its subsidiaries on its web sites at www.sjwgroup.com, www.sjwater.com, www.ctwater.com, www.txwaterco.com, and www.mainewater.com from time to time. The information on our web sites is not a part of and should not be considered incorporated by reference into this Form 10-Q.</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6.</w:t>
      </w:r>
      <w:r>
        <w:rPr>
          <w:rFonts w:ascii="Times New Roman;sans-serif" w:hAnsi="Times New Roman;sans-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89"/>
        <w:gridCol w:w="255"/>
        <w:gridCol w:w="257"/>
        <w:gridCol w:w="109"/>
        <w:gridCol w:w="109"/>
        <w:gridCol w:w="109"/>
        <w:gridCol w:w="2717"/>
        <w:gridCol w:w="2618"/>
        <w:gridCol w:w="3742"/>
      </w:tblGrid>
      <w:tr>
        <w:trPr/>
        <w:tc>
          <w:tcPr>
            <w:tcW w:w="28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7"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42" w:type="dxa"/>
            <w:tcBorders/>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33124xex311.htm">
              <w:r>
                <w:rPr>
                  <w:rStyle w:val="InternetLink"/>
                  <w:rFonts w:ascii="Times New Roman;sans-serif" w:hAnsi="Times New Roman;sans-serif"/>
                  <w:b w:val="false"/>
                  <w:color w:val="0000FF"/>
                  <w:sz w:val="20"/>
                  <w:u w:val="single"/>
                </w:rPr>
                <w:t>Certification Pursuant to Rule 13a-14(a)/15d-14(a) by Chairman, President and Chief Executive Officer.</w:t>
              </w:r>
            </w:hyperlink>
            <w:r>
              <w:rPr>
                <w:color w:val="000000"/>
              </w:rPr>
              <w:t xml:space="preserve"> </w:t>
            </w:r>
            <w:r>
              <w:rPr>
                <w:rFonts w:ascii="Times New Roman;sans-serif" w:hAnsi="Times New Roman;sans-serif"/>
                <w:b w:val="false"/>
                <w:color w:val="000000"/>
                <w:sz w:val="20"/>
              </w:rPr>
              <w:t>(1)</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33124xex312.htm">
              <w:r>
                <w:rPr>
                  <w:rStyle w:val="InternetLink"/>
                  <w:rFonts w:ascii="Times New Roman;sans-serif" w:hAnsi="Times New Roman;sans-serif"/>
                  <w:b w:val="false"/>
                  <w:color w:val="0000FF"/>
                  <w:sz w:val="20"/>
                  <w:u w:val="single"/>
                </w:rPr>
                <w:t>Certification Pursuant to Rule 13a-14(a)/15d-14(a) by Chief Financial Officer and Treasurer.</w:t>
              </w:r>
            </w:hyperlink>
            <w:r>
              <w:rPr>
                <w:color w:val="000000"/>
              </w:rPr>
              <w:t xml:space="preserve"> </w:t>
            </w:r>
            <w:r>
              <w:rPr>
                <w:rFonts w:ascii="Times New Roman;sans-serif" w:hAnsi="Times New Roman;sans-serif"/>
                <w:b w:val="false"/>
                <w:color w:val="000000"/>
                <w:sz w:val="20"/>
              </w:rPr>
              <w:t>(1)</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33124xex321.htm">
              <w:r>
                <w:rPr>
                  <w:rStyle w:val="InternetLink"/>
                  <w:rFonts w:ascii="Times New Roman;sans-serif" w:hAnsi="Times New Roman;sans-serif"/>
                  <w:b w:val="false"/>
                  <w:color w:val="0000FF"/>
                  <w:sz w:val="20"/>
                  <w:u w:val="single"/>
                </w:rPr>
                <w:t>Certification Pursuant to 18 U.S.C. Section 1350 by Chairman, President and Chief Executive Officer, as adopted pursuant to Section 906 of the Sarbanes-Oxley Act of 2002.</w:t>
              </w:r>
            </w:hyperlink>
            <w:r>
              <w:rPr>
                <w:color w:val="000000"/>
              </w:rPr>
              <w:t xml:space="preserve"> </w:t>
            </w:r>
            <w:r>
              <w:rPr>
                <w:rFonts w:ascii="Times New Roman;sans-serif" w:hAnsi="Times New Roman;sans-serif"/>
                <w:b w:val="false"/>
                <w:color w:val="000000"/>
                <w:sz w:val="20"/>
              </w:rPr>
              <w:t>(1)</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7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jw-33124xex322.htm">
              <w:r>
                <w:rPr>
                  <w:rStyle w:val="InternetLink"/>
                  <w:rFonts w:ascii="Times New Roman;sans-serif" w:hAnsi="Times New Roman;sans-serif"/>
                  <w:b w:val="false"/>
                  <w:color w:val="0000FF"/>
                  <w:sz w:val="20"/>
                  <w:u w:val="single"/>
                </w:rPr>
                <w:t>Certification Pursuant to 18 U.S.C. Section 1350 by Chief Financial Officer and Treasurer, as adopted pursuant to Section 906 of the Sarbanes-Oxley Act of 2002.</w:t>
              </w:r>
            </w:hyperlink>
            <w:r>
              <w:rPr>
                <w:color w:val="000000"/>
              </w:rPr>
              <w:t xml:space="preserve"> </w:t>
            </w:r>
            <w:r>
              <w:rPr>
                <w:rFonts w:ascii="Times New Roman;sans-serif" w:hAnsi="Times New Roman;sans-serif"/>
                <w:b w:val="false"/>
                <w:color w:val="000000"/>
                <w:sz w:val="20"/>
              </w:rPr>
              <w:t>(1)</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 - the instance document does not appear in the interactive data file because its XBRL tags are embedded within the inline XBRL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Schema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Calculation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Definition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Label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Extension Presentation Linkbase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 the cover page XBRL tags are embedded within the Inline XBRL document</w:t>
            </w:r>
          </w:p>
        </w:tc>
      </w:tr>
      <w:tr>
        <w:trPr/>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color w:val="000000"/>
        </w:rPr>
      </w:pPr>
      <w:r>
        <w:rPr>
          <w:color w:val="000000"/>
        </w:rPr>
        <w:t>  </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(1)Filed currently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left"/>
        <w:rPr>
          <w:color w:val="000000"/>
        </w:rPr>
      </w:pPr>
      <w:r>
        <w:rPr>
          <w:color w:val="000000"/>
        </w:rPr>
        <w:t> </w:t>
      </w:r>
    </w:p>
    <w:tbl>
      <w:tblPr>
        <w:tblW w:w="5995" w:type="dxa"/>
        <w:jc w:val="left"/>
        <w:tblInd w:w="0" w:type="dxa"/>
        <w:tblLayout w:type="fixed"/>
        <w:tblCellMar>
          <w:top w:w="28" w:type="dxa"/>
          <w:left w:w="28" w:type="dxa"/>
          <w:bottom w:w="28" w:type="dxa"/>
          <w:right w:w="28" w:type="dxa"/>
        </w:tblCellMar>
      </w:tblPr>
      <w:tblGrid>
        <w:gridCol w:w="206"/>
        <w:gridCol w:w="181"/>
        <w:gridCol w:w="183"/>
        <w:gridCol w:w="439"/>
        <w:gridCol w:w="439"/>
        <w:gridCol w:w="441"/>
        <w:gridCol w:w="134"/>
        <w:gridCol w:w="134"/>
        <w:gridCol w:w="136"/>
        <w:gridCol w:w="109"/>
        <w:gridCol w:w="109"/>
        <w:gridCol w:w="109"/>
        <w:gridCol w:w="987"/>
        <w:gridCol w:w="987"/>
        <w:gridCol w:w="1401"/>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SJW GROUP</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color w:val="000000"/>
                <w:sz w:val="20"/>
              </w:rPr>
            </w:pPr>
            <w:r>
              <w:rPr>
                <w:rFonts w:ascii="Times New Roman;sans-serif" w:hAnsi="Times New Roman;sans-serif"/>
                <w:b/>
                <w:color w:val="000000"/>
                <w:sz w:val="20"/>
              </w:rPr>
              <w:t>Date: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April 26,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rPr>
            </w:pPr>
            <w:r>
              <w:rPr>
                <w:rFonts w:ascii="Times New Roman;sans-serif" w:hAnsi="Times New Roman;sans-serif"/>
                <w:b/>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ANDREW F. WALTERS</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Andrew F. Walters</w:t>
            </w:r>
          </w:p>
        </w:tc>
      </w:tr>
      <w:tr>
        <w:trPr/>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Chief Financial Officer and Treasurer</w:t>
              <w:br/>
              <w:t>(Principal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31.1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Eric W. Thornburg, certify that: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SJW Group (the “registrant”);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left"/>
        <w:rPr/>
      </w:pPr>
      <w:r>
        <w:rPr/>
      </w:r>
    </w:p>
    <w:tbl>
      <w:tblPr>
        <w:tblW w:w="6989"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1504"/>
        <w:gridCol w:w="1504"/>
        <w:gridCol w:w="21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2024</w:t>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W. THORNBURG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 Thornburg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of the Board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30"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31.2 </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CERTIFICATIONS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Andrew F. Walters, certify that: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SJW Group (the “registrant”);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88" w:before="0" w:after="0"/>
        <w:jc w:val="left"/>
        <w:rPr>
          <w:color w:val="000000"/>
        </w:rPr>
      </w:pPr>
      <w:r>
        <w:rPr>
          <w:color w:val="000000"/>
        </w:rPr>
        <w:t> </w:t>
      </w:r>
    </w:p>
    <w:tbl>
      <w:tblPr>
        <w:tblW w:w="4993" w:type="dxa"/>
        <w:jc w:val="center"/>
        <w:tblInd w:w="0" w:type="dxa"/>
        <w:tblLayout w:type="fixed"/>
        <w:tblCellMar>
          <w:top w:w="28" w:type="dxa"/>
          <w:left w:w="28" w:type="dxa"/>
          <w:bottom w:w="28" w:type="dxa"/>
          <w:right w:w="28" w:type="dxa"/>
        </w:tblCellMar>
      </w:tblPr>
      <w:tblGrid>
        <w:gridCol w:w="200"/>
        <w:gridCol w:w="177"/>
        <w:gridCol w:w="178"/>
        <w:gridCol w:w="429"/>
        <w:gridCol w:w="429"/>
        <w:gridCol w:w="431"/>
        <w:gridCol w:w="922"/>
        <w:gridCol w:w="922"/>
        <w:gridCol w:w="130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2024</w:t>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ANDREWS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F. Walters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31" name="Frame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32.1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SJW Group (the “Company”) on Form 10-Q for the quarter ended March 31, 2024, as filed with the Securities and Exchange Commission on the date hereof (the “Report”), I, Eric W. Thornburg, President, Chief Executive Officer and Chairman of the Board of the Company,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5486" w:type="dxa"/>
        <w:jc w:val="center"/>
        <w:tblInd w:w="0" w:type="dxa"/>
        <w:tblLayout w:type="fixed"/>
        <w:tblCellMar>
          <w:top w:w="28" w:type="dxa"/>
          <w:left w:w="28" w:type="dxa"/>
          <w:bottom w:w="28" w:type="dxa"/>
          <w:right w:w="28" w:type="dxa"/>
        </w:tblCellMar>
      </w:tblPr>
      <w:tblGrid>
        <w:gridCol w:w="1850"/>
        <w:gridCol w:w="1630"/>
        <w:gridCol w:w="1634"/>
        <w:gridCol w:w="109"/>
        <w:gridCol w:w="109"/>
        <w:gridCol w:w="154"/>
      </w:tblGrid>
      <w:tr>
        <w:trPr/>
        <w:tc>
          <w:tcPr>
            <w:tcW w:w="1850"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ERIC W. THORNBURG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W. Thornburg</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Chief Executive Officer and Chairman of the Board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2" name="Frame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 xml:space="preserve">Exhibit 32.2 </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of SJW Group (the “Company”) on Form 10-Q for the quarter ended March 31, 2024, as filed with the Securities and Exchange Commission on the date hereof (the “Report”), I, Andrew F. Walters, Chief Financial Officer and Treasurer of the Company, certify, pursuant to 18 U.S.C. Section 1350, as adopted pursuant to Section 906 of the Sarbanes-Oxley Act of 2002, that to my knowledge on the date hereof: </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288" w:before="18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p>
      <w:pPr>
        <w:pStyle w:val="TextBody"/>
        <w:bidi w:val="0"/>
        <w:spacing w:lineRule="auto" w:line="288" w:before="0" w:after="0"/>
        <w:jc w:val="left"/>
        <w:rPr>
          <w:color w:val="000000"/>
        </w:rPr>
      </w:pPr>
      <w:r>
        <w:rPr>
          <w:color w:val="000000"/>
        </w:rPr>
        <w:t> </w:t>
      </w:r>
    </w:p>
    <w:tbl>
      <w:tblPr>
        <w:tblW w:w="3492" w:type="dxa"/>
        <w:jc w:val="center"/>
        <w:tblInd w:w="0" w:type="dxa"/>
        <w:tblLayout w:type="fixed"/>
        <w:tblCellMar>
          <w:top w:w="28" w:type="dxa"/>
          <w:left w:w="28" w:type="dxa"/>
          <w:bottom w:w="28" w:type="dxa"/>
          <w:right w:w="28" w:type="dxa"/>
        </w:tblCellMar>
      </w:tblPr>
      <w:tblGrid>
        <w:gridCol w:w="1129"/>
        <w:gridCol w:w="994"/>
        <w:gridCol w:w="997"/>
        <w:gridCol w:w="109"/>
        <w:gridCol w:w="109"/>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F. Walters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26,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33" name="Frame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15836</Words>
  <Characters>89035</Characters>
  <CharactersWithSpaces>104196</CharactersWithSpaces>
  <Paragraphs>1656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