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393"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0" w:lineRule="exact"/>
        <w:rPr>
          <w:sz w:val="24"/>
          <w:szCs w:val="24"/>
          <w:color w:val="auto"/>
        </w:rPr>
      </w:pPr>
    </w:p>
    <w:p>
      <w:pPr>
        <w:spacing w:after="0" w:line="231"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93"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 Securities Exchange Act of 1934</w:t>
      </w:r>
    </w:p>
    <w:p>
      <w:pPr>
        <w:spacing w:after="0" w:line="190"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Date of Report (Date of earliest event reported) May 13, 2026</w:t>
      </w:r>
    </w:p>
    <w:p>
      <w:pPr>
        <w:spacing w:after="0" w:line="394"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43"/>
          <w:szCs w:val="43"/>
          <w:b w:val="1"/>
          <w:bCs w:val="1"/>
          <w:color w:val="auto"/>
        </w:rPr>
        <w:t>H2O America</w:t>
      </w:r>
    </w:p>
    <w:p>
      <w:pPr>
        <w:sectPr>
          <w:pgSz w:w="11900" w:h="16838" w:orient="portrait"/>
          <w:cols w:equalWidth="0" w:num="1">
            <w:col w:w="10920"/>
          </w:cols>
          <w:pgMar w:left="320" w:top="1042" w:right="659" w:bottom="1440" w:gutter="0" w:footer="0" w:header="0"/>
        </w:sectPr>
      </w:pPr>
    </w:p>
    <w:p>
      <w:pPr>
        <w:spacing w:after="0" w:line="58"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0" w:lineRule="exact"/>
        <w:rPr>
          <w:sz w:val="24"/>
          <w:szCs w:val="24"/>
          <w:color w:val="auto"/>
        </w:rPr>
      </w:pPr>
    </w:p>
    <w:p>
      <w:pPr>
        <w:spacing w:after="0" w:line="244" w:lineRule="exact"/>
        <w:rPr>
          <w:sz w:val="24"/>
          <w:szCs w:val="24"/>
          <w:color w:val="auto"/>
        </w:rPr>
      </w:pPr>
    </w:p>
    <w:tbl>
      <w:tblPr>
        <w:tblLayout w:type="fixed"/>
        <w:tblInd w:w="500" w:type="dxa"/>
        <w:tblCellMar>
          <w:top w:w="0" w:type="dxa"/>
          <w:left w:w="0" w:type="dxa"/>
          <w:bottom w:w="0" w:type="dxa"/>
          <w:right w:w="0" w:type="dxa"/>
        </w:tblCellMar>
      </w:tblPr>
      <w:tr>
        <w:trPr>
          <w:trHeight w:val="252"/>
        </w:trPr>
        <w:tc>
          <w:tcPr>
            <w:tcW w:w="4340" w:type="dxa"/>
            <w:vAlign w:val="bottom"/>
          </w:tcPr>
          <w:p>
            <w:pPr>
              <w:jc w:val="center"/>
              <w:ind w:right="22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680" w:type="dxa"/>
            <w:vAlign w:val="bottom"/>
          </w:tcPr>
          <w:p>
            <w:pPr>
              <w:jc w:val="center"/>
              <w:ind w:right="2050"/>
              <w:spacing w:after="0"/>
              <w:rPr>
                <w:sz w:val="20"/>
                <w:szCs w:val="20"/>
                <w:color w:val="auto"/>
              </w:rPr>
            </w:pPr>
            <w:r>
              <w:rPr>
                <w:rFonts w:ascii="Times New Roman" w:cs="Times New Roman" w:eastAsia="Times New Roman" w:hAnsi="Times New Roman"/>
                <w:sz w:val="18"/>
                <w:szCs w:val="18"/>
                <w:b w:val="1"/>
                <w:bCs w:val="1"/>
                <w:color w:val="auto"/>
              </w:rPr>
              <w:t>001-8966</w:t>
            </w:r>
          </w:p>
        </w:tc>
      </w:tr>
      <w:tr>
        <w:trPr>
          <w:trHeight w:val="248"/>
        </w:trPr>
        <w:tc>
          <w:tcPr>
            <w:tcW w:w="4340" w:type="dxa"/>
            <w:vAlign w:val="bottom"/>
          </w:tcPr>
          <w:p>
            <w:pPr>
              <w:jc w:val="center"/>
              <w:ind w:right="219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3680" w:type="dxa"/>
            <w:vAlign w:val="bottom"/>
          </w:tcPr>
          <w:p>
            <w:pPr>
              <w:jc w:val="center"/>
              <w:ind w:right="2050"/>
              <w:spacing w:after="0"/>
              <w:rPr>
                <w:sz w:val="20"/>
                <w:szCs w:val="20"/>
                <w:color w:val="auto"/>
              </w:rPr>
            </w:pPr>
            <w:r>
              <w:rPr>
                <w:rFonts w:ascii="Times New Roman" w:cs="Times New Roman" w:eastAsia="Times New Roman" w:hAnsi="Times New Roman"/>
                <w:sz w:val="18"/>
                <w:szCs w:val="18"/>
                <w:b w:val="1"/>
                <w:bCs w:val="1"/>
                <w:color w:val="auto"/>
              </w:rPr>
              <w:t>(Commission</w:t>
            </w:r>
          </w:p>
        </w:tc>
      </w:tr>
      <w:tr>
        <w:trPr>
          <w:trHeight w:val="279"/>
        </w:trPr>
        <w:tc>
          <w:tcPr>
            <w:tcW w:w="4340" w:type="dxa"/>
            <w:vAlign w:val="bottom"/>
          </w:tcPr>
          <w:p>
            <w:pPr>
              <w:jc w:val="center"/>
              <w:ind w:right="221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3680" w:type="dxa"/>
            <w:vAlign w:val="bottom"/>
          </w:tcPr>
          <w:p>
            <w:pPr>
              <w:jc w:val="center"/>
              <w:ind w:right="2050"/>
              <w:spacing w:after="0"/>
              <w:rPr>
                <w:sz w:val="20"/>
                <w:szCs w:val="20"/>
                <w:color w:val="auto"/>
              </w:rPr>
            </w:pPr>
            <w:r>
              <w:rPr>
                <w:rFonts w:ascii="Times New Roman" w:cs="Times New Roman" w:eastAsia="Times New Roman" w:hAnsi="Times New Roman"/>
                <w:sz w:val="18"/>
                <w:szCs w:val="18"/>
                <w:b w:val="1"/>
                <w:bCs w:val="1"/>
                <w:color w:val="auto"/>
                <w:w w:val="98"/>
              </w:rPr>
              <w:t>File Number)</w:t>
            </w:r>
          </w:p>
        </w:tc>
      </w:tr>
      <w:tr>
        <w:trPr>
          <w:trHeight w:val="383"/>
        </w:trPr>
        <w:tc>
          <w:tcPr>
            <w:tcW w:w="4340" w:type="dxa"/>
            <w:vAlign w:val="bottom"/>
          </w:tcPr>
          <w:p>
            <w:pPr>
              <w:ind w:left="920"/>
              <w:spacing w:after="0"/>
              <w:rPr>
                <w:sz w:val="20"/>
                <w:szCs w:val="20"/>
                <w:color w:val="auto"/>
              </w:rPr>
            </w:pPr>
            <w:r>
              <w:rPr>
                <w:rFonts w:ascii="Times New Roman" w:cs="Times New Roman" w:eastAsia="Times New Roman" w:hAnsi="Times New Roman"/>
                <w:sz w:val="18"/>
                <w:szCs w:val="18"/>
                <w:b w:val="1"/>
                <w:bCs w:val="1"/>
                <w:color w:val="auto"/>
              </w:rPr>
              <w:t>110 West Taylor Street,  San Jose,  CA</w:t>
            </w:r>
          </w:p>
        </w:tc>
        <w:tc>
          <w:tcPr>
            <w:tcW w:w="36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95110</w:t>
            </w:r>
          </w:p>
        </w:tc>
      </w:tr>
      <w:tr>
        <w:trPr>
          <w:trHeight w:val="238"/>
        </w:trPr>
        <w:tc>
          <w:tcPr>
            <w:tcW w:w="4340" w:type="dxa"/>
            <w:vAlign w:val="bottom"/>
          </w:tcPr>
          <w:p>
            <w:pPr>
              <w:ind w:left="110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tc>
        <w:tc>
          <w:tcPr>
            <w:tcW w:w="3680" w:type="dxa"/>
            <w:vAlign w:val="bottom"/>
          </w:tcPr>
          <w:p>
            <w:pPr>
              <w:jc w:val="center"/>
              <w:ind w:left="275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248" w:lineRule="exact"/>
        <w:rPr>
          <w:sz w:val="24"/>
          <w:szCs w:val="24"/>
          <w:color w:val="auto"/>
        </w:rPr>
      </w:pPr>
    </w:p>
    <w:p>
      <w:pPr>
        <w:jc w:val="center"/>
        <w:ind w:left="2720"/>
        <w:spacing w:after="0"/>
        <w:rPr>
          <w:sz w:val="20"/>
          <w:szCs w:val="20"/>
          <w:color w:val="auto"/>
        </w:rPr>
      </w:pPr>
      <w:r>
        <w:rPr>
          <w:rFonts w:ascii="Times New Roman" w:cs="Times New Roman" w:eastAsia="Times New Roman" w:hAnsi="Times New Roman"/>
          <w:sz w:val="18"/>
          <w:szCs w:val="18"/>
          <w:b w:val="1"/>
          <w:bCs w:val="1"/>
          <w:color w:val="auto"/>
        </w:rPr>
        <w:t>(408) 279-7800</w:t>
      </w:r>
    </w:p>
    <w:p>
      <w:pPr>
        <w:spacing w:after="0" w:line="25" w:lineRule="exact"/>
        <w:rPr>
          <w:sz w:val="24"/>
          <w:szCs w:val="24"/>
          <w:color w:val="auto"/>
        </w:rPr>
      </w:pPr>
    </w:p>
    <w:p>
      <w:pPr>
        <w:jc w:val="center"/>
        <w:ind w:left="272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8" w:lineRule="exact"/>
        <w:rPr>
          <w:sz w:val="24"/>
          <w:szCs w:val="24"/>
          <w:color w:val="auto"/>
        </w:rPr>
      </w:pPr>
    </w:p>
    <w:p>
      <w:pPr>
        <w:jc w:val="center"/>
        <w:ind w:left="272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77-0066628</w:t>
      </w:r>
    </w:p>
    <w:p>
      <w:pPr>
        <w:spacing w:after="0" w:line="9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36"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Identification No.)</w:t>
      </w:r>
    </w:p>
    <w:p>
      <w:pPr>
        <w:spacing w:after="0" w:line="2073" w:lineRule="exact"/>
        <w:rPr>
          <w:sz w:val="24"/>
          <w:szCs w:val="24"/>
          <w:color w:val="auto"/>
        </w:rPr>
      </w:pPr>
    </w:p>
    <w:p>
      <w:pPr>
        <w:sectPr>
          <w:pgSz w:w="11900" w:h="16838" w:orient="portrait"/>
          <w:cols w:equalWidth="0" w:num="2">
            <w:col w:w="8520" w:space="480"/>
            <w:col w:w="1920"/>
          </w:cols>
          <w:pgMar w:left="320" w:top="1042" w:right="659" w:bottom="1440" w:gutter="0" w:footer="0" w:header="0"/>
          <w:type w:val="continuous"/>
        </w:sectPr>
      </w:pPr>
    </w:p>
    <w:p>
      <w:pPr>
        <w:spacing w:after="0" w:line="86" w:lineRule="exact"/>
        <w:rPr>
          <w:sz w:val="24"/>
          <w:szCs w:val="24"/>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41"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8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14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340" w:type="dxa"/>
            <w:vAlign w:val="bottom"/>
          </w:tcPr>
          <w:p>
            <w:pPr>
              <w:spacing w:after="0"/>
              <w:rPr>
                <w:sz w:val="20"/>
                <w:szCs w:val="20"/>
                <w:color w:val="auto"/>
              </w:rPr>
            </w:pPr>
          </w:p>
        </w:tc>
      </w:tr>
      <w:tr>
        <w:trPr>
          <w:trHeight w:val="310"/>
        </w:trPr>
        <w:tc>
          <w:tcPr>
            <w:tcW w:w="1400" w:type="dxa"/>
            <w:vAlign w:val="bottom"/>
          </w:tcPr>
          <w:p>
            <w:pPr>
              <w:spacing w:after="0"/>
              <w:rPr>
                <w:sz w:val="24"/>
                <w:szCs w:val="24"/>
                <w:color w:val="auto"/>
              </w:rPr>
            </w:pPr>
          </w:p>
        </w:tc>
        <w:tc>
          <w:tcPr>
            <w:tcW w:w="3440" w:type="dxa"/>
            <w:vAlign w:val="bottom"/>
            <w:gridSpan w:val="2"/>
          </w:tcPr>
          <w:p>
            <w:pPr>
              <w:jc w:val="center"/>
              <w:ind w:right="210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600" w:type="dxa"/>
            <w:vAlign w:val="bottom"/>
            <w:gridSpan w:val="2"/>
          </w:tcPr>
          <w:p>
            <w:pPr>
              <w:jc w:val="center"/>
              <w:ind w:right="116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140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77"/>
        </w:trPr>
        <w:tc>
          <w:tcPr>
            <w:tcW w:w="4840" w:type="dxa"/>
            <w:vAlign w:val="bottom"/>
            <w:gridSpan w:val="3"/>
          </w:tcPr>
          <w:p>
            <w:pPr>
              <w:jc w:val="center"/>
              <w:ind w:right="68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600" w:type="dxa"/>
            <w:vAlign w:val="bottom"/>
            <w:gridSpan w:val="2"/>
          </w:tcPr>
          <w:p>
            <w:pPr>
              <w:jc w:val="center"/>
              <w:ind w:right="1160"/>
              <w:spacing w:after="0"/>
              <w:rPr>
                <w:sz w:val="20"/>
                <w:szCs w:val="20"/>
                <w:color w:val="auto"/>
              </w:rPr>
            </w:pPr>
            <w:r>
              <w:rPr>
                <w:rFonts w:ascii="Times New Roman" w:cs="Times New Roman" w:eastAsia="Times New Roman" w:hAnsi="Times New Roman"/>
                <w:sz w:val="18"/>
                <w:szCs w:val="18"/>
                <w:color w:val="auto"/>
                <w:w w:val="97"/>
              </w:rPr>
              <w:t>HTO</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71" w:lineRule="exact"/>
        <w:rPr>
          <w:sz w:val="24"/>
          <w:szCs w:val="24"/>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8" w:lineRule="exact"/>
        <w:rPr>
          <w:sz w:val="24"/>
          <w:szCs w:val="24"/>
          <w:color w:val="auto"/>
        </w:rPr>
      </w:pPr>
    </w:p>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93" w:lineRule="exact"/>
        <w:rPr>
          <w:sz w:val="24"/>
          <w:szCs w:val="24"/>
          <w:color w:val="auto"/>
        </w:rPr>
      </w:pPr>
    </w:p>
    <w:p>
      <w:pPr>
        <w:ind w:firstLine="18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042" w:right="659" w:bottom="1440" w:gutter="0" w:footer="0" w:header="0"/>
          <w:type w:val="continuous"/>
        </w:sectPr>
      </w:pPr>
    </w:p>
    <w:bookmarkStart w:id="1" w:name="page2"/>
    <w:bookmarkEnd w:id="1"/>
    <w:p>
      <w:pPr>
        <w:ind w:left="20"/>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9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On May 13, 2026, the Company held its 2026 stockholders' meeting. The following proposals were approved by the stockholders at the meeting: (i) the election of the nine nominees listed in the Company's 2026 proxy statement to serve on the Board, (ii) the compensation of named executive officers as disclosed in the proxy statement, on an advisory basis, and (iii) the ratification of the appointment of Deloitte &amp; Touche LLP as the Company's independent registered public accounting firm for the fiscal year ending December 31, 2026, each by the votes set forth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Proposal 1: Election of Directors</w:t>
            </w:r>
          </w:p>
        </w:tc>
        <w:tc>
          <w:tcPr>
            <w:tcW w:w="20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257"/>
        </w:trPr>
        <w:tc>
          <w:tcPr>
            <w:tcW w:w="1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 of Director</w:t>
            </w:r>
          </w:p>
        </w:tc>
        <w:tc>
          <w:tcPr>
            <w:tcW w:w="198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rPr>
              <w:t>For</w:t>
            </w:r>
          </w:p>
        </w:tc>
        <w:tc>
          <w:tcPr>
            <w:tcW w:w="208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Against</w:t>
            </w:r>
          </w:p>
        </w:tc>
        <w:tc>
          <w:tcPr>
            <w:tcW w:w="20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Abstain</w:t>
            </w:r>
          </w:p>
        </w:tc>
        <w:tc>
          <w:tcPr>
            <w:tcW w:w="22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Broker Non-Votes</w:t>
            </w:r>
          </w:p>
        </w:tc>
      </w:tr>
      <w:tr>
        <w:trPr>
          <w:trHeight w:val="218"/>
        </w:trPr>
        <w:tc>
          <w:tcPr>
            <w:tcW w:w="1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Carl Guardino</w:t>
            </w:r>
          </w:p>
        </w:tc>
        <w:tc>
          <w:tcPr>
            <w:tcW w:w="198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34,314,990</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1,092,889</w:t>
            </w:r>
          </w:p>
        </w:tc>
        <w:tc>
          <w:tcPr>
            <w:tcW w:w="20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70,936</w:t>
            </w:r>
          </w:p>
        </w:tc>
        <w:tc>
          <w:tcPr>
            <w:tcW w:w="226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3,289,848</w:t>
            </w:r>
          </w:p>
        </w:tc>
      </w:tr>
      <w:tr>
        <w:trPr>
          <w:trHeight w:val="230"/>
        </w:trPr>
        <w:tc>
          <w:tcPr>
            <w:tcW w:w="1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Mary Ann Hanley</w:t>
            </w:r>
          </w:p>
        </w:tc>
        <w:tc>
          <w:tcPr>
            <w:tcW w:w="198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34,240,746</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1,200,874</w:t>
            </w:r>
          </w:p>
        </w:tc>
        <w:tc>
          <w:tcPr>
            <w:tcW w:w="20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37,195</w:t>
            </w:r>
          </w:p>
        </w:tc>
        <w:tc>
          <w:tcPr>
            <w:tcW w:w="226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3,289,848</w:t>
            </w:r>
          </w:p>
        </w:tc>
      </w:tr>
      <w:tr>
        <w:trPr>
          <w:trHeight w:val="229"/>
        </w:trPr>
        <w:tc>
          <w:tcPr>
            <w:tcW w:w="1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Heather Hunt</w:t>
            </w:r>
          </w:p>
        </w:tc>
        <w:tc>
          <w:tcPr>
            <w:tcW w:w="198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34,965,025</w:t>
            </w:r>
          </w:p>
        </w:tc>
        <w:tc>
          <w:tcPr>
            <w:tcW w:w="20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469,384</w:t>
            </w:r>
          </w:p>
        </w:tc>
        <w:tc>
          <w:tcPr>
            <w:tcW w:w="20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44,406</w:t>
            </w:r>
          </w:p>
        </w:tc>
        <w:tc>
          <w:tcPr>
            <w:tcW w:w="226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3,289,848</w:t>
            </w:r>
          </w:p>
        </w:tc>
      </w:tr>
      <w:tr>
        <w:trPr>
          <w:trHeight w:val="229"/>
        </w:trPr>
        <w:tc>
          <w:tcPr>
            <w:tcW w:w="1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Rebecca A. Klein</w:t>
            </w:r>
          </w:p>
        </w:tc>
        <w:tc>
          <w:tcPr>
            <w:tcW w:w="198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35,123,504</w:t>
            </w:r>
          </w:p>
        </w:tc>
        <w:tc>
          <w:tcPr>
            <w:tcW w:w="20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318,135</w:t>
            </w:r>
          </w:p>
        </w:tc>
        <w:tc>
          <w:tcPr>
            <w:tcW w:w="20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37,176</w:t>
            </w:r>
          </w:p>
        </w:tc>
        <w:tc>
          <w:tcPr>
            <w:tcW w:w="226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3,289,848</w:t>
            </w:r>
          </w:p>
        </w:tc>
      </w:tr>
      <w:tr>
        <w:trPr>
          <w:trHeight w:val="230"/>
        </w:trPr>
        <w:tc>
          <w:tcPr>
            <w:tcW w:w="1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Denise L. Kruger</w:t>
            </w:r>
          </w:p>
        </w:tc>
        <w:tc>
          <w:tcPr>
            <w:tcW w:w="198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34,670,194</w:t>
            </w:r>
          </w:p>
        </w:tc>
        <w:tc>
          <w:tcPr>
            <w:tcW w:w="20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769,500</w:t>
            </w:r>
          </w:p>
        </w:tc>
        <w:tc>
          <w:tcPr>
            <w:tcW w:w="20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39,121</w:t>
            </w:r>
          </w:p>
        </w:tc>
        <w:tc>
          <w:tcPr>
            <w:tcW w:w="226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3,289,848</w:t>
            </w:r>
          </w:p>
        </w:tc>
      </w:tr>
      <w:tr>
        <w:trPr>
          <w:trHeight w:val="229"/>
        </w:trPr>
        <w:tc>
          <w:tcPr>
            <w:tcW w:w="1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Daniel B. More</w:t>
            </w:r>
          </w:p>
        </w:tc>
        <w:tc>
          <w:tcPr>
            <w:tcW w:w="198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34,998,522</w:t>
            </w:r>
          </w:p>
        </w:tc>
        <w:tc>
          <w:tcPr>
            <w:tcW w:w="20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412,814</w:t>
            </w:r>
          </w:p>
        </w:tc>
        <w:tc>
          <w:tcPr>
            <w:tcW w:w="20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67,479</w:t>
            </w:r>
          </w:p>
        </w:tc>
        <w:tc>
          <w:tcPr>
            <w:tcW w:w="226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3,289,848</w:t>
            </w:r>
          </w:p>
        </w:tc>
      </w:tr>
      <w:tr>
        <w:trPr>
          <w:trHeight w:val="230"/>
        </w:trPr>
        <w:tc>
          <w:tcPr>
            <w:tcW w:w="1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Nick O. Rowe</w:t>
            </w:r>
          </w:p>
        </w:tc>
        <w:tc>
          <w:tcPr>
            <w:tcW w:w="198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34,665,232</w:t>
            </w:r>
          </w:p>
        </w:tc>
        <w:tc>
          <w:tcPr>
            <w:tcW w:w="20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775,649</w:t>
            </w:r>
          </w:p>
        </w:tc>
        <w:tc>
          <w:tcPr>
            <w:tcW w:w="20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37,934</w:t>
            </w:r>
          </w:p>
        </w:tc>
        <w:tc>
          <w:tcPr>
            <w:tcW w:w="226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3,289,848</w:t>
            </w:r>
          </w:p>
        </w:tc>
      </w:tr>
      <w:tr>
        <w:trPr>
          <w:trHeight w:val="229"/>
        </w:trPr>
        <w:tc>
          <w:tcPr>
            <w:tcW w:w="1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Carol P. Wallace</w:t>
            </w:r>
          </w:p>
        </w:tc>
        <w:tc>
          <w:tcPr>
            <w:tcW w:w="198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35,280,879</w:t>
            </w:r>
          </w:p>
        </w:tc>
        <w:tc>
          <w:tcPr>
            <w:tcW w:w="20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159,551</w:t>
            </w:r>
          </w:p>
        </w:tc>
        <w:tc>
          <w:tcPr>
            <w:tcW w:w="20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38,385</w:t>
            </w:r>
          </w:p>
        </w:tc>
        <w:tc>
          <w:tcPr>
            <w:tcW w:w="226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3,289,848</w:t>
            </w:r>
          </w:p>
        </w:tc>
      </w:tr>
      <w:tr>
        <w:trPr>
          <w:trHeight w:val="234"/>
        </w:trPr>
        <w:tc>
          <w:tcPr>
            <w:tcW w:w="1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Andrew F. Walters</w:t>
            </w:r>
          </w:p>
        </w:tc>
        <w:tc>
          <w:tcPr>
            <w:tcW w:w="198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34,807,444</w:t>
            </w:r>
          </w:p>
        </w:tc>
        <w:tc>
          <w:tcPr>
            <w:tcW w:w="20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604,468</w:t>
            </w:r>
          </w:p>
        </w:tc>
        <w:tc>
          <w:tcPr>
            <w:tcW w:w="20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66,903</w:t>
            </w:r>
          </w:p>
        </w:tc>
        <w:tc>
          <w:tcPr>
            <w:tcW w:w="226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3,289,848</w:t>
            </w:r>
          </w:p>
        </w:tc>
      </w:tr>
    </w:tbl>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2: Approval, on an advisory basis, of the compensation of named executive officers as disclosed in the proxy statement:</w:t>
      </w:r>
    </w:p>
    <w:p>
      <w:pPr>
        <w:spacing w:after="0" w:line="54" w:lineRule="exact"/>
        <w:rPr>
          <w:sz w:val="20"/>
          <w:szCs w:val="20"/>
          <w:color w:val="auto"/>
        </w:rPr>
      </w:pPr>
    </w:p>
    <w:tbl>
      <w:tblPr>
        <w:tblLayout w:type="fixed"/>
        <w:tblInd w:w="1000" w:type="dxa"/>
        <w:tblCellMar>
          <w:top w:w="0" w:type="dxa"/>
          <w:left w:w="0" w:type="dxa"/>
          <w:bottom w:w="0" w:type="dxa"/>
          <w:right w:w="0" w:type="dxa"/>
        </w:tblCellMar>
      </w:tblPr>
      <w:tr>
        <w:trPr>
          <w:trHeight w:val="234"/>
        </w:trPr>
        <w:tc>
          <w:tcPr>
            <w:tcW w:w="2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For</w:t>
            </w:r>
          </w:p>
        </w:tc>
        <w:tc>
          <w:tcPr>
            <w:tcW w:w="226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Against</w:t>
            </w:r>
          </w:p>
        </w:tc>
        <w:tc>
          <w:tcPr>
            <w:tcW w:w="212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w w:val="99"/>
              </w:rPr>
              <w:t>Abstain</w:t>
            </w:r>
          </w:p>
        </w:tc>
        <w:tc>
          <w:tcPr>
            <w:tcW w:w="250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w w:val="97"/>
              </w:rPr>
              <w:t>Broker Non-Votes</w:t>
            </w:r>
          </w:p>
        </w:tc>
      </w:tr>
      <w:tr>
        <w:trPr>
          <w:trHeight w:val="228"/>
        </w:trPr>
        <w:tc>
          <w:tcPr>
            <w:tcW w:w="238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34,474,021</w:t>
            </w:r>
          </w:p>
        </w:tc>
        <w:tc>
          <w:tcPr>
            <w:tcW w:w="22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908,548</w:t>
            </w:r>
          </w:p>
        </w:tc>
        <w:tc>
          <w:tcPr>
            <w:tcW w:w="212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96,246</w:t>
            </w:r>
          </w:p>
        </w:tc>
        <w:tc>
          <w:tcPr>
            <w:tcW w:w="25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3,289,848</w:t>
            </w:r>
          </w:p>
        </w:tc>
      </w:tr>
    </w:tbl>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3: Ratification of appointment of Independent Registered Public Accounting Firm:</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tcPr>
          <w:p>
            <w:pPr>
              <w:jc w:val="center"/>
              <w:ind w:right="1290"/>
              <w:spacing w:after="0"/>
              <w:rPr>
                <w:sz w:val="20"/>
                <w:szCs w:val="20"/>
                <w:color w:val="auto"/>
              </w:rPr>
            </w:pPr>
            <w:r>
              <w:rPr>
                <w:rFonts w:ascii="Times New Roman" w:cs="Times New Roman" w:eastAsia="Times New Roman" w:hAnsi="Times New Roman"/>
                <w:sz w:val="18"/>
                <w:szCs w:val="18"/>
                <w:color w:val="auto"/>
                <w:w w:val="95"/>
              </w:rPr>
              <w:t>For</w:t>
            </w:r>
          </w:p>
        </w:tc>
        <w:tc>
          <w:tcPr>
            <w:tcW w:w="15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Against</w:t>
            </w:r>
          </w:p>
        </w:tc>
        <w:tc>
          <w:tcPr>
            <w:tcW w:w="2040" w:type="dxa"/>
            <w:vAlign w:val="bottom"/>
            <w:tcBorders>
              <w:bottom w:val="single" w:sz="8" w:color="auto"/>
            </w:tcBorders>
          </w:tcPr>
          <w:p>
            <w:pPr>
              <w:jc w:val="center"/>
              <w:ind w:left="190"/>
              <w:spacing w:after="0"/>
              <w:rPr>
                <w:sz w:val="20"/>
                <w:szCs w:val="20"/>
                <w:color w:val="auto"/>
              </w:rPr>
            </w:pPr>
            <w:r>
              <w:rPr>
                <w:rFonts w:ascii="Times New Roman" w:cs="Times New Roman" w:eastAsia="Times New Roman" w:hAnsi="Times New Roman"/>
                <w:sz w:val="18"/>
                <w:szCs w:val="18"/>
                <w:color w:val="auto"/>
                <w:w w:val="99"/>
              </w:rPr>
              <w:t>Abstain</w:t>
            </w:r>
          </w:p>
        </w:tc>
        <w:tc>
          <w:tcPr>
            <w:tcW w:w="3040" w:type="dxa"/>
            <w:vAlign w:val="bottom"/>
            <w:tcBorders>
              <w:bottom w:val="single" w:sz="8" w:color="auto"/>
            </w:tcBorders>
          </w:tcPr>
          <w:p>
            <w:pPr>
              <w:jc w:val="right"/>
              <w:ind w:right="1030"/>
              <w:spacing w:after="0"/>
              <w:rPr>
                <w:sz w:val="20"/>
                <w:szCs w:val="20"/>
                <w:color w:val="auto"/>
              </w:rPr>
            </w:pPr>
            <w:r>
              <w:rPr>
                <w:rFonts w:ascii="Times New Roman" w:cs="Times New Roman" w:eastAsia="Times New Roman" w:hAnsi="Times New Roman"/>
                <w:sz w:val="18"/>
                <w:szCs w:val="18"/>
                <w:color w:val="auto"/>
              </w:rPr>
              <w:t>Broker Non-Votes</w:t>
            </w:r>
          </w:p>
        </w:tc>
      </w:tr>
      <w:tr>
        <w:trPr>
          <w:trHeight w:val="228"/>
        </w:trPr>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60" w:type="dxa"/>
            <w:vAlign w:val="bottom"/>
          </w:tcPr>
          <w:p>
            <w:pPr>
              <w:jc w:val="right"/>
              <w:ind w:right="1430"/>
              <w:spacing w:after="0"/>
              <w:rPr>
                <w:sz w:val="20"/>
                <w:szCs w:val="20"/>
                <w:color w:val="auto"/>
              </w:rPr>
            </w:pPr>
            <w:r>
              <w:rPr>
                <w:rFonts w:ascii="Times New Roman" w:cs="Times New Roman" w:eastAsia="Times New Roman" w:hAnsi="Times New Roman"/>
                <w:sz w:val="18"/>
                <w:szCs w:val="18"/>
                <w:color w:val="auto"/>
              </w:rPr>
              <w:t>38,440,303</w:t>
            </w:r>
          </w:p>
        </w:tc>
        <w:tc>
          <w:tcPr>
            <w:tcW w:w="1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267,952</w:t>
            </w:r>
          </w:p>
        </w:tc>
        <w:tc>
          <w:tcPr>
            <w:tcW w:w="20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60,408</w:t>
            </w:r>
          </w:p>
        </w:tc>
        <w:tc>
          <w:tcPr>
            <w:tcW w:w="3040" w:type="dxa"/>
            <w:vAlign w:val="bottom"/>
          </w:tcPr>
          <w:p>
            <w:pPr>
              <w:jc w:val="right"/>
              <w:ind w:right="1250"/>
              <w:spacing w:after="0"/>
              <w:rPr>
                <w:sz w:val="20"/>
                <w:szCs w:val="20"/>
                <w:color w:val="auto"/>
              </w:rPr>
            </w:pPr>
            <w:r>
              <w:rPr>
                <w:rFonts w:ascii="Times New Roman" w:cs="Times New Roman" w:eastAsia="Times New Roman" w:hAnsi="Times New Roman"/>
                <w:sz w:val="18"/>
                <w:szCs w:val="18"/>
                <w:color w:val="auto"/>
              </w:rPr>
              <w:t>0</w:t>
            </w:r>
          </w:p>
        </w:tc>
      </w:tr>
      <w:tr>
        <w:trPr>
          <w:trHeight w:val="832"/>
        </w:trPr>
        <w:tc>
          <w:tcPr>
            <w:tcW w:w="1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28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15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324"/>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3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256"/>
        </w:trPr>
        <w:tc>
          <w:tcPr>
            <w:tcW w:w="14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24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Description of Documents</w:t>
            </w:r>
          </w:p>
        </w:tc>
        <w:tc>
          <w:tcPr>
            <w:tcW w:w="154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3040" w:type="dxa"/>
            <w:vAlign w:val="bottom"/>
          </w:tcPr>
          <w:p>
            <w:pPr>
              <w:spacing w:after="0"/>
              <w:rPr>
                <w:sz w:val="22"/>
                <w:szCs w:val="22"/>
                <w:color w:val="auto"/>
              </w:rPr>
            </w:pPr>
          </w:p>
        </w:tc>
      </w:tr>
      <w:tr>
        <w:trPr>
          <w:trHeight w:val="257"/>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08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tabs are embedded within Inline XBRL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829945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2" w:name="page3"/>
    <w:bookmarkEnd w:id="2"/>
    <w:p>
      <w:pPr>
        <w:ind w:left="5440"/>
        <w:spacing w:after="0"/>
        <w:rPr>
          <w:sz w:val="20"/>
          <w:szCs w:val="20"/>
          <w:color w:val="auto"/>
        </w:rPr>
      </w:pPr>
      <w:r>
        <w:rPr>
          <w:rFonts w:ascii="Times New Roman" w:cs="Times New Roman" w:eastAsia="Times New Roman" w:hAnsi="Times New Roman"/>
          <w:sz w:val="18"/>
          <w:szCs w:val="18"/>
          <w:b w:val="1"/>
          <w:bCs w:val="1"/>
          <w:color w:val="auto"/>
        </w:rPr>
        <w:t>H2O AMERICA</w:t>
      </w:r>
    </w:p>
    <w:p>
      <w:pPr>
        <w:spacing w:after="0" w:line="283" w:lineRule="exact"/>
        <w:rPr>
          <w:sz w:val="20"/>
          <w:szCs w:val="20"/>
          <w:color w:val="auto"/>
        </w:rPr>
      </w:pPr>
    </w:p>
    <w:p>
      <w:pPr>
        <w:spacing w:after="0"/>
        <w:tabs>
          <w:tab w:leader="none" w:pos="5420" w:val="left"/>
        </w:tabs>
        <w:rPr>
          <w:sz w:val="20"/>
          <w:szCs w:val="20"/>
          <w:color w:val="auto"/>
        </w:rPr>
      </w:pPr>
      <w:r>
        <w:rPr>
          <w:rFonts w:ascii="Times New Roman" w:cs="Times New Roman" w:eastAsia="Times New Roman" w:hAnsi="Times New Roman"/>
          <w:sz w:val="18"/>
          <w:szCs w:val="18"/>
          <w:color w:val="auto"/>
        </w:rPr>
        <w:t>Dated: May 18, 2026</w:t>
      </w:r>
      <w:r>
        <w:rPr>
          <w:sz w:val="20"/>
          <w:szCs w:val="20"/>
          <w:color w:val="auto"/>
        </w:rPr>
        <w:tab/>
      </w:r>
      <w:r>
        <w:rPr>
          <w:rFonts w:ascii="Times New Roman" w:cs="Times New Roman" w:eastAsia="Times New Roman" w:hAnsi="Times New Roman"/>
          <w:sz w:val="17"/>
          <w:szCs w:val="17"/>
          <w:u w:val="single" w:color="auto"/>
          <w:color w:val="auto"/>
        </w:rPr>
        <w:t>/s/ Marisa Joss</w:t>
      </w:r>
    </w:p>
    <w:p>
      <w:pPr>
        <w:spacing w:after="0" w:line="11"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Marisa Joss, Vice President, Corporate &amp; Securities and Corporate</w:t>
      </w:r>
    </w:p>
    <w:p>
      <w:pPr>
        <w:ind w:left="5440"/>
        <w:spacing w:after="0"/>
        <w:rPr>
          <w:sz w:val="20"/>
          <w:szCs w:val="20"/>
          <w:color w:val="auto"/>
        </w:rPr>
      </w:pPr>
      <w:r>
        <w:rPr>
          <w:rFonts w:ascii="Times New Roman" w:cs="Times New Roman" w:eastAsia="Times New Roman" w:hAnsi="Times New Roman"/>
          <w:sz w:val="18"/>
          <w:szCs w:val="18"/>
          <w:color w:val="auto"/>
        </w:rPr>
        <w:t>Secretary</w:t>
      </w:r>
    </w:p>
    <w:sectPr>
      <w:pgSz w:w="11900" w:h="16838" w:orient="portrait"/>
      <w:cols w:equalWidth="0" w:num="1">
        <w:col w:w="10700"/>
      </w:cols>
      <w:pgMar w:left="340" w:top="1022" w:right="8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2026-05-19T05:03:15Z</dcterms:created>
  <dcterms:modified xsi:type="dcterms:W3CDTF">2026-05-19T05:03:15Z</dcterms:modified>
</cp:coreProperties>
</file>