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3940" w:right="1680" w:hanging="3932"/>
        <w:spacing w:after="0" w:line="322" w:lineRule="auto"/>
        <w:tabs>
          <w:tab w:leader="none" w:pos="25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March 31, 2022</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OR</w:t>
      </w:r>
    </w:p>
    <w:p>
      <w:pPr>
        <w:spacing w:after="0" w:line="73"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t>
            </w:r>
          </w:p>
        </w:tc>
      </w:tr>
      <w:tr>
        <w:trPr>
          <w:trHeight w:val="297"/>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Commission file number 1-8966</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99"/>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32"/>
              <w:spacing w:after="0"/>
              <w:rPr>
                <w:sz w:val="20"/>
                <w:szCs w:val="20"/>
                <w:color w:val="auto"/>
              </w:rPr>
            </w:pPr>
            <w:r>
              <w:rPr>
                <w:rFonts w:ascii="Times New Roman" w:cs="Times New Roman" w:eastAsia="Times New Roman" w:hAnsi="Times New Roman"/>
                <w:sz w:val="43"/>
                <w:szCs w:val="43"/>
                <w:b w:val="1"/>
                <w:bCs w:val="1"/>
                <w:color w:val="auto"/>
              </w:rPr>
              <w:t>SJW GROUP</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38"/>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20" w:type="dxa"/>
            <w:vAlign w:val="bottom"/>
            <w:gridSpan w:val="6"/>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57"/>
        </w:trPr>
        <w:tc>
          <w:tcPr>
            <w:tcW w:w="1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gridSpan w:val="2"/>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77-0066628</w:t>
            </w:r>
          </w:p>
        </w:tc>
      </w:tr>
      <w:tr>
        <w:trPr>
          <w:trHeight w:val="257"/>
        </w:trPr>
        <w:tc>
          <w:tcPr>
            <w:tcW w:w="1420" w:type="dxa"/>
            <w:vAlign w:val="bottom"/>
          </w:tcPr>
          <w:p>
            <w:pPr>
              <w:spacing w:after="0"/>
              <w:rPr>
                <w:sz w:val="22"/>
                <w:szCs w:val="22"/>
                <w:color w:val="auto"/>
              </w:rPr>
            </w:pPr>
          </w:p>
        </w:tc>
        <w:tc>
          <w:tcPr>
            <w:tcW w:w="5500" w:type="dxa"/>
            <w:vAlign w:val="bottom"/>
            <w:gridSpan w:val="5"/>
          </w:tcPr>
          <w:p>
            <w:pPr>
              <w:jc w:val="center"/>
              <w:ind w:right="11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6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3"/>
        </w:trPr>
        <w:tc>
          <w:tcPr>
            <w:tcW w:w="3980" w:type="dxa"/>
            <w:vAlign w:val="bottom"/>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110 West Taylor Street,  San Jose,</w:t>
            </w:r>
          </w:p>
        </w:tc>
        <w:tc>
          <w:tcPr>
            <w:tcW w:w="2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w:t>
            </w:r>
          </w:p>
        </w:tc>
        <w:tc>
          <w:tcPr>
            <w:tcW w:w="386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95110</w:t>
            </w:r>
          </w:p>
        </w:tc>
      </w:tr>
      <w:tr>
        <w:trPr>
          <w:trHeight w:val="234"/>
        </w:trPr>
        <w:tc>
          <w:tcPr>
            <w:tcW w:w="1420" w:type="dxa"/>
            <w:vAlign w:val="bottom"/>
          </w:tcPr>
          <w:p>
            <w:pPr>
              <w:spacing w:after="0"/>
              <w:rPr>
                <w:sz w:val="20"/>
                <w:szCs w:val="20"/>
                <w:color w:val="auto"/>
              </w:rPr>
            </w:pPr>
          </w:p>
        </w:tc>
        <w:tc>
          <w:tcPr>
            <w:tcW w:w="5500" w:type="dxa"/>
            <w:vAlign w:val="bottom"/>
            <w:gridSpan w:val="5"/>
          </w:tcPr>
          <w:p>
            <w:pPr>
              <w:jc w:val="center"/>
              <w:ind w:right="114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00" w:type="dxa"/>
            <w:vAlign w:val="bottom"/>
          </w:tcPr>
          <w:p>
            <w:pPr>
              <w:spacing w:after="0"/>
              <w:rPr>
                <w:sz w:val="20"/>
                <w:szCs w:val="20"/>
                <w:color w:val="auto"/>
              </w:rPr>
            </w:pPr>
          </w:p>
        </w:tc>
        <w:tc>
          <w:tcPr>
            <w:tcW w:w="336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(Zip Code)</w:t>
            </w:r>
          </w:p>
        </w:tc>
      </w:tr>
      <w:tr>
        <w:trPr>
          <w:trHeight w:val="394"/>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00" w:type="dxa"/>
            <w:vAlign w:val="bottom"/>
            <w:gridSpan w:val="2"/>
          </w:tcPr>
          <w:p>
            <w:pPr>
              <w:jc w:val="center"/>
              <w:ind w:left="872"/>
              <w:spacing w:after="0"/>
              <w:rPr>
                <w:sz w:val="20"/>
                <w:szCs w:val="20"/>
                <w:color w:val="auto"/>
              </w:rPr>
            </w:pPr>
            <w:r>
              <w:rPr>
                <w:rFonts w:ascii="Times New Roman" w:cs="Times New Roman" w:eastAsia="Times New Roman" w:hAnsi="Times New Roman"/>
                <w:sz w:val="18"/>
                <w:szCs w:val="18"/>
                <w:b w:val="1"/>
                <w:bCs w:val="1"/>
                <w:color w:val="auto"/>
                <w:w w:val="99"/>
              </w:rPr>
              <w:t>(408) 279-7800</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90"/>
        </w:trPr>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0" w:type="dxa"/>
            <w:vAlign w:val="bottom"/>
            <w:gridSpan w:val="5"/>
          </w:tcPr>
          <w:p>
            <w:pPr>
              <w:jc w:val="center"/>
              <w:ind w:right="343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334"/>
        </w:trPr>
        <w:tc>
          <w:tcPr>
            <w:tcW w:w="69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256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60" w:type="dxa"/>
            <w:vAlign w:val="bottom"/>
          </w:tcPr>
          <w:p>
            <w:pPr>
              <w:spacing w:after="0"/>
              <w:rPr>
                <w:sz w:val="18"/>
                <w:szCs w:val="18"/>
                <w:color w:val="auto"/>
              </w:rPr>
            </w:pPr>
          </w:p>
        </w:tc>
        <w:tc>
          <w:tcPr>
            <w:tcW w:w="20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9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860" w:type="dxa"/>
            <w:vAlign w:val="bottom"/>
          </w:tcPr>
          <w:p>
            <w:pPr>
              <w:spacing w:after="0"/>
              <w:rPr>
                <w:sz w:val="21"/>
                <w:szCs w:val="21"/>
                <w:color w:val="auto"/>
              </w:rPr>
            </w:pP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SJW</w:t>
            </w:r>
          </w:p>
        </w:tc>
        <w:tc>
          <w:tcPr>
            <w:tcW w:w="5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 LLC</w:t>
            </w:r>
          </w:p>
        </w:tc>
      </w:tr>
    </w:tbl>
    <w:p>
      <w:pPr>
        <w:spacing w:after="0" w:line="63" w:lineRule="exact"/>
        <w:rPr>
          <w:sz w:val="24"/>
          <w:szCs w:val="24"/>
          <w:color w:val="auto"/>
        </w:rPr>
      </w:pPr>
    </w:p>
    <w:p>
      <w:pPr>
        <w:ind w:right="14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jc w:val="both"/>
        <w:ind w:right="14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56"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38" w:orient="portrait"/>
          <w:cols w:equalWidth="0" w:num="1">
            <w:col w:w="11080"/>
          </w:cols>
          <w:pgMar w:left="320" w:top="1366" w:right="499" w:bottom="1440" w:gutter="0" w:footer="0" w:header="0"/>
        </w:sectPr>
      </w:pPr>
    </w:p>
    <w:p>
      <w:pPr>
        <w:spacing w:after="0" w:line="38" w:lineRule="exact"/>
        <w:rPr>
          <w:sz w:val="24"/>
          <w:szCs w:val="24"/>
          <w:color w:val="auto"/>
        </w:rPr>
      </w:pPr>
    </w:p>
    <w:p>
      <w:pPr>
        <w:ind w:left="36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21"/>
          <w:szCs w:val="21"/>
          <w:color w:val="auto"/>
        </w:rPr>
        <w:t>☒</w:t>
      </w:r>
    </w:p>
    <w:p>
      <w:pPr>
        <w:spacing w:after="0" w:line="65" w:lineRule="exact"/>
        <w:rPr>
          <w:sz w:val="24"/>
          <w:szCs w:val="24"/>
          <w:color w:val="auto"/>
        </w:rPr>
      </w:pPr>
    </w:p>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both"/>
        <w:ind w:firstLine="448"/>
        <w:spacing w:after="0" w:line="312" w:lineRule="auto"/>
        <w:rPr>
          <w:sz w:val="20"/>
          <w:szCs w:val="20"/>
          <w:color w:val="auto"/>
        </w:rPr>
      </w:pPr>
      <w:r>
        <w:rPr>
          <w:rFonts w:ascii="Times New Roman" w:cs="Times New Roman" w:eastAsia="Times New Roman" w:hAnsi="Times New Roman"/>
          <w:sz w:val="17"/>
          <w:szCs w:val="17"/>
          <w:color w:val="auto"/>
        </w:rPr>
        <w:t>Non-accelerated filer Smaller reporting company</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326" w:lineRule="exact"/>
        <w:rPr>
          <w:sz w:val="24"/>
          <w:szCs w:val="24"/>
          <w:color w:val="auto"/>
        </w:rPr>
      </w:pPr>
    </w:p>
    <w:p>
      <w:pPr>
        <w:sectPr>
          <w:pgSz w:w="11900" w:h="16838" w:orient="portrait"/>
          <w:cols w:equalWidth="0" w:num="4">
            <w:col w:w="2340" w:space="80"/>
            <w:col w:w="160" w:space="40"/>
            <w:col w:w="1960" w:space="100"/>
            <w:col w:w="6400"/>
          </w:cols>
          <w:pgMar w:left="320" w:top="1366" w:right="499" w:bottom="144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42"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5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As of April 25, 2022, there were 30,237,145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366" w:right="49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3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accuracy of such statements is subject to a number of risks, uncertainties and assumptions including, but not limited to, the following factors:</w:t>
      </w:r>
    </w:p>
    <w:p>
      <w:pPr>
        <w:spacing w:after="0" w:line="158"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water, utility, environmental and other governmental policies and regulations, including actions concerning rates, authorized return on equity, authorized capital structures, capital expenditures and other decisions;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water and other services;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Coronavirus (“COVID-19”) pandemic on our business operation and financial results;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weather conditions and changes in seasonality including those affecting water supply and customer usage;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the effects thereof;</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evaluate investments in new business and growth initiatives;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of our water supplies and damage or failure of our water equipment and infrastructure;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work stoppages, strikes and other labor-related actions;</w:t>
      </w:r>
    </w:p>
    <w:p>
      <w:pPr>
        <w:spacing w:after="0" w:line="15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fires, earthquakes, explosions, floods, ice storms, tornadoes, hurricanes, terrorist acts, physical attacks, cyber-attacks, epidemic or other similar occurrences;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business and financial market conditions;</w:t>
      </w:r>
    </w:p>
    <w:p>
      <w:pPr>
        <w:spacing w:after="0" w:line="157"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general market and economic developments.</w:t>
      </w:r>
    </w:p>
    <w:p>
      <w:pPr>
        <w:spacing w:after="0" w:line="14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Results for a quarter are not indicative of results for a full year due to seasonality and other factors. In addition, 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we undertake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114,785</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Purchased water</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15,645</w:t>
            </w:r>
          </w:p>
        </w:tc>
      </w:tr>
      <w:tr>
        <w:trPr>
          <w:trHeight w:val="229"/>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Power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30"/>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Groundwater extraction charges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15,545</w:t>
            </w:r>
          </w:p>
        </w:tc>
      </w:tr>
      <w:tr>
        <w:trPr>
          <w:trHeight w:val="229"/>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production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production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43,595</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20,893</w:t>
            </w: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Maintenance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w:t>
            </w: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23,438</w:t>
            </w: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nonutility properties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operating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101,706</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non-service cost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30,224,135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28,862,882</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30,335,974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28,990,203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color w:val="auto"/>
        </w:rPr>
        <w:t>SJW GROUP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plant:</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39,004</w:t>
            </w:r>
          </w:p>
        </w:tc>
      </w:tr>
      <w:tr>
        <w:trPr>
          <w:trHeight w:val="229"/>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Depreciable plant and equipment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3,420,850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3,381,908</w:t>
            </w: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180,961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176,427</w:t>
            </w:r>
          </w:p>
        </w:tc>
      </w:tr>
      <w:tr>
        <w:trPr>
          <w:trHeight w:val="229"/>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36,276</w:t>
            </w:r>
          </w:p>
        </w:tc>
      </w:tr>
      <w:tr>
        <w:trPr>
          <w:trHeight w:val="223"/>
        </w:trPr>
        <w:tc>
          <w:tcPr>
            <w:tcW w:w="7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3,678,001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3,633,615</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1,160,758</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1,136,116</w:t>
            </w:r>
          </w:p>
        </w:tc>
      </w:tr>
      <w:tr>
        <w:trPr>
          <w:trHeight w:val="223"/>
        </w:trPr>
        <w:tc>
          <w:tcPr>
            <w:tcW w:w="7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2,517,243</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2,497,499</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and nonutility properties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57,673</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57,632</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16,251</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r>
      <w:tr>
        <w:trPr>
          <w:trHeight w:val="223"/>
        </w:trPr>
        <w:tc>
          <w:tcPr>
            <w:tcW w:w="7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41,422</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41,681</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r>
      <w:tr>
        <w:trPr>
          <w:trHeight w:val="230"/>
        </w:trPr>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6"/>
        </w:trPr>
        <w:tc>
          <w:tcPr>
            <w:tcW w:w="76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Customers, net of allowances for uncollectible accounts of $5,113 and $4,600 on March 31,</w:t>
            </w: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2022 and December 31, 2021, respectively</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53,942</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53,699</w:t>
            </w:r>
          </w:p>
        </w:tc>
      </w:tr>
      <w:tr>
        <w:trPr>
          <w:trHeight w:val="230"/>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r>
      <w:tr>
        <w:trPr>
          <w:trHeight w:val="229"/>
        </w:trPr>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unbilled utility revenue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39,506</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44,026</w:t>
            </w:r>
          </w:p>
        </w:tc>
      </w:tr>
      <w:tr>
        <w:trPr>
          <w:trHeight w:val="230"/>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w:t>
            </w: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regulatory assets, net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29"/>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w:t>
            </w:r>
          </w:p>
        </w:tc>
      </w:tr>
      <w:tr>
        <w:trPr>
          <w:trHeight w:val="223"/>
        </w:trPr>
        <w:tc>
          <w:tcPr>
            <w:tcW w:w="7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137,935</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134,085</w:t>
            </w: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regulatory assets, less current portion</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147,566</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151,992</w:t>
            </w:r>
          </w:p>
        </w:tc>
      </w:tr>
      <w:tr>
        <w:trPr>
          <w:trHeight w:val="230"/>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15,784</w:t>
            </w:r>
          </w:p>
        </w:tc>
      </w:tr>
      <w:tr>
        <w:trPr>
          <w:trHeight w:val="22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640,311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640,471</w:t>
            </w:r>
          </w:p>
        </w:tc>
      </w:tr>
      <w:tr>
        <w:trPr>
          <w:trHeight w:val="230"/>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w:t>
            </w:r>
          </w:p>
        </w:tc>
      </w:tr>
      <w:tr>
        <w:trPr>
          <w:trHeight w:val="223"/>
        </w:trPr>
        <w:tc>
          <w:tcPr>
            <w:tcW w:w="7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815,276</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819,130</w:t>
            </w:r>
          </w:p>
        </w:tc>
      </w:tr>
      <w:tr>
        <w:trPr>
          <w:trHeight w:val="223"/>
        </w:trPr>
        <w:tc>
          <w:tcPr>
            <w:tcW w:w="76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3,511,876</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3,492,395</w:t>
            </w:r>
          </w:p>
        </w:tc>
      </w:tr>
      <w:tr>
        <w:trPr>
          <w:trHeight w:val="20"/>
        </w:trPr>
        <w:tc>
          <w:tcPr>
            <w:tcW w:w="7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CAPITALIZATION AND LIABILITIES</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184"/>
        </w:trPr>
        <w:tc>
          <w:tcPr>
            <w:tcW w:w="76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$0.001 par value; authorized 70,000,000 shares; issued and outstanding shares</w:t>
            </w: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30,237,145 on March 31, 2022 and 30,181,348 on December 31, 2021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607,637</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606,392</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421,095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428,260</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1,028,418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1,034,519</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1,491,556</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1,492,935</w:t>
            </w:r>
          </w:p>
        </w:tc>
      </w:tr>
      <w:tr>
        <w:trPr>
          <w:trHeight w:val="223"/>
        </w:trPr>
        <w:tc>
          <w:tcPr>
            <w:tcW w:w="7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2,519,974</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2,527,454</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 of credit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62,996</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39,106</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groundwater extraction charges, purchased water and power</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28,367</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30,391</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14,174</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27,821</w:t>
            </w:r>
          </w:p>
        </w:tc>
      </w:tr>
      <w:tr>
        <w:trPr>
          <w:trHeight w:val="223"/>
        </w:trPr>
        <w:tc>
          <w:tcPr>
            <w:tcW w:w="76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217,853</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203,271</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203,186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200,451</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FOR CONSTRUCTION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130,693</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IN AID OF CONSTRUCTION</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317,494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316,479</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89,998</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24,049</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3,511,876</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3,492,395</w:t>
            </w:r>
          </w:p>
        </w:tc>
      </w:tr>
      <w:tr>
        <w:trPr>
          <w:trHeight w:val="21"/>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96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5"/>
                <w:szCs w:val="5"/>
                <w:color w:val="auto"/>
              </w:rPr>
            </w:pPr>
          </w:p>
        </w:tc>
        <w:tc>
          <w:tcPr>
            <w:tcW w:w="1100" w:type="dxa"/>
            <w:vAlign w:val="bottom"/>
            <w:vMerge w:val="restart"/>
          </w:tcPr>
          <w:p>
            <w:pPr>
              <w:jc w:val="center"/>
              <w:ind w:right="95"/>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39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00" w:type="dxa"/>
            <w:vAlign w:val="bottom"/>
          </w:tcPr>
          <w:p>
            <w:pPr>
              <w:jc w:val="center"/>
              <w:ind w:right="95"/>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7"/>
                <w:szCs w:val="17"/>
                <w:color w:val="auto"/>
              </w:rPr>
            </w:pPr>
          </w:p>
        </w:tc>
        <w:tc>
          <w:tcPr>
            <w:tcW w:w="11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30,181,348</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1,034,519</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Unrealized loss on investment, net of tax benefit of</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$67</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issuance costs</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($0.36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March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30,237,145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1,028,418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96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19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9"/>
                <w:szCs w:val="9"/>
                <w:color w:val="auto"/>
              </w:rPr>
            </w:pPr>
          </w:p>
        </w:tc>
        <w:tc>
          <w:tcPr>
            <w:tcW w:w="1100" w:type="dxa"/>
            <w:vAlign w:val="bottom"/>
            <w:vMerge w:val="restart"/>
          </w:tcPr>
          <w:p>
            <w:pPr>
              <w:jc w:val="center"/>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1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00" w:type="dxa"/>
            <w:vAlign w:val="bottom"/>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7"/>
                <w:szCs w:val="17"/>
                <w:color w:val="auto"/>
              </w:rPr>
            </w:pPr>
          </w:p>
        </w:tc>
        <w:tc>
          <w:tcPr>
            <w:tcW w:w="11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28,556,605</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(1,064)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917,160</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income on investment, net of taxes of</w:t>
            </w: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1,184,500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($0.34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March 31,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978,296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color w:val="auto"/>
        </w:rPr>
        <w:t>SJW GROUP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2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23,931</w:t>
            </w:r>
          </w:p>
        </w:tc>
      </w:tr>
      <w:tr>
        <w:trPr>
          <w:trHeight w:val="22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9"/>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30"/>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9"/>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on sale of nonutility properties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and accrued unbilled utility revenue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r>
      <w:tr>
        <w:trPr>
          <w:trHeight w:val="22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r>
      <w:tr>
        <w:trPr>
          <w:trHeight w:val="230"/>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groundwater extraction charges, purchased water and power</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2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Tax receivable and payable, and other accrued taxes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29"/>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Postretirement benefits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176"/>
        </w:trPr>
        <w:tc>
          <w:tcPr>
            <w:tcW w:w="832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Regulatory assets and liabilities excluding income tax temporary differences, net and postretirement</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3"/>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benefits</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83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changes, net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w:t>
            </w: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utility plant: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Company-funded</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(46,674)</w:t>
            </w:r>
          </w:p>
        </w:tc>
      </w:tr>
      <w:tr>
        <w:trPr>
          <w:trHeight w:val="230"/>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Contributions in aid of construction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r>
      <w:tr>
        <w:trPr>
          <w:trHeight w:val="230"/>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real estate investments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to retire utility plant, net of salvage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9"/>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nonutility properties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business acquisitions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(51,940)</w:t>
            </w: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28,637</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r>
      <w:tr>
        <w:trPr>
          <w:trHeight w:val="229"/>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borrowings</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30"/>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net of issuance costs</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67,249</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r>
      <w:tr>
        <w:trPr>
          <w:trHeight w:val="229"/>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Receipts of advances and contributions in aid of construction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Refunds of advances for construction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30"/>
        </w:trPr>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changes, net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23,805</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w:t>
            </w:r>
          </w:p>
        </w:tc>
      </w:tr>
      <w:tr>
        <w:trPr>
          <w:trHeight w:val="23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w:t>
            </w:r>
          </w:p>
        </w:tc>
      </w:tr>
      <w:tr>
        <w:trPr>
          <w:trHeight w:val="23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RESTRICTED CASH, END OF PERIOD</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11,406</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8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r>
      <w:tr>
        <w:trPr>
          <w:trHeight w:val="230"/>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payables for additions to utility plant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16,720</w:t>
            </w:r>
          </w:p>
        </w:tc>
      </w:tr>
      <w:tr>
        <w:trPr>
          <w:trHeight w:val="22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Utility property installed by developers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4"/>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additional common stock issuance costs</w:t>
            </w: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bl>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180"/>
          </w:cols>
          <w:pgMar w:left="360" w:top="931" w:right="359" w:bottom="1118" w:gutter="0" w:footer="0" w:header="0"/>
        </w:sect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31" w:right="359" w:bottom="1118"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u w:val="single" w:color="auto"/>
          <w:color w:val="auto"/>
        </w:rPr>
        <w:t>General</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The Notes to Consolidated Financial Statements in SJW Group’s 2021 Annual Report on Form 10-K should be read with the accompanying unaudited condensed consolidated financial statements.</w:t>
      </w:r>
    </w:p>
    <w:p>
      <w:pPr>
        <w:spacing w:after="0" w:line="7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SJW Group is a holding company with five wholly-owned subsidiaries: San Jose Water Company (“SJWC”), SJWNE LLC, SJWTX, Inc., SJW Land Company, and SJW Holdings, Inc. SJWNE LLC is the holding company for Connecticut Water Service, Inc. (“CTWS”) whose wholly-subsidiaries are The Connecticut Water Company (“Connecticut Water”), The Maine Water Company (“Maine Water”), New England Water Utility Services, Inc. (“NEWUS”), and Chester Realty, Inc. SJWC, Connecticut Water, SJWTX, Inc. doing business as Canyon Lake Water Service Company (“CLWSC”), Maine Water and NEWUS are referred to as “Water Utility Services.” SJW Land Company and Chester Realty, Inc. are collectively referred to as “Real Estate Services.”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streams of revenue for SJW Group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121,777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112,238</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revenue programs,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balancing and memorandum accounts,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regulatory mechanisms,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23"/>
        </w:trPr>
        <w:tc>
          <w:tcPr>
            <w:tcW w:w="84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124,302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114,785</w:t>
            </w:r>
          </w:p>
        </w:tc>
      </w:tr>
      <w:tr>
        <w:trPr>
          <w:trHeight w:val="20"/>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Investments and Nonutility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real estate investments and nonutility properties as of March 31, 2022, and December 31, 2021,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45,017</w:t>
            </w:r>
          </w:p>
        </w:tc>
      </w:tr>
      <w:tr>
        <w:trPr>
          <w:trHeight w:val="22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57,632</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15,951</w:t>
            </w:r>
          </w:p>
        </w:tc>
      </w:tr>
      <w:tr>
        <w:trPr>
          <w:trHeight w:val="248"/>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October 29, 2021, SJWC sold two nonutility properties located in San Jose, California for $13,150. SJW Group recognized a pre-tax gain on the sale of nonutility properties of $7,230, after selling expenses of $277 for one of the properties sold, and a gain of $5,442, after selling expenses of $178, was deferred on the other nonutility property pending CPUC review for the 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ended December 31, 2021. On February 15, 2022, the California Public Utilities Commission (“CPUC”) review was completed and $5,442 was recognized as gain on sale of nonutility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following instruments are not measured at fair value on SJW Group’s condensed consolidated balance sheets as of March 31, 2022, but require disclosure of their fair values: cash and cash equivalents, accounts receivable and accounts payable. The estimated fair value of such instruments as of March 31, 2022, approximates their carrying value as reported on the condensed consolidated balance sheets. The estimated fair value of such financial instruments were determined using the income approach based on the present value of estimated future cash flows. There have been no changes in valuation techniques during the three months ended March 31, 2022. The fair value of these instruments would be categorized as Level 2 in the fair value hierarchy, with the exception of cash and cash equivalents, which would be categorized as Level 1.</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fair value of SJW Group’s long-term debt was approximately $1,493,425 and $1,651,825 as of March 31, 2022, and December 31, 2021, respectively, and was determined using a discounted cash flow analysis, based on the current rates for similar financial instruments of the same duration and creditworthiness of the company. The book value of long-term debt was $1,530,475 and $1,532,041 as of March 31, 2022, and December 31, 2021, respectively. The fair value of long-term debt would be categorized as Level 2 in the fair value hierarchy.</w:t>
      </w:r>
    </w:p>
    <w:p>
      <w:pPr>
        <w:spacing w:after="0" w:line="7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Connecticut Water Service, Inc.’s (“CTWS”) additional retirement benefits under the supplemental executive retirement plans and retirement contracts are funded by investment assets held by a Rabbi Trust. The fair value of the money market funds, mutual funds and fixed income investments in the Rabbi Trust was $3,469 and $3,797 as of March 31, 2022, and December 31, 2021, respectively, and are categorized as Level 1 in the fair value hierarchy.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 (as amended, the “Incentive Plan”), shares potentially issuable under the performance stock plans assumed through the business combination with CTWS, and shares potentially issuable under the Employee Stock Purchase Plan (“ESPP”). For the three months ended March 31, 2022 and 2021, 10,860 and 8,579 anti-dilutive restricted common stock units were excluded from the dilutive earnings per share calculation, respectively.</w:t>
      </w:r>
    </w:p>
    <w:p>
      <w:pPr>
        <w:spacing w:after="0" w:line="32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u w:val="single" w:color="auto"/>
          <w:color w:val="auto"/>
        </w:rPr>
        <w:t>Regulatory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assets, net are comprised of the following as of March 31, 2022, and December 31,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temporary differences, net</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Postretirement pensions and other postretirement benefits</w:t>
            </w:r>
          </w:p>
        </w:tc>
        <w:tc>
          <w:tcPr>
            <w:tcW w:w="2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Business combinations debt premium, net</w:t>
            </w: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Balancing and memorandum accounts, net</w:t>
            </w:r>
          </w:p>
        </w:tc>
        <w:tc>
          <w:tcPr>
            <w:tcW w:w="2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Water Rate Adjustment</w:t>
            </w: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7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regulatory assets, net in Condensed Consolidated Balance Sheets</w:t>
            </w: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151,936</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regulatory assets, net</w:t>
            </w:r>
          </w:p>
        </w:tc>
        <w:tc>
          <w:tcPr>
            <w:tcW w:w="27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regulatory assets, net, less current portion</w:t>
            </w:r>
          </w:p>
        </w:tc>
        <w:tc>
          <w:tcPr>
            <w:tcW w:w="27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147,566</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74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March 31, 2022, and December 31, 2021, SJW Group’s regulatory assets, net not earning a return primarily included postretirement pensions and other medical benefits unfunded amount, and business combination debt premiums, net. The total amount of regulatory assets, net not earning a return at March 31, 2022, and December 31, 2021, either by interest on the regulatory asset/liability or as a component of rate base at the allowed rate of return was $85,446 and $84,887,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Balancing and Memorandum Accounts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SJWC has established balancing accounts for the purpose of tracking the under-collection or over-collection associated with expense changes and revenue authorized by the CPUC to offset those expense changes. 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The Monterey Water Revenue Adjustment Mechanism (“MWRAM”) tracks the difference between the revenue received for actual metered sales through the tiered volumetric rate and the revenue that would have been received with the same actual metered sales if a uniform rate would have been in effect. The Water Conservation Memorandum Account (“WCMA”) allows SJWC to track lost revenue, net of related water costs, associated with reduced sales due to water conservation and associated calls for water use reductions. SJWC records the lost revenue captured in the WCMA balancing accounts. Drought surcharges collected will be used to offset the revenue losses tracked in the WCMA.</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Balancing and memorandum accounts recorded to regulatory assets, net for the three months ended March 31, 2022, and 2021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Beginning</w:t>
            </w:r>
          </w:p>
        </w:tc>
        <w:tc>
          <w:tcPr>
            <w:tcW w:w="10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Regulatory Asset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Refunds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Beginning</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Regulatory Asset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Refunds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11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(Collections)</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Increase</w:t>
            </w:r>
          </w:p>
        </w:tc>
        <w:tc>
          <w:tcPr>
            <w:tcW w:w="10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(Collections)</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0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160" w:type="dxa"/>
            <w:vAlign w:val="bottom"/>
          </w:tcPr>
          <w:p>
            <w:pPr>
              <w:spacing w:after="0"/>
              <w:rPr>
                <w:sz w:val="15"/>
                <w:szCs w:val="15"/>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0" w:type="dxa"/>
            <w:vAlign w:val="bottom"/>
          </w:tcPr>
          <w:p>
            <w:pPr>
              <w:spacing w:after="0"/>
              <w:rPr>
                <w:sz w:val="1"/>
                <w:szCs w:val="1"/>
                <w:color w:val="auto"/>
              </w:rPr>
            </w:pP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accounts:</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MWRAM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1080" w:type="dxa"/>
            <w:vAlign w:val="bottom"/>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13,853</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WCMA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175"/>
        </w:trPr>
        <w:tc>
          <w:tcPr>
            <w:tcW w:w="26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capital memorandum</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 accounts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18,451</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Cost-recovery accounts: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 supply costs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080" w:type="dxa"/>
            <w:vAlign w:val="bottom"/>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0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0" w:type="dxa"/>
            <w:vAlign w:val="bottom"/>
          </w:tcPr>
          <w:p>
            <w:pPr>
              <w:spacing w:after="0"/>
              <w:rPr>
                <w:sz w:val="1"/>
                <w:szCs w:val="1"/>
                <w:color w:val="auto"/>
              </w:rPr>
            </w:pPr>
          </w:p>
        </w:tc>
      </w:tr>
      <w:tr>
        <w:trPr>
          <w:trHeight w:val="338"/>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PRVMA</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80" w:type="dxa"/>
            <w:vAlign w:val="bottom"/>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CEMA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80" w:type="dxa"/>
            <w:vAlign w:val="bottom"/>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cost-recovery accounts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38,334</w:t>
            </w:r>
          </w:p>
        </w:tc>
        <w:tc>
          <w:tcPr>
            <w:tcW w:w="10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All balancing accounts and memorandum-type accounts not included for recovery or refund in the current general rate case will be reviewed by the CPUC in SJWC’s next general rate case or at the time an individual account balance reaches a threshold of 2% of authorized revenue, whichever occurs first.</w:t>
      </w:r>
    </w:p>
    <w:p>
      <w:pPr>
        <w:spacing w:after="0" w:line="31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u w:val="single" w:color="auto"/>
          <w:color w:val="auto"/>
        </w:rPr>
        <w:t>Bank Borrowings and Long-Term Liabilities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SJW Group’s contractual obligations and commitments include senior notes, bank term loans, revenue bonds, state revolving fund loans and other obligations. Water Utility Services have received advance deposit payments from its customers on certain construction projects. The refunds of the advance deposit payments constitute an obligation of the respective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0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u w:val="single" w:color="auto"/>
          <w:color w:val="auto"/>
        </w:rPr>
        <w:t>Income Taxes</w:t>
      </w:r>
    </w:p>
    <w:p>
      <w:pPr>
        <w:spacing w:after="0" w:line="12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Income tax expense (benefit) for the three months ended March 31, 2022, and 2021, was $1,067 and $(896), respectively. The effective consolidated income tax rates were 22% and (52)% for the three months ended March 31, 2022, and 2021, respectively. The higher effective tax rate for the three months ended March 31, 2022, was primarily due to discrete tax expense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 had unrecognized tax benefits, before the impact of deductions of state taxes, excluding interest and penalties of approximately $8,014 and</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$7,961 as of March 31, 2022, and December 31, 2021, respectively. SJW Group does not expect its unrecognized tax benefits to change significantly within the next 12 months.</w:t>
      </w:r>
    </w:p>
    <w:p>
      <w:pPr>
        <w:spacing w:after="0" w:line="31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u w:val="single" w:color="auto"/>
          <w:color w:val="auto"/>
        </w:rPr>
        <w:t>Commitments and Contingencies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30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u w:val="single" w:color="auto"/>
          <w:color w:val="auto"/>
        </w:rPr>
        <w:t>Benefit Plans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SJW Group maintains noncontributory defined benefit pension plans for its eligible employees. SJWC and CTWS employees hired before March 31, 2008, and January 1, 2009, respectively,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Certain CTWS employees hired before March 1, 2012, and covered by a plan merged into the CTWS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senior management hired before March 31, 2008, for SJWC and January 1, 2009, for CTWS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other than pension plans.</w:t>
      </w:r>
    </w:p>
    <w:p>
      <w:pPr>
        <w:spacing w:after="0" w:line="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costs for the defined benefit plans and other postretirement benefits for the three months ended March 31, 2022, and 2021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58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80" w:type="dxa"/>
            <w:vAlign w:val="bottom"/>
          </w:tcPr>
          <w:p>
            <w:pPr>
              <w:spacing w:after="0"/>
              <w:rPr>
                <w:sz w:val="16"/>
                <w:szCs w:val="16"/>
                <w:color w:val="auto"/>
              </w:rPr>
            </w:pPr>
          </w:p>
        </w:tc>
        <w:tc>
          <w:tcPr>
            <w:tcW w:w="9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r>
      <w:tr>
        <w:trPr>
          <w:trHeight w:val="229"/>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actuarial loss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0"/>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SJW Group expects to make required and discretionary cash contributions of up to $7,842 to the pension plans and other postretirement benefits.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SJW Group has made no contributions to the plans.</w:t>
      </w:r>
    </w:p>
    <w:p>
      <w:pPr>
        <w:spacing w:after="0" w:line="33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u w:val="single" w:color="auto"/>
          <w:color w:val="auto"/>
        </w:rPr>
        <w:t>Equity Plans</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Incentive Plan allows SJW Group to provide employees, non-employee board members or the board of directors of any parent or subsidiary, consultants, and other independent advisors who provide services to the company or any parent 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subsidiary the opportunity to acquire an equity interest in SJW Group. SJW Group also maintains stock plans in connection with its acquisition of CTWS which are no longer granting new awards under the plan. As of March 31, 2022, 179,833 shares are issuable upon the vesting of outstanding restricted stock units and deferred restricted stock units and an additional 625,071 shares are available for award issuances under the Incentive Plan.</w:t>
      </w:r>
    </w:p>
    <w:p>
      <w:pPr>
        <w:spacing w:after="0" w:line="6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 summary of compensation costs charged to income and proceeds from the exercise of restricted stock and similar instruments that are recorded to additional paid-in capital and common stock, by award type, are presented below for the three months ended March 31,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costs charged to income:</w:t>
            </w: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30"/>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ESPP</w:t>
            </w:r>
          </w:p>
        </w:tc>
        <w:tc>
          <w:tcPr>
            <w:tcW w:w="92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and deferred restricted stock</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1,099</w:t>
            </w:r>
          </w:p>
        </w:tc>
      </w:tr>
      <w:tr>
        <w:trPr>
          <w:trHeight w:val="223"/>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compensation costs charged to income</w:t>
            </w:r>
          </w:p>
        </w:tc>
        <w:tc>
          <w:tcPr>
            <w:tcW w:w="92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1,280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proceeds</w:t>
            </w: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Deferred Restricted Stock</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SJW Group granted under the Incentive Plan 31,399 and 33,701, respectively, one year and three year service-based restricted stock awards with a weighted-average grant date fair value of $68.37 and $64.22, respectively, per unit.</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and 2021, SJW Group granted under the Incentive Plan 33,621 and 29,459 target units, respectively, performance-based and market-based restricted stock awards granted with a weighted-average grant date fair value of $70.35 and $66.35, respectively, per unit.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2022, the total unrecognized compensation costs related to restricted and deferred restricted stock plans amounted to $7,618. This cost is expected to be recognized over a weighted-average period of 2.14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SJW Group’s recorded expenses were $93 and $88 for the three months ended March 31, 2022 and 2021, respectively, related to the ESPP. The total unrecognized compensation costs related to the semi-annual offering period that ends July 29, 2022, for the ESPP is approximately $132. This cost is expected to be recognized during the second and third quarters of 2022.</w:t>
      </w:r>
    </w:p>
    <w:p>
      <w:pPr>
        <w:spacing w:after="0" w:line="30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u w:val="single" w:color="auto"/>
          <w:color w:val="auto"/>
        </w:rPr>
        <w:t>Segment and Non-Tariffed Business Reporting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SJW Group is a holding company with five subsidiaries: (i) SJWC, a water utility operation with both regulated and non-tariffed businesses, (ii) CLWSC, a regulated water utility located in Canyon Lake, Texas, and its consolidated non-tariffed variable interest entity, Acequia Water Supply Corporation,</w:t>
      </w:r>
    </w:p>
    <w:p>
      <w:pPr>
        <w:ind w:firstLine="8"/>
        <w:spacing w:after="0" w:line="251"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SJW Land Company and its consolidated variable interest entity, 444 West Santa Clara Street, L.P., which operated commercial building rentals, (iv) SJWNE LLC a holding company for CTWS and its subsidiaries, The Connecticut Water Company, The Maine Water Company, New England Water Utility Services, Inc. and Chester Realty, Inc., and (v) SJWTX Holdings, Inc. which was formed for the purpose of effecting a corporate reorganization of the water utility operations in Texas. In accordance with FASB ASC Topic 280 - “Segment Reporting,” SJW Group’s reportable segments have been determined based on information used by the chief operating decision maker. SJW Group’s chief operating decision maker includes the Chairman, President and Chief Executive Officer, and his executive staff. The first segment is providing water utility and utility-related services to its customers through SJW Group’s subsidiaries, SJWC, Connecticut Water, CLWSC, Maine Water, and NEWUS together referred to as “Water Utility Services.” The second segment is property management and investment activity conducted by SJW Land Company and Chester Realty, Inc., referred to as “Real Estate Services.”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0" w:type="dxa"/>
            <w:vAlign w:val="bottom"/>
            <w:gridSpan w:val="11"/>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Three Months Ended March 31, 2022</w:t>
            </w: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7"/>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20" w:type="dxa"/>
            <w:vAlign w:val="bottom"/>
          </w:tcPr>
          <w:p>
            <w:pPr>
              <w:spacing w:after="0"/>
              <w:rPr>
                <w:sz w:val="11"/>
                <w:szCs w:val="11"/>
                <w:color w:val="auto"/>
              </w:rPr>
            </w:pPr>
          </w:p>
        </w:tc>
        <w:tc>
          <w:tcPr>
            <w:tcW w:w="118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20" w:type="dxa"/>
            <w:vAlign w:val="bottom"/>
          </w:tcPr>
          <w:p>
            <w:pPr>
              <w:spacing w:after="0"/>
              <w:rPr>
                <w:sz w:val="11"/>
                <w:szCs w:val="11"/>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 (1)</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SJW Group</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7"/>
            <w:vMerge w:val="continue"/>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1,356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120,518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3,784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124,302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909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1,374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101,451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6,262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107,713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19,067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16,589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9,715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24,511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27,606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Interest on long-term debt and other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4,966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8,763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4,966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13,729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3,403,006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44,361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60,370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3,403,006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108,870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3,511,876</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Three Months Ended March 31, 2021</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7"/>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20" w:type="dxa"/>
            <w:vAlign w:val="bottom"/>
          </w:tcPr>
          <w:p>
            <w:pPr>
              <w:spacing w:after="0"/>
              <w:rPr>
                <w:sz w:val="11"/>
                <w:szCs w:val="11"/>
                <w:color w:val="auto"/>
              </w:rPr>
            </w:pPr>
          </w:p>
        </w:tc>
        <w:tc>
          <w:tcPr>
            <w:tcW w:w="11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20" w:type="dxa"/>
            <w:vAlign w:val="bottom"/>
          </w:tcPr>
          <w:p>
            <w:pPr>
              <w:spacing w:after="0"/>
              <w:rPr>
                <w:sz w:val="11"/>
                <w:szCs w:val="11"/>
                <w:color w:val="auto"/>
              </w:rPr>
            </w:pPr>
          </w:p>
        </w:tc>
        <w:tc>
          <w:tcPr>
            <w:tcW w:w="11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 (1)</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SJW Group</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7"/>
            <w:vMerge w:val="continue"/>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on long-term debt and other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3,218,536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3,218,536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113,606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3,332,142</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ind w:firstLine="8"/>
        <w:spacing w:after="0" w:line="256" w:lineRule="auto"/>
        <w:tabs>
          <w:tab w:leader="none" w:pos="30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 Other” category for the three months ended March 31, 2022, includes the accounts of SJW Group, SJWNE LLC, CTWS and SJWTX Holdings, Inc. on a stand-alone basis. SJWTX Holdings, Inc. had no activity for the three months ended March 31, 2022 . For the three months ended March 31, 2021, “All Other” category includes the accounts of SJW Group, SJWNE LLC and CTWS on a stand-alone basis.</w:t>
      </w:r>
    </w:p>
    <w:p>
      <w:pPr>
        <w:spacing w:after="0" w:line="1" w:lineRule="exact"/>
        <w:rPr>
          <w:rFonts w:ascii="Times New Roman" w:cs="Times New Roman" w:eastAsia="Times New Roman" w:hAnsi="Times New Roman"/>
          <w:sz w:val="14"/>
          <w:szCs w:val="14"/>
          <w:color w:val="auto"/>
        </w:rPr>
      </w:pPr>
    </w:p>
    <w:p>
      <w:pPr>
        <w:ind w:right="380" w:firstLine="8"/>
        <w:spacing w:after="0" w:line="278" w:lineRule="auto"/>
        <w:tabs>
          <w:tab w:leader="none" w:pos="3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and December 31, 2021, the Company has performed an allocation of goodwill associated with the acquisition of CTWS to two reporting units, Connecticut and Maine, which are both aggregated within the Regulated Water Utility Services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ind w:left="1300" w:right="6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 (Dollar amounts in thousands, except per share amounts and otherwise noted)</w:t>
      </w:r>
    </w:p>
    <w:p>
      <w:pPr>
        <w:spacing w:after="0" w:line="8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2021.</w:t>
      </w:r>
    </w:p>
    <w:p>
      <w:pPr>
        <w:spacing w:after="0" w:line="9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SJW Group is a holding company with five wholly-owned subsidiaries: San Jose Water Company (“SJWC”), SJWNE LLC, SJWTX, Inc., SJW Land Company, and SJWTX Holdings, Inc.</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SJWC is a public utility in the business of providing water service to approximately 231,000 connections that serve a population of approximately one million people in an area comprising approximately 139 square miles in the metropolitan San Jose, California area. The principal business of SJWC consists of the production, purchase, storage, purification, distribution, wholesale, and retail sale of water. SJWC provides water service to customers in portions of the cities of San Jose and Cupertino and in the cities of Campbell, Monte Sereno, and Saratoga and the Town of Los Gatos, and adjacent unincorporated territories, all in the County of Santa Clara in the State of California. SJWC distributes water to customers in accordance with accepted water utility methods which include pumping from storage and gravity feed from high elevation reservoirs. SJWC also provides non-tariffed services under agreements with municipalities and other utilities. These non-tariffed services include water system operations, maintenance agreements, and antenna site leases.</w:t>
      </w:r>
    </w:p>
    <w:p>
      <w:pPr>
        <w:spacing w:after="0" w:line="84"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SJWC has utility property including land held in fee, impounding reservoirs, diversion facilities, wells, distribution storage, and all water facilities, equipment, office buildings and other property necessary to serve its customers. Under Section 851 of the California Public Utilities Code, properties currently used and useful in providing utilities services cannot be disposed of unless California Public Utilities Commission (“CPUC”) approval is obtained.</w:t>
      </w:r>
    </w:p>
    <w:p>
      <w:pPr>
        <w:spacing w:after="0" w:line="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SJWC also has approximately 234 acres of nonutility property which has been identified as no longer used and useful in providing utility services. The majority of the properties are located in the hillside areas adjacent to SJWC’s various watershed properties.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SJWNE LLC is the holding company for Connecticut Water Service, Inc. (“CTWS”). CTWS, headquartered in Connecticut, serves as a holding company for water utility companies providing water service to approximately 140,000 connections that serve a population of approximately 457,000 people in 81 municipalities throughout Connecticut and Maine and more than 3,000 wastewater connections in Southbury, Connecticut. The subsidiaries held by CTWS that provide utility water services are The Connecticut Water Company (“Connecticut Water”) and The Maine Water Company (“Maine Water”). The remaining two CTWS subsidiaries are Chester Realty, Inc., a real estate company in Connecticut, and New England Water Utility Services, Inc. (“NEWUS”), which provides contract water and sewer operations and other water related services.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properties of CTWS’s subsidiaries consist of land, easements, rights (including water rights), buildings, reservoirs, standpipes, dams, wells, supply lines, water treatment plants, pumping plants, transmission and distribution mains and other facilities and equipment used for the collection, purification, storage and distribution of water throughout Connecticut and Maine. In certain cases, Connecticut Water and Maine Water are or may be a party` to limited contractual arrangements for the provision of water supply from neighboring utilities.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SJWTX, Inc., doing business as Canyon Lake Water Service Company (“CLWSC”), is a public utility in the business of providing water service to approximately 24,000 connections that serve approximately 72,000 people. CLWSC’s service area comprises more than 266 square miles in Bandera, Blanco, Comal, Hays, Kendall, Medina and Travis County in the growing region between San Antonio and Austin, Texas. SJWTX, Inc. holds a 25% equity interest in Acequia Water Supply Corporation. Acequia has been determined to be a variable interest entity within the scope of ASC Topic 810 with SJWTX, Inc. as the primary beneficiary. As a result, Acequia has been consolidated with SJWTX, Inc. SJWTX, Inc is undergoing a corporate reorganization to separate regulated operations from non-tariffed activities. In November 2021, SJWTX Holdings,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4" w:name="page15"/>
    <w:bookmarkEnd w:id="14"/>
    <w:p>
      <w:pPr>
        <w:ind w:right="100"/>
        <w:spacing w:after="0" w:line="261" w:lineRule="auto"/>
        <w:rPr>
          <w:sz w:val="20"/>
          <w:szCs w:val="20"/>
          <w:color w:val="auto"/>
        </w:rPr>
      </w:pPr>
      <w:r>
        <w:rPr>
          <w:rFonts w:ascii="Times New Roman" w:cs="Times New Roman" w:eastAsia="Times New Roman" w:hAnsi="Times New Roman"/>
          <w:sz w:val="18"/>
          <w:szCs w:val="18"/>
          <w:color w:val="auto"/>
        </w:rPr>
        <w:t>Inc. (“SJWTX Holdings”) and Texas Water Operation Services LLC (“TWOS”) were formed for the purpose of effecting a corporate reorganization of our water services organization in Texas. TWOS was created for non-tariffed operations and is wholly-owned by SJWTX Holdings. SJWTX Holdings is a wholly-owned subsidiary of SJW Group, incorporated to hold the investments in SJWTX, Inc. and TWOS. In addition, in 2022, SJWTX Holdings intends to create a new subsidiary to hold future wholesale water supply assets.</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SJW Land Company and Chester Realty, Inc. own undeveloped land and operate commercial buildings in Tennessee, California and Connecticut. SJW Land Company owned the following real properties during the three months ended March 31, 2022: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for Three months ended March 31, 2022 of</w:t>
            </w:r>
          </w:p>
        </w:tc>
      </w:tr>
      <w:tr>
        <w:trPr>
          <w:trHeight w:val="196"/>
        </w:trPr>
        <w:tc>
          <w:tcPr>
            <w:tcW w:w="3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SJW Land Company</w:t>
            </w:r>
          </w:p>
        </w:tc>
      </w:tr>
      <w:tr>
        <w:trPr>
          <w:trHeight w:val="196"/>
        </w:trPr>
        <w:tc>
          <w:tcPr>
            <w:tcW w:w="35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7"/>
                <w:szCs w:val="17"/>
                <w:color w:val="auto"/>
              </w:rPr>
            </w:pPr>
          </w:p>
        </w:tc>
        <w:tc>
          <w:tcPr>
            <w:tcW w:w="19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7"/>
                <w:szCs w:val="17"/>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Acreage</w:t>
            </w:r>
          </w:p>
        </w:tc>
        <w:tc>
          <w:tcPr>
            <w:tcW w:w="100" w:type="dxa"/>
            <w:vAlign w:val="bottom"/>
          </w:tcPr>
          <w:p>
            <w:pPr>
              <w:spacing w:after="0"/>
              <w:rPr>
                <w:sz w:val="17"/>
                <w:szCs w:val="17"/>
                <w:color w:val="auto"/>
              </w:rPr>
            </w:pP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120" w:type="dxa"/>
            <w:vAlign w:val="bottom"/>
          </w:tcPr>
          <w:p>
            <w:pPr>
              <w:spacing w:after="0"/>
              <w:rPr>
                <w:sz w:val="17"/>
                <w:szCs w:val="17"/>
                <w:color w:val="auto"/>
              </w:rPr>
            </w:pPr>
          </w:p>
        </w:tc>
        <w:tc>
          <w:tcPr>
            <w:tcW w:w="15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29"/>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building</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Knoxville, Tennessee</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361,500</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building</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Knoxville, Tennessee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Undeveloped land and parking lot</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Knoxville, Tennessee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Undeveloped land</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Jose, California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building</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Clinton, CT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building</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Guilford, CT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 focuses its business initiatives in three strategic areas:</w:t>
      </w:r>
    </w:p>
    <w:p>
      <w:pPr>
        <w:spacing w:after="0" w:line="117"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regulated water utility operations;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non-tariffed water utility related services provided in accordance with the guidelines established by the California Public Utilities Commission (“CPUC”) in California, the Public Utilities Regulatory Authority (“PURA”) in Connecticut, the Public Utilities Commission of Texas (“PUCT”) in Texas, and the Maine Public Utilities Commission (“MPUC”) in Maine; and</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Out-of-region water and utility related services.</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part of our pursuit of the above three strategic areas, we consider from time to 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Real Estate Services: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SJW Group’s real estate investment activity is conducted through SJW Land Company and Chester Realty, Inc. As noted above, SJW Land Company owns undeveloped land and operates commercial buildings in Tennessee. Chester Realty, Inc. owns and operates land and commercial buildings in the State of Connecticut. SJW Land Company and Chester Realty, Inc. manage income producing and other properties until such time a determination is made to reinvest proceeds from the sale of such properties.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the accounting policies used and disclosed in our 2021 consolidated financial statements and accompanying notes that were prepared in accordance with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ind w:right="580"/>
        <w:spacing w:after="0" w:line="282"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and included as part of our annual report on Form 10-K for the year ended December 31, 2021, that was filed with the Securities and Exchange Commission on February 25, 2022.</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in Management’s Discussion and Analysis of Financial Condition and Results of Operations included in our annual report on Form 10-K for the year ended December 31, 2021. Our significant accounting policies are described in our notes to the 2021 Consolidated Financial Statements included in our annual report on Form 10-K for the year ended December 31, 2021. There have been no changes to our critical or significant accounting policies during the three months ended March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rainfall curtail water usage and sales.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SJW Group’s consolidated net income for the three months ended March 31, 2022, was $3,737, an increase of $1,121, or approximately 43%, from $2,616 for the same period in 2021. Consolidated net income in 2022 includes $2,550 from ongoing operations and a gain on the sale of nonutility property of $4,240, offset by the one-time impacts of $1,867 related to depreciation on certain Cupertino concession assets and $1,366 related to San Jose Water Company’s Order Instituting Investigation settlement expenses and certain true-ups of deferred taxes and acquisition related tax expenses.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Operating Revenue by Segment</w:t>
            </w: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122,946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113,441</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124,302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change in consolidated operating revenues was due to the following factors:</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5"/>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5"/>
          </w:tcPr>
          <w:p>
            <w:pPr>
              <w:jc w:val="center"/>
              <w:ind w:left="377"/>
              <w:spacing w:after="0" w:line="146"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5"/>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Consumption changes (including unbilled utility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customers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 increases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Balancing and memorandum accounts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regulatory mechanisms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Operating Expense by Segment</w:t>
            </w: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105,430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107,713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101,706</w:t>
            </w:r>
          </w:p>
        </w:tc>
        <w:tc>
          <w:tcPr>
            <w:tcW w:w="0" w:type="dxa"/>
            <w:vAlign w:val="bottom"/>
          </w:tcPr>
          <w:p>
            <w:pPr>
              <w:spacing w:after="0"/>
              <w:rPr>
                <w:sz w:val="1"/>
                <w:szCs w:val="1"/>
                <w:color w:val="auto"/>
              </w:rPr>
            </w:pPr>
          </w:p>
        </w:tc>
      </w:tr>
      <w:tr>
        <w:trPr>
          <w:trHeight w:val="21"/>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change in consolidated operating expenses was due to the following factors:</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8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5"/>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8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5"/>
          </w:tcPr>
          <w:p>
            <w:pPr>
              <w:jc w:val="center"/>
              <w:ind w:left="376"/>
              <w:spacing w:after="0" w:line="146"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5"/>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production expenses: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surface water use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usage and new customers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water and groundwater extraction charge, energy price change and other production expenses, net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Balancing and memorandum accounts cost recovery</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water production expenses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and memorandum account cost recovery</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sale of nonutility properties</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Sources of Water Supply</w:t>
      </w:r>
    </w:p>
    <w:p>
      <w:pPr>
        <w:spacing w:after="0" w:line="11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SJWC’s water supply consists of imported water purchased from the Santa Clara Valley Water District (“Valley Water”) under the terms of a master contract with Valley Water expiring in 2051, groundwater from wells, surface water from watershed run-off and diversion, and reclaimed water. Surface water is the least expensive source of water. Changes and variations in quantities from each of these sources affect the overall mix of the water supply, thereby affecting water supply cost. In addition, the water rate for purchased water and the groundwater extraction charge may be increased by Valley Water at any time. If an increase occurs, then SJWC would file an advice letter with the California Public Utilities Commission (“CPUC”) seeking authorization to increase customer rates to offset the cost increase.</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currently experiencing a severe drought in California that is expected to have a significant impact on the sources of our water supply. On April 1, 2022, Valley Water’s 10 reservoirs were at approximately 25% of total capacity with 13,595 million gallons of water in storage, which is 42% of the twenty-year average for this date. Valley Water’s largest reservoir, Anderson, remains drained for the 8-10 year Anderson Dam Seismic Retrofit Project. As reported by Valley Water, there was 7.95 inches of rainfall in San Jose during the current annual rainfall season that commenced on July 1, 2021. Rainfall at SJWC’s Lake Elsman was measured at 34.48 inches during the current rainfall season. Under normal hydrologic conditions, state and federal water allocations represent approximately 40% of the Valley Water’s total annual water supply. As of April 1, 2022, Valley Water reported that allocations from the State Water Project was 5% or 1,629 million gallons. Due to an exceptionally dry start to 2022, the U.S. Bureau of Reclamation reduced the initial Central Valley Project allocation of 25% down to the Public Health and Safety limit. Valley Water reported that its Semitropic groundwater bank reserves are at 83% of capacity or 94,388 million gallons, which can be used to perform water transfers with other state water contractors. Valley Water also reported that the managed groundwater recharge from January to March in the Santa Clara Plain was 108% of the five-year average. The groundwater level in the Santa Clara Plain is approximately 5 feet higher than the five-year average. According to Valley Water, the projected total groundwater storage at the end of 2022 is expected to fall within the Alert Stage of Valley Water’s Water Shortage Contingency Plan.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7" w:name="page18"/>
    <w:bookmarkEnd w:id="17"/>
    <w:p>
      <w:pPr>
        <w:ind w:right="20"/>
        <w:spacing w:after="0" w:line="254" w:lineRule="auto"/>
        <w:rPr>
          <w:sz w:val="20"/>
          <w:szCs w:val="20"/>
          <w:color w:val="auto"/>
        </w:rPr>
      </w:pPr>
      <w:r>
        <w:rPr>
          <w:rFonts w:ascii="Times New Roman" w:cs="Times New Roman" w:eastAsia="Times New Roman" w:hAnsi="Times New Roman"/>
          <w:sz w:val="18"/>
          <w:szCs w:val="18"/>
          <w:color w:val="auto"/>
        </w:rPr>
        <w:t>On April 1, 2022, SJWC’s Lake Elsman contained 1,471 million gallons of water, of which approximately 1,321 million gallons can be utilized for treatment in water production. This Lake Elsman volume represents 108% of the five-year average. Local surface water is a less costly source of water than groundwater or purchased water and its availability significantly impacts SJWC’s results of operations. Typically, SJWC will utilize surface water and additional water from its portfolio of groundwater supplies to supplement imported water from Valley Water. Production from the Montevina Surface Water Treatment Plant through the first quarter was 575 million gallons, which is 115% of the five-year average. Through the first quarter of 2022, there was 43 million gallons of water production at SJWC’s smaller Saratoga Water Treatment Plant. The Saratoga Water Treatment Plant was taken out of service due to lack of run-off from Saratoga Creek and remains offline. Nonetheless, SJWC believes that its various other water supply sources will be sufficient to meet customer demand through the remainder of 2022.</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9, 2021, Valley Water declared a water shortage emergency and asked its retailers to reduce consumption by 15% based on 2019 usage. In response to Valley Water’s declaration of drought emergency and call for conservation, SJWC filed with the CPUC to activate Stage 3 of its Rule 14.1 Water Shortage Contingency Plan. Like the most recent drought, the current restrictions center on outdoor water usage which typically accounts for half of a residential customer’s consumption. The restrictions include limits on watering days and times, use of potable water for washing structures and other non-porous surfaces except to protect public health and safety, and no outdoor watering during and up to 48 hours after measurable rainfall.</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Connecticut Water’s infrastructure consists of 65 noncontiguous water systems in the State of Connecticut. These systems, in total, consist of approximately 1,800 miles of water main and reservoir storage capacity of 2.4 billion gallons. The safe, dependable yield from our 235 active wells and 18 surface water supplies is approximately 65 million gallons per day. Water sources vary among the individual systems, but overall approximately 80% of the total dependable yield comes from surface water supplies and 20% from wells.</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CLWSC’s water supply consists of groundwater from wells and purchased treated and untreated raw water from local water agencies. CLWSC has long-term agreements with the GBRA, which expire in 2037, 2040, 2044 and 2050. The agreements, which are take-or-pay contracts, provide CLWSC with an aggregate of 7,650 acre-feet of water per year from Canyon Lake at prices that may be adjusted periodically by GBRA. CLWSC also has raw water supply agreements with the Lower Colorado River Authority (“LCRA”) and West Travis Public Utility Agency (“WTPUA”) expiring in 2059 and 2046, respectively, to provide for 350 acre-feet of water per year from Lake Austin and the Colorado River, respectively, at prices that may be adjusted periodically by the agencies. Production wells located in a Comal Trinity Groundwater Conservation District, a regulated portion of the Trinity aquifer, are charged a groundwater pump tax based upon usage.</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Maine Water’s infrastructure consists of 12 noncontiguous water systems in the State of Maine. These systems, in total, consist of approximately 600 miles of water main and reservoir storage capacity of 7.0 billion gallons. The safe, dependable yield from our 14 active wells and 7 surface water supplies is approximately 120 million gallons per day. Water sources vary among the individual systems, but overall approximately 90% of the total dependable yield comes from surface water supplies and 10% from wells.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sources of water supply, in million gallons, for Water Utility Services: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2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10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water</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Groundwater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Surface water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Reclaimed water</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source of supply mix were consistent with the changes in the water production expenses.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SJWC’s unaccounted-for water on a 12-month-to-date basis for March 31, 2022, and 2021 approximated 7.2% for each of the respective periods, as a percentage of total production. The unaccounted-for water estimate is based on the results of past experience and the impact of flows through the system, partially offset by SJWC’s main replacements and lost water reduction programs.</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CTWS’s unaccounted-for water on a 12-month-to-date basis for March 31, 2022, and 2021 was approximately 13.9% and 16.2%, respectively, as a percentage of total production. The unaccounted-for water estimate is based on the results of past experience and the impact of flows through CTWS’s systems, unadjusted for any required system flushing, partially offset by Water Infrastructure Conservation Adjustment and Water Infrastructure Surcharge main replacement programs and lost water reduction initiatives.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Water Production Expenses</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change in water production expenses for the three months ended March 31, 2022, compared to the same period in 2021, was primarily attributable to increases in average per unit costs for purchased water, groundwater extraction, energy charges and other production expenses, offset by an increase in available surface water for SJWC. Effective July 1, 2021, Valley Water increased the unit price of purchased water by approximately 9.5% and the groundwater extraction charge by approximately 9.1%.</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Other Operating Expenses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Operating expenses, excluding water production expenses, increased $3,254 for the three months ended March 31, 2022, compared to the same period in 2021. The increase was primarily attributable to increases of $3,312 in administrative and general expenses primarily due to increases in labor and pension expense, and an increase of $4,168 in depreciation and amortization due to increases in utility plant and a true up related to Cupertino assets to adjust the useful lives over the concession term, partially offset by $5,450 from the gain on sale of vacant land located in California and nonutility property in Texas.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Income</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compared to the same period in 2021, the change in other (expense) income was primarily due to an increase in interest on long term debt and a decrease on the return from retirement plan assets, partially offset by income generated from pension non service cost and a decrease in interest on the line of credit.</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Provision for Income Taxes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compared to the same period in 2021, income tax expense increased $1,963. The increase in income tax expense was primarily due to a decrease in pre-tax book income and discrete tax expense items. The effective consolidated income tax rates were 22% and (52)% for the three months ended March 31, 2022, and 2021, respectively. The higher effective rate for the three months ended March 31, 2022, was also primarily due to discrete tax expense items.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Regulation and Rates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also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of “Notes to Condensed Consolidated Financial Statements.”</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California Regulatory Affairs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4, 2021, SJWC filed General Rate Case Application No. 21-01-003 requesting authority for an increase of revenue of $51,585 or 13.35% in 2022, $16,932 or 3.88% in 2023, and $19,195 or 4.24% in 2024. The application also includes requests to recover $18,499 from balancing and memorandum accounts, authorization for a $435,000 capital budget, further alignment between actual and authorized usage, and a shift to greater revenue collection in the service charge. Review of the application is currently underway by the CPUC and new rates, if approved, are expected to be effective in the third quarter of 2022. Due to the processing delay, SJWC filed Advice Letter No. 573 on December 30, 2021, to request interim rates effective January 1, 2022, which will allow SJWC to retroactively apply the final decision to January 1, 2022. Interim rates are proposed to be set equal to present rates in order to avoid customer confusion and short-term bill changes. This advice letter was approved with an effective date of January 1, 2022. SJWC and the Public Advocates Office filed a settlement agreement resolving all issues in the proceeding on January 13, 2022, which will be considered by the CPUC for adoption. The settlement provides a revenue increase of $54,131 over the three-year period with an increase of $25,074 in 2022. The settlement recognizes the need for continued investments in the water system to deliver safe and reliable water service, providing authorization of a three-year $350,000 capital budget. Additionally, it further aligns authorized and actual consumption, particularly for business customers, addresses our water supply mix variability, and provides greater revenue recovery in the fixed charge. The settlement also approves the recovery of $18,254 from balancing and memorandum accounts. New rates are anticipated in the third quarter of 2022.</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May 3, 2021, SJWC filed Application No. 21-05-004 requesting authority to adjust its cost of capital for the period from January 1, 2022 through December 31, 2024. The request seeks a revenue increase of $6,418 or 1.61% in 2022. The application also proposes a rate of return of 8.11%, an increase from the current rate of 7.64%, a decrease in the average cost of debt rate from 6.20% to 5.48%, and a return of equity of 10.30%, an increase from the current rate of 8.90%. In addition, the request seeks to adjust SJWC’s currently authorized capital structure of approximately 47% debt and 53% equity to approximately 45% debt and 55% equity. If approved, new rates are expected to be effective in the third quarter of 2022.</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19" w:name="page20"/>
    <w:bookmarkEnd w:id="19"/>
    <w:p>
      <w:pPr>
        <w:spacing w:after="0" w:line="266" w:lineRule="auto"/>
        <w:rPr>
          <w:sz w:val="20"/>
          <w:szCs w:val="20"/>
          <w:color w:val="auto"/>
        </w:rPr>
      </w:pPr>
      <w:r>
        <w:rPr>
          <w:rFonts w:ascii="Times New Roman" w:cs="Times New Roman" w:eastAsia="Times New Roman" w:hAnsi="Times New Roman"/>
          <w:sz w:val="18"/>
          <w:szCs w:val="18"/>
          <w:color w:val="auto"/>
        </w:rPr>
        <w:t>SJWC’s Advanced Metering Infrastructure (“AMI”) application is pending before the CPUC. An all-party settlement agreement was submitted to the CPUC for adoption that would authorize the deployment of AMI outside of the capital budget requested in the 2021 GRC. A final decision is anticipated on the AMI proceeding in the second quarter of 2022.</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Connecticut Regulatory Affairs</w:t>
      </w:r>
    </w:p>
    <w:p>
      <w:pPr>
        <w:spacing w:after="0" w:line="106"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On October 26, 2021, Connecticut Water filed for a Water Infrastructure Conservation Adjustment (“WICA”) increase of approximately $21,746 in completed projects. Many of the projects were those that were not considered by PURA in the rate case because of the deadline in the proceeding for pro forma capital additions. On December 22, 2021, PURA approved a WICA surcharge of 2.44% to be added to bills of all Connecticut Water customers, including those of the former The Avon Water Company and The Heritage Village Water Company, effective January 1, 2022 which is expected to generate approximately $2,581 in additional revenue. On February 14, 2022 Connecticut Water filed its 2021 WICA reconciliation with PURA. The reconciliation, approved by PURA on March 16, 2022 and effective for 12 months beginning April 1, 2022, replaced the expiring 2020 reconciliation surcharge of 0.07% with a credit of (0.02)%. As a result, the net WICA surcharge, effective April 1, 2022 was 2.35%.</w:t>
      </w:r>
    </w:p>
    <w:p>
      <w:pPr>
        <w:spacing w:after="0" w:line="63"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On February 28, 2022 Connecticut Water filed its 2021 Water Rate Adjustment mechanism (“WRA”). The mechanism reconciles 2021 revenues as authorized in the Company’s most recent rate cases. The 2021 WRA, as approved by PURA on March 30, 2022 and effective for 12 months beginning on April 1, 2022 imposed a 2.85% surcharge on customer bills to collect the 2021 revenue shortfall.</w:t>
      </w:r>
    </w:p>
    <w:p>
      <w:pPr>
        <w:spacing w:after="0" w:line="7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April 26, 2022, Connecticut Water filed for a WICA increase of $9,779 in completed projects. If approved by PURA, the new WICA adjustment would be effective July 1, 2022 and would be expected to generate $963 in additional revenue.</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Texas Regulatory Affairs</w:t>
      </w:r>
    </w:p>
    <w:p>
      <w:pPr>
        <w:spacing w:after="0" w:line="1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CLWSC filed its annual Water Pass Through Charge (“WPC”) true-up report on January 31, 2022. The 2022 WPC usage rate will increase from $0.70 to $1.02 dollars per thousand gallons due to CLWSC under-collecting the actual cost of purchased water and GBRA increasing its rates. The PUCT modified the WPC formula which resulted in a new usage rate of $0.90 dollars per thousand gallons. The new usage rate was effective March 1, 2022.</w:t>
      </w:r>
    </w:p>
    <w:p>
      <w:pPr>
        <w:spacing w:after="0" w:line="10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Deer Creek Ranch water system has a separate WPC. A WPC filing for Deer Creek Ranch is required only when there is a change in purchased water costs. CLWSC received notice of an increase of 4% for the Deer Creek purchased water cost from WTPUA, effective in October 2021. SJWTX also received notice from the LCRA of an increase of 7% per acre-foot for the firm water rate and the reservation rate. The WPC true-up report for this system was submitted on December 1, 2021, which will result in an increase in the usage charge from $1.84 to $1.87 dollars per thousand gallons, and an increase in the monthly base charge of $1.04 dollars per residential account effective January 1, 2022. The PUCT approved the new rates on March 25, 2022.</w:t>
      </w:r>
    </w:p>
    <w:p>
      <w:pPr>
        <w:spacing w:after="0" w:line="8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September 3, 2021, Kendall West Utility filed its annual WPC true-up report under Docket No. 52521. The true-up report resulted in a decrease in its WPC from $2.75 to $2.39 per thousand gallons. The new rate was approved by the PUCT on January 24, 2022. The PUCT issued the stamped approved tariff on February 4. 2022.</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Maine Regulatory Affairs</w:t>
      </w:r>
    </w:p>
    <w:p>
      <w:pPr>
        <w:spacing w:after="0" w:line="1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10, 2021, Maine Water filed a general rate increase application for the Biddeford Saco Division seeking approximately $6,659, or 77.5%, in additional revenue. The application proposed a three step, multi-year rate plan designed to ease the transition to higher water bills over the period from July 2021 to July 2023. The primary driver for the increase in rates is the support for a new drinking water treatment facility on the Saco River, a $60,000 project to replace the existing facility that is expected to be in service in the second quarter of 2022. On June 23, 2021, the MPUC approved the first step in the plan by adopting the proposed rate smoothing mechanism and implementing a temporary 22.65% surcharge on all customer bills. The surcharge will be in effect for one year. On September 8, 2021, Maine Water filed a supplemental application to update its request to increase base rates, initiating the second step in the rate plan. The supplemental application updates the March application and seeks $6,880, or 80.1% in additional revenue and provides a bill credit funded by the year one surcharge to offset a portion of the increase. Like the surcharge, the bill credit will be in effect for one year. On April 5, 2022, the MPUC approved a stipulated agreement which authorized a rate increase of $6,313, or 72.5% with an effective date of July 1, 2022, sets a 9.70% return on equity to be applied across all of Maine Water’s divisions until amended in a future rate case, and approved the use of a bill credit to return the amount collected through surcharge, effectively reducing the full impact of the rate increase during the one year credit period.</w:t>
      </w:r>
    </w:p>
    <w:p>
      <w:pPr>
        <w:spacing w:after="0" w:line="9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On October 28, 2021, Maine Water filed a Water Infrastructure Surcharge (“WISC”) application with the MPUC for the Skowhegan division requesting an increase of 3%, representing approximately $50 in additional revenues. The WISC application was approved on December 27, 2021, and the surcharge became effective January 1, 2022.</w:t>
      </w:r>
    </w:p>
    <w:p>
      <w:pPr>
        <w:spacing w:after="0" w:line="103"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On February 28, 2022, Maine Water filed requests for general rate increases in the Camden-Rockland, Freeport, Millinocket and Oakland Divisions. The four filings collectively request $529 in new revenue and seek to reset the WISC in all four</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ind w:right="220"/>
        <w:spacing w:after="0" w:line="250" w:lineRule="auto"/>
        <w:rPr>
          <w:sz w:val="20"/>
          <w:szCs w:val="20"/>
          <w:color w:val="auto"/>
        </w:rPr>
      </w:pPr>
      <w:r>
        <w:rPr>
          <w:rFonts w:ascii="Times New Roman" w:cs="Times New Roman" w:eastAsia="Times New Roman" w:hAnsi="Times New Roman"/>
          <w:sz w:val="18"/>
          <w:szCs w:val="18"/>
          <w:color w:val="auto"/>
        </w:rPr>
        <w:t>divisions. Individually, the Camden Rockland Division request is $222, or 3.4%; the Freeport request is $51, or 6.1%; the Millinocket request is $184, or 14.5%; and the Oakland request is $72, or 9.9%. Decisions by the Commission in these filings are expected in the third quarter of 2022.</w:t>
      </w:r>
    </w:p>
    <w:p>
      <w:pPr>
        <w:spacing w:after="0" w:line="9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On March 14, 2022, Maine Water filed a request for approval to issue $15,000 in long term debt. If approved, the new debt would be used to reduce short term borrowings.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Operating Activities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2022, SJW Group generated cash flows from operations of approximately $45,300, compared to $33,400 for the same period in 2021. Cash flow from operations is primarily generated by net income from revenue producing activities, adjusted for non-cash expenses for depreciation and amortization, deferred income taxes, stock-based compensation, allowance for equity funds used during construction, gains or losses on the sale of assets, and changes in working capital items. Cash flow from operations increased by approximately $11,900. This increase was the result of a combination of the following factors: (1) an increase of $6,900 in regulatory assets primarily due to the recognition of balancing and memorandum accounts, (2) payments of amounts previously invoiced and accrued including accrued production costs, increased by $5,200, (3) an increase in other changes, net of $2,800 primarily due to the funds from the State of California Water and Wastewater Arrearages Payment Program, and (4) general working capital and net income, adjusted for non-cash items increased by $2,600, offset by (5) a decrease in collections from accounts receivable and accrued unbilled utility revenue of $3,400, and (6) net collection of taxes receivable which was $2,200 less than in prior year.</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March 31, 2022, Water Utility Services’ write-offs for uncollectible accounts represented less than 1% of its total revenue, unchanged from March 31, 2021. As of February 1, 2022, the remaining state executive order suspending water service disconnections due to non-payment by customers expired in California. There is no guarantee that the respective state regulators will not reinstate such orders. Management believes that the collection rate for its accounts receivables will gradually return to pre-pandemic levels now that service disconnections are allowable once again to mitigate payment delinquencies. On February 3, 2022, SJWC received $9,757 through the State of California Water and Wastewater Arrearages Payment Program to relieve outstanding payment delinquencies for customers accounts greater that 60-days past due as of June 30, 2021. The financial impact of certain remaining past due accounts are being recorded for future recovery through the rate-making process. There is no guarantee that such recovery will be approved by the respective state regulatory utility commissions.</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Investing Activities</w:t>
      </w:r>
    </w:p>
    <w:p>
      <w:pPr>
        <w:spacing w:after="0" w:line="1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SJW Group used cash flows from investing activities of approximately $49,400, compared to $51,900 for the same period in 2021. SJW Group used approximately: (1) $43,700 of cash for company-funded capital expenditures, (2) $4,800 for developer-funded capital expenditures, and (3) $1,100 for utility plant retirements.</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Water Utility Services’ budgeted capital expenditures for 2022, exclusive of capital expenditures financed by customer contributions and advances, are anticipated to be approximately $223,000. As of March 31, 2022, approximately $43,700 or 20% of the $223,000 has been invested.</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Water Utility Services’ capital expenditures are incurred in connection with normal upgrading and expansion of existing facilities and to comply with environmental regulations. Over the next five years, Water Utility Services expects to incur approximately $1,300,000 in capital expenditures, which includes replacement of pipes and mains, and maintaining water systems.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8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 will significantly exceed the original installation cost of the retired assets due to increases in the costs of goods and services and increased regulation.</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Financing Activities</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2022, decreased by approximately $13,700 from the same period in the prior year, primarily as a result of (1) a decrease in net proceeds from our common stock equity offering in prior year of $67,200, (2) a decrease in net proceeds of $17,000 from new long-term debt, offset by (3) an increase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1" w:name="page22"/>
    <w:bookmarkEnd w:id="21"/>
    <w:p>
      <w:pPr>
        <w:ind w:right="480"/>
        <w:spacing w:after="0" w:line="282" w:lineRule="auto"/>
        <w:rPr>
          <w:sz w:val="20"/>
          <w:szCs w:val="20"/>
          <w:color w:val="auto"/>
        </w:rPr>
      </w:pPr>
      <w:r>
        <w:rPr>
          <w:rFonts w:ascii="Times New Roman" w:cs="Times New Roman" w:eastAsia="Times New Roman" w:hAnsi="Times New Roman"/>
          <w:sz w:val="18"/>
          <w:szCs w:val="18"/>
          <w:color w:val="auto"/>
        </w:rPr>
        <w:t>in net borrowings and repayments on our lines of credit of $66,600, (4) $5,300 increase in net cash receipts from advances and contributions in aid of construction, and (5) an increase of dividends paid to stockholders of $1,200.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Sources of Capital:</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Financing Agreements</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SJW Group and its subsidiaries have unsecured line of credit agreements where borrowings are used to refinance existing debt, for working capital, and for general corporate purposes. A summary of the line of credit agreements as of March 31, 2022,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Line Limit</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14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Unused Portion</w:t>
            </w:r>
          </w:p>
        </w:tc>
      </w:tr>
      <w:tr>
        <w:trPr>
          <w:trHeight w:val="23"/>
        </w:trPr>
        <w:tc>
          <w:tcPr>
            <w:tcW w:w="44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SJWC credit agreement (a)</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December 14, 2023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39,003</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May 15, 2025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SJWTX, Inc. credit agreement (b)</w:t>
            </w:r>
          </w:p>
        </w:tc>
        <w:tc>
          <w:tcPr>
            <w:tcW w:w="2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8"/>
        </w:trPr>
        <w:tc>
          <w:tcPr>
            <w:tcW w:w="440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agreement also provides for a letter of credit sublimit of $15,000.</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agreement also provides for a letter of credit sublimit of $1,000.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2021, cost of borrowing on the lines of credit averaged 1.64%.</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March 31, 2022, SJW Group and its subsidiaries were in compliance with all covenants on their lines of credit.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Long-term Financing Agreements</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SJW Group and its subsidiaries long-term debt activities are for purposes of refinancing short-term borrowings, funding capital expenditures and working capital, and repayments of maturing long-term debt.</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March 31, 2022, SJW Group and its subsidiaries were in compliance with all covenants related to its long-term debt agreements.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Equity Financing Arrangements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November 17, 2021, SJW Group entered into an equity distribution agreement (the “Equity Distribution Agreement”) with J.P. Morgan Securities LLC, Janney Montgomery Scott LLC, RBC Capital Markets, LLC and Wells Fargo Securities, LLC (each a “Sales Agent” and, collectively, the “Sales Agents”), pursuant to which the company may offer and sell shares of its common stock, $0.001 par value per share (the “Shares”), from time to time in “at-the-market” offerings, having an aggregate gross sales price of up to $100,000. Pursuant to the Equity Distribution Agreement, the Shares may be offered and sold through the Sales Agents in transactions that are deemed to be “at-the-market” offerings as defined in Rule 415 under the Securities Act of 1933, as amended, including sales by means of ordinary brokers’ transactions on the New York Stock Exchange or otherwise at market prices prevailing at the time of sale, at prices related to the prevailing market prices or at negotiated prices, in block transactions, or as otherwise agreed upon by the company and the Sales Agents. Proceeds from the sale of the shares under the Equity Distribution Agreement can be used in the financing of acquisitions, infrastructure improvements and other capital expenditures, repayment of debt or other corporate obligations, and working capital over the term of the Equity Distribution Agreement as such needs arise. As of March 31, 2022, SJW Group has $75,000 remaining on the Equity Distribution agreement. No shares were sold in the first quarter of 2022.</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Credit Rating</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2022 and 2021 activities, we will have access to the external funding sources necessary to implement our on-going capital investment programs in the future. The current Standard &amp; Poor’s Rating Service assigned company rating for SJW Group is an A-, with a stable outlook, for SJWC is an A, with a stable outlook, for CTWS is an A- with a stable outlook, and for Connecticut Water is an A- with a stable outlook.</w:t>
      </w:r>
    </w:p>
    <w:p>
      <w:pPr>
        <w:spacing w:after="0" w:line="31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8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SJWC and Connecticut Water sponsor noncontributory pension plans for its employees. Pension costs and the funded status of the plans are affected by a number of factors including the discount rate, mortality rates of plan participants, investment returns on plan assets, and pension reform legislation.</w:t>
      </w:r>
    </w:p>
    <w:p>
      <w:pPr>
        <w:spacing w:after="0" w:line="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SJW Group has no derivative financial instruments, financial instruments with significant off-balance sheet risks, or financial instruments with concentrations of credit risk.</w:t>
      </w:r>
    </w:p>
    <w:p>
      <w:pPr>
        <w:spacing w:after="0" w:line="29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during the first fiscal quarter of 2022 that has materially affected, or is reasonably likely to materially affect, the internal controls over financial reporting of SJW Group.</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7" w:right="39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3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the “Risk Factors” in SJW Group’s Form 10-K for the year ended December 31, 2021 and our other public filings, which could materially affect our business, financial condition or future results. Other than the risk factor below, there has been no material changes from risk factors previously disclosed in “Risk Factors” in SJW Group’s Form 10-K for the year ended December 31, 2021.</w:t>
      </w:r>
    </w:p>
    <w:p>
      <w:pPr>
        <w:spacing w:after="0" w:line="108" w:lineRule="exact"/>
        <w:rPr>
          <w:sz w:val="20"/>
          <w:szCs w:val="20"/>
          <w:color w:val="auto"/>
        </w:rPr>
      </w:pPr>
    </w:p>
    <w:p>
      <w:pPr>
        <w:ind w:right="56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have been and will continue to be negatively impacted by the COVID-19 pandemic.</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subject to risks associated with the COVID-19 pandemic. In 2020 and 2021, numerous governmental jurisdictions, including the States of California, Connecticut, Maine and Texas where we operate our water utility services, imposed “shelter-in-place” orders, quarantines, executive orders and similar governmental orders and restrictions for their residents to control the spread of COVID-19 disease. Such orders and restrictions resulted in business closures, work stoppages, slowdowns and delays in commercial activities, unprecedented and widespread unemployment, travel restrictions and cancellation of events, among other effects, thereby negatively impacting our suppliers, employees and customers. Since the start of the second quarter of 2021, there has been increased availability and administration of vaccines against COVID-19, as well as an easing of restrictions on social, business, travel, and government functions, which resulted in gradual resumption of economic and commercial activities. On the other hand, infection rates continue to fluctuate in various regions and new strains of the virus remain a risk, including the Delta and most recently the Omicron variants which have increased the spread and transmission of COVID-19 disease and prompted government agencies to reinstate or impose public health measures and restrictions that were previously lifted. The continuation of such restrictions or reversal of prior orders to ease restrictions will have a negative effect on our business operations and results of operations.</w:t>
      </w:r>
    </w:p>
    <w:p>
      <w:pPr>
        <w:spacing w:after="0" w:line="8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In response to the pandemic, federal and state governments have and may continue to take actions to impose utility termination moratoriums which prohibit water companies from turning off water supplies for nonpayment of water bills. These and other events associated with the COVID-19 pandemic have reduced the incentive and ability of certain of our residential and commercial customers to pay their water services bills on time, if at all, which could negatively impact our result of operations. Recently, state governments have acted to end existing utility termination moratoriums. In California, the remaining state executive order suspending water service disconnections due to non-payment by customers expired February 1, 2022. There are currently no such orders remaining in effect in the states where we operate on suspending water service disconnections due to non-payment. However, if COVID-19 infection rates rise and health officials recommend more stringent measures to stop spread of the disease, state governments may decide to reverse these actions which may prolong our inability to collect fully water services bills from customers. Furthermore, a significant portion of our revenue is derived from water usage by commercial customers. As many of these customers have suspended, altered or terminated their business operations, their water usage may decline significantly or cease, which could adversely affect our revenue. Even though many of these legal restrictions have been eased and lifted in certain jurisdictions, including California, some of our commercial customers may decide not to open fully or at all due to their ongoing concerns with health and safety of employees at the workplace, in which case their water usage may remain at a lower level and continue to adversely impact our revenue.</w:t>
      </w:r>
    </w:p>
    <w:p>
      <w:pPr>
        <w:spacing w:after="0" w:line="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regulators in states we operate have approved mechanisms to either record a regulatory asset or track, in a memorandum account, expenses and savings related to COVID-19. If a state regulator disagrees with our calculation of recorded COVID-19 account balances, we may be required to make adjustments that could adversely affect our results of operations. While we expect to recover some of the revenue loss and costs through the rate-making processes, there is no guarantee that such recovery will be approved by the regulated utility authorities in a timely manner, or at all.</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Recently federal and state governments have issued orders and regulations directing employers to require their employees to be vaccinated as a condition to continuing employment, which may adversely affect our operations. In November 2021, and in response to the order by President Joseph Biden, the federal Occupational Safety and Health Administration (“OSHA”) issued an Emergency Temporary Standard mandating that all employers with more than 100 employees ensure their workers are either fully vaccinated against COVID-19 or produce a negative COVID test on a weekly basis. However, on January 13, 2022, the U.S. Supreme Court invalidated President Biden’s federal vaccine mandate holding that OSHA had exceeded its authority. Accordingly, the implementation of such federal vaccine mandate is suspended, but similar state and local mandates may continue to be enforced and implemented. In response to these regulatory developments and the need to protect the health and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t>safety of our employees, we implemented a policy requiring our employees, subject to certain exemptions, to be vaccinated. On January 22, 2022, SJWC received a letter from the National Labor Relations Board (“NLRB”) stating that it would investigate the allegations from the Utility Workers Union of America Local 259 (“Union”) that SJWC failed to bargain in good faith by imposing a COVID vaccine mandate and threatening to terminate noncompliant employees and for failing to bargain over its decision to impose the mandate. Subsequent to the notice, NLRB chose not to investigate and denied the claim instructing the Union to seek a mediation process to resolve the matter. The Union has appealed the NLRB’s decision and is currently awaiting further response from the NLRB on the matter. These regulatory requirements and company policies may result in increased operating costs, labor disruptions or employee attrition, and if we lose employees, it may be difficult in the current competitive labor market to recruit and hire replacement employees, all of which may have an adverse effect on our business operations and financial conditions.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risks, we are subject to the following risks resulting from the COVID-19 pandemic and related events:</w:t>
      </w:r>
    </w:p>
    <w:p>
      <w:pPr>
        <w:spacing w:after="0" w:line="117" w:lineRule="exact"/>
        <w:rPr>
          <w:sz w:val="20"/>
          <w:szCs w:val="20"/>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governments impose or reinstate “shelter-in-place” orders and quarantines, our planned infrastructure improvement projects could be temporarily interrupted by supply shortages, lack of sufficient workforce and disruption in transportation. This may negatively impact our ability to maintain and improve our infrastructure and provide reliable services to customers. In addition, our expenditures on capital improvements could be reduced, which may in turn impact rate decisions by state regulators.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COVID-19 disease could impact the health of our employees and management team, which may disrupt our business operations;</w:t>
      </w:r>
    </w:p>
    <w:p>
      <w:pPr>
        <w:spacing w:after="0" w:line="117"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recession, stock market correction, or debt market disruptions resulting from the spread of COVID-19 could materially affect our business, results of operations, cash flow, and the value of our common stock, which may make it more difficult for us to raise capital in equity or debt markets;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higher uncollectible accounts receivables and increased costs from COVID-19 related prevention activities.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COVID-19 pandemic has resulted in widespread global supply chain disruptions to vendors and suppliers, which may negatively affect our business operations, including delays in procuring materials and supplies that are required for capital additions and operations. The full extent of the future impact of COVID-19 pandemic on our operational and financial performance is uncertain and will depend on many factors, many of which are outside our control, including, without limitation the timing, extent, trajectory and duration of the pandemic; the availability, distribution and effectiveness of vaccines; the imposition of protective public safety measures; and the impact of the pandemic on state and local economy and customer behaviors. Any of these factors may continue to adversely affect our business and financial conditions, and there is no guarantee that we will be able to quickly return to our normal operations.</w:t>
      </w:r>
    </w:p>
    <w:p>
      <w:pPr>
        <w:spacing w:after="0" w:line="3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Quarterly Dividend</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April 27, 2022, the Board of Directors of SJW Group declared the regular quarterly dividend of $0.36 per share of common stock. The dividend will be paid on June 1, 2022, to stockholders of record as of the close of business on May 9, 2022.</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Web Sites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SJW Group posts information about the operating and financial performance of SJW Group and its subsidiaries on its web sites at www.sjwgroup.com, www.sjwater.com, www.ctwater.com, www.sjwtx.com and www.mainewater.com from time to time. The information on our web sites is not a part of and should not be considered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20" w:type="dxa"/>
            <w:vAlign w:val="bottom"/>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56"/>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80" w:type="dxa"/>
            <w:vAlign w:val="bottom"/>
            <w:gridSpan w:val="5"/>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Certification Pursuant to Rule 13a-14(a)/15d-14(a) by Chairman, President and Chief Executive Officer. </w:t>
            </w:r>
            <w:r>
              <w:rPr>
                <w:rFonts w:ascii="Times New Roman" w:cs="Times New Roman" w:eastAsia="Times New Roman" w:hAnsi="Times New Roman"/>
                <w:sz w:val="18"/>
                <w:szCs w:val="18"/>
                <w:color w:val="000000"/>
              </w:rPr>
              <w:t>(1)</w:t>
            </w:r>
          </w:p>
        </w:tc>
        <w:tc>
          <w:tcPr>
            <w:tcW w:w="0" w:type="dxa"/>
            <w:vAlign w:val="bottom"/>
          </w:tcPr>
          <w:p>
            <w:pPr>
              <w:spacing w:after="0"/>
              <w:rPr>
                <w:sz w:val="1"/>
                <w:szCs w:val="1"/>
                <w:color w:val="auto"/>
              </w:rPr>
            </w:pPr>
          </w:p>
        </w:tc>
      </w:tr>
      <w:tr>
        <w:trPr>
          <w:trHeight w:val="30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 xml:space="preserve">Certification Pursuant to Rule 13a-14(a)/15d-14(a) by Chief Financial Officer and Treasurer. </w:t>
            </w:r>
            <w:r>
              <w:rPr>
                <w:rFonts w:ascii="Times New Roman" w:cs="Times New Roman" w:eastAsia="Times New Roman" w:hAnsi="Times New Roman"/>
                <w:sz w:val="18"/>
                <w:szCs w:val="18"/>
                <w:color w:val="000000"/>
              </w:rPr>
              <w:t>(1)</w:t>
            </w:r>
          </w:p>
        </w:tc>
        <w:tc>
          <w:tcPr>
            <w:tcW w:w="2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Chairman, President and Chief Executive Officer, as adopted pursuant to Section</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906 of the Sarbanes-Oxley Act of 2002. </w:t>
            </w:r>
            <w:r>
              <w:rPr>
                <w:rFonts w:ascii="Times New Roman" w:cs="Times New Roman" w:eastAsia="Times New Roman" w:hAnsi="Times New Roman"/>
                <w:sz w:val="18"/>
                <w:szCs w:val="18"/>
                <w:color w:val="000000"/>
              </w:rPr>
              <w:t>(1)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Chief Financial Officer and Treasurer, as adopted pursuant to Section 906 of the</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Sarbanes-Oxley Act of 2002. </w:t>
            </w:r>
            <w:r>
              <w:rPr>
                <w:rFonts w:ascii="Times New Roman" w:cs="Times New Roman" w:eastAsia="Times New Roman" w:hAnsi="Times New Roman"/>
                <w:sz w:val="18"/>
                <w:szCs w:val="18"/>
                <w:color w:val="000000"/>
              </w:rPr>
              <w:t>(1)</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6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480" w:hanging="1454"/>
        <w:spacing w:after="0"/>
        <w:tabs>
          <w:tab w:leader="none" w:pos="14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currently herewith.</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SJW GROUP</w:t>
      </w:r>
    </w:p>
    <w:p>
      <w:pPr>
        <w:spacing w:after="0" w:line="293" w:lineRule="exact"/>
        <w:rPr>
          <w:sz w:val="20"/>
          <w:szCs w:val="20"/>
          <w:color w:val="auto"/>
        </w:rPr>
      </w:pPr>
    </w:p>
    <w:p>
      <w:pPr>
        <w:ind w:left="240"/>
        <w:spacing w:after="0"/>
        <w:tabs>
          <w:tab w:leader="none" w:pos="5700" w:val="left"/>
          <w:tab w:leader="none" w:pos="6360" w:val="left"/>
        </w:tabs>
        <w:rPr>
          <w:sz w:val="20"/>
          <w:szCs w:val="20"/>
          <w:color w:val="auto"/>
        </w:rPr>
      </w:pPr>
      <w:r>
        <w:rPr>
          <w:rFonts w:ascii="Times New Roman" w:cs="Times New Roman" w:eastAsia="Times New Roman" w:hAnsi="Times New Roman"/>
          <w:sz w:val="18"/>
          <w:szCs w:val="18"/>
          <w:b w:val="1"/>
          <w:bCs w:val="1"/>
          <w:color w:val="auto"/>
        </w:rPr>
        <w:t>DATE: April 29, 2022</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19685</wp:posOffset>
            </wp:positionV>
            <wp:extent cx="3077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Andrew F. Walters</w:t>
      </w:r>
    </w:p>
    <w:p>
      <w:pPr>
        <w:spacing w:after="0" w:line="1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ind w:left="63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887" w:right="3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Thornburg,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SJW Group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2022</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W. THORNBURG</w:t>
            </w:r>
          </w:p>
        </w:tc>
      </w:tr>
      <w:tr>
        <w:trPr>
          <w:trHeight w:val="218"/>
        </w:trPr>
        <w:tc>
          <w:tcPr>
            <w:tcW w:w="57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W. Thornburg</w:t>
            </w:r>
          </w:p>
        </w:tc>
      </w:tr>
      <w:tr>
        <w:trPr>
          <w:trHeight w:val="230"/>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7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F. Walters,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SJW Group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2022</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ANDREWS F. WALTERS</w:t>
            </w:r>
          </w:p>
        </w:tc>
      </w:tr>
      <w:tr>
        <w:trPr>
          <w:trHeight w:val="218"/>
        </w:trPr>
        <w:tc>
          <w:tcPr>
            <w:tcW w:w="588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F. Walters</w:t>
            </w:r>
          </w:p>
        </w:tc>
      </w:tr>
      <w:tr>
        <w:trPr>
          <w:trHeight w:val="230"/>
        </w:trPr>
        <w:tc>
          <w:tcPr>
            <w:tcW w:w="58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88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SJW Group (the “Company”) on Form 10-Q for the quarter ended March 31, 2022 as filed with the Securities and Exchange Commission on the date hereof (the “Report”), I, Eric W. Thornburg, Chairman, President and Chief Executive Officer of the Company, certify, pursuant to 18 U.S.C. Section 1350, as adopted pursuant to Section 906 of the Sarbanes-Oxley Act of 2002, that to my knowledge on the date hereof:</w:t>
      </w:r>
    </w:p>
    <w:p>
      <w:pPr>
        <w:spacing w:after="0" w:line="126"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Eric W. Thornburg</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29, 2022</w:t>
      </w:r>
    </w:p>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46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SJW Group (the “Company”) on Form 10-Q for the quarter ended March 31, 2022 as filed with the Securities and Exchange Commission on the date hereof (the “Report”), I, Andrew F. Walters, Chief Financial Officer and Treasurer of the Company, certify, pursuant to 18 U.S.C. Section 1350, as adopted pursuant to Section 906 of the Sarbanes-Oxley Act of 2002, that to my knowledge on the date hereof:</w:t>
      </w:r>
    </w:p>
    <w:p>
      <w:pPr>
        <w:spacing w:after="0" w:line="126"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F. Walters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29,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Roman"/>
      <w:start w:val="3"/>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decimal"/>
      <w:start w:val="104"/>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2022-04-29T21:51:19Z</dcterms:created>
  <dcterms:modified xsi:type="dcterms:W3CDTF">2022-04-29T21:51:19Z</dcterms:modified>
</cp:coreProperties>
</file>