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2700" w:hanging="243"/>
        <w:spacing w:after="0"/>
        <w:tabs>
          <w:tab w:leader="none" w:pos="2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w:t>
      </w:r>
    </w:p>
    <w:p>
      <w:pPr>
        <w:spacing w:after="0" w:line="41" w:lineRule="exact"/>
        <w:rPr>
          <w:rFonts w:ascii="MS PGothic" w:cs="MS PGothic" w:eastAsia="MS PGothic" w:hAnsi="MS PGothic"/>
          <w:sz w:val="22"/>
          <w:szCs w:val="22"/>
          <w:color w:val="auto"/>
        </w:rPr>
      </w:pPr>
    </w:p>
    <w:p>
      <w:pPr>
        <w:ind w:left="32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8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quarterly period ended March 31, 2020</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1-8966</w:t>
      </w:r>
    </w:p>
    <w:p>
      <w:pPr>
        <w:spacing w:after="0" w:line="10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SJW GROUP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90"/>
              <w:spacing w:after="0"/>
              <w:rPr>
                <w:sz w:val="20"/>
                <w:szCs w:val="20"/>
                <w:color w:val="auto"/>
              </w:rPr>
            </w:pPr>
            <w:r>
              <w:rPr>
                <w:rFonts w:ascii="Arial" w:cs="Arial" w:eastAsia="Arial" w:hAnsi="Arial"/>
                <w:sz w:val="18"/>
                <w:szCs w:val="18"/>
                <w:b w:val="1"/>
                <w:bCs w:val="1"/>
                <w:color w:val="auto"/>
              </w:rPr>
              <w:t>77-0066628</w:t>
            </w:r>
          </w:p>
        </w:tc>
      </w:tr>
      <w:tr>
        <w:trPr>
          <w:trHeight w:val="252"/>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(State or other jurisdiction of</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incorporation or organization)</w:t>
            </w:r>
          </w:p>
        </w:tc>
        <w:tc>
          <w:tcPr>
            <w:tcW w:w="280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Identification No.)</w:t>
            </w:r>
          </w:p>
        </w:tc>
      </w:tr>
      <w:tr>
        <w:trPr>
          <w:trHeight w:val="607"/>
        </w:trPr>
        <w:tc>
          <w:tcPr>
            <w:tcW w:w="4520" w:type="dxa"/>
            <w:vAlign w:val="bottom"/>
          </w:tcPr>
          <w:p>
            <w:pPr>
              <w:spacing w:after="0"/>
              <w:rPr>
                <w:sz w:val="20"/>
                <w:szCs w:val="20"/>
                <w:color w:val="auto"/>
              </w:rPr>
            </w:pPr>
            <w:r>
              <w:rPr>
                <w:rFonts w:ascii="Arial" w:cs="Arial" w:eastAsia="Arial" w:hAnsi="Arial"/>
                <w:sz w:val="18"/>
                <w:szCs w:val="18"/>
                <w:b w:val="1"/>
                <w:bCs w:val="1"/>
                <w:color w:val="auto"/>
              </w:rPr>
              <w:t>110 West Taylor Street,  San Jose,  CA</w:t>
            </w:r>
          </w:p>
        </w:tc>
        <w:tc>
          <w:tcPr>
            <w:tcW w:w="2800" w:type="dxa"/>
            <w:vAlign w:val="bottom"/>
          </w:tcPr>
          <w:p>
            <w:pPr>
              <w:jc w:val="right"/>
              <w:ind w:right="390"/>
              <w:spacing w:after="0"/>
              <w:rPr>
                <w:sz w:val="20"/>
                <w:szCs w:val="20"/>
                <w:color w:val="auto"/>
              </w:rPr>
            </w:pPr>
            <w:r>
              <w:rPr>
                <w:rFonts w:ascii="Arial" w:cs="Arial" w:eastAsia="Arial" w:hAnsi="Arial"/>
                <w:sz w:val="18"/>
                <w:szCs w:val="18"/>
                <w:b w:val="1"/>
                <w:bCs w:val="1"/>
                <w:color w:val="auto"/>
              </w:rPr>
              <w:t>95110</w:t>
            </w:r>
          </w:p>
        </w:tc>
      </w:tr>
      <w:tr>
        <w:trPr>
          <w:trHeight w:val="270"/>
        </w:trPr>
        <w:tc>
          <w:tcPr>
            <w:tcW w:w="4520" w:type="dxa"/>
            <w:vAlign w:val="bottom"/>
          </w:tcPr>
          <w:p>
            <w:pPr>
              <w:jc w:val="center"/>
              <w:ind w:right="12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(408) 279-7800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6"/>
              </w:rPr>
              <w:t>Title of each class</w:t>
            </w:r>
          </w:p>
        </w:tc>
        <w:tc>
          <w:tcPr>
            <w:tcW w:w="3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74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Common Stock, par value $0.001 per share</w:t>
            </w:r>
          </w:p>
        </w:tc>
        <w:tc>
          <w:tcPr>
            <w:tcW w:w="600" w:type="dxa"/>
            <w:vAlign w:val="bottom"/>
          </w:tcPr>
          <w:p>
            <w:pPr>
              <w:spacing w:after="0"/>
              <w:rPr>
                <w:sz w:val="24"/>
                <w:szCs w:val="24"/>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SJW</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148" w:lineRule="exact"/>
        <w:rPr>
          <w:sz w:val="24"/>
          <w:szCs w:val="24"/>
          <w:color w:val="auto"/>
        </w:rPr>
      </w:pPr>
    </w:p>
    <w:p>
      <w:pPr>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ind w:right="14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048" w:right="499" w:bottom="1440" w:gutter="0" w:footer="0" w:header="0"/>
        </w:sectPr>
      </w:pPr>
    </w:p>
    <w:p>
      <w:pPr>
        <w:spacing w:after="0" w:line="42" w:lineRule="exact"/>
        <w:rPr>
          <w:sz w:val="24"/>
          <w:szCs w:val="24"/>
          <w:color w:val="auto"/>
        </w:rPr>
      </w:pPr>
    </w:p>
    <w:p>
      <w:pPr>
        <w:ind w:left="130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90"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Non-accelerated filer</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Smaller reporting company</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70" w:lineRule="exact"/>
        <w:rPr>
          <w:sz w:val="24"/>
          <w:szCs w:val="24"/>
          <w:color w:val="auto"/>
        </w:rPr>
      </w:pPr>
    </w:p>
    <w:p>
      <w:pPr>
        <w:sectPr>
          <w:pgSz w:w="11900" w:h="16838" w:orient="portrait"/>
          <w:cols w:equalWidth="0" w:num="3">
            <w:col w:w="3260" w:space="100"/>
            <w:col w:w="2080" w:space="100"/>
            <w:col w:w="5540"/>
          </w:cols>
          <w:pgMar w:left="320" w:top="1048"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April 29, 2020, there were 28,507,411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048"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56"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debt-to-equity ratios,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Coronavirus (“COVID-19”) pandemic on our business operation and financial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risk that the benefits expected from the merger of SJW Group and Connecticut Water Service, Inc. (the “Merger”) will not be realized;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integration of Connecticut Water Service, Inc. will be more difficult, time-consuming or expensive than anticipated;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the California Public Utilities Commission’s investigation into the Merger;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costs, charges or expenses resulting from the Merger or otherwise;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4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stock market conditions;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115,754</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77,682</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40"/>
              <w:spacing w:after="0"/>
              <w:rPr>
                <w:sz w:val="20"/>
                <w:szCs w:val="20"/>
                <w:color w:val="auto"/>
              </w:rPr>
            </w:pPr>
            <w:r>
              <w:rPr>
                <w:rFonts w:ascii="Arial" w:cs="Arial" w:eastAsia="Arial" w:hAnsi="Arial"/>
                <w:sz w:val="14"/>
                <w:szCs w:val="14"/>
                <w:color w:val="auto"/>
              </w:rPr>
              <w:t>OPERATING EXPENSE: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Expenses: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720"/>
              <w:spacing w:after="0"/>
              <w:rPr>
                <w:sz w:val="20"/>
                <w:szCs w:val="20"/>
                <w:color w:val="auto"/>
              </w:rPr>
            </w:pPr>
            <w:r>
              <w:rPr>
                <w:rFonts w:ascii="Arial" w:cs="Arial" w:eastAsia="Arial" w:hAnsi="Arial"/>
                <w:sz w:val="14"/>
                <w:szCs w:val="14"/>
                <w:color w:val="auto"/>
              </w:rPr>
              <w:t>Purchased water</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15,934</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13,662</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Power</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2,725</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720"/>
              <w:spacing w:after="0"/>
              <w:rPr>
                <w:sz w:val="20"/>
                <w:szCs w:val="20"/>
                <w:color w:val="auto"/>
              </w:rPr>
            </w:pPr>
            <w:r>
              <w:rPr>
                <w:rFonts w:ascii="Arial" w:cs="Arial" w:eastAsia="Arial" w:hAnsi="Arial"/>
                <w:sz w:val="14"/>
                <w:szCs w:val="14"/>
                <w:color w:val="auto"/>
              </w:rPr>
              <w:t>Groundwater extraction charges</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15,028</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production expenses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10,093</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5,099</w:t>
            </w:r>
          </w:p>
        </w:tc>
        <w:tc>
          <w:tcPr>
            <w:tcW w:w="0" w:type="dxa"/>
            <w:vAlign w:val="bottom"/>
          </w:tcPr>
          <w:p>
            <w:pPr>
              <w:spacing w:after="0"/>
              <w:rPr>
                <w:sz w:val="1"/>
                <w:szCs w:val="1"/>
                <w:color w:val="auto"/>
              </w:rPr>
            </w:pPr>
          </w:p>
        </w:tc>
      </w:tr>
      <w:tr>
        <w:trPr>
          <w:trHeight w:val="170"/>
        </w:trPr>
        <w:tc>
          <w:tcPr>
            <w:tcW w:w="8440" w:type="dxa"/>
            <w:vAlign w:val="bottom"/>
          </w:tcPr>
          <w:p>
            <w:pPr>
              <w:ind w:left="380"/>
              <w:spacing w:after="0"/>
              <w:rPr>
                <w:sz w:val="20"/>
                <w:szCs w:val="20"/>
                <w:color w:val="auto"/>
              </w:rPr>
            </w:pPr>
            <w:r>
              <w:rPr>
                <w:rFonts w:ascii="Arial" w:cs="Arial" w:eastAsia="Arial" w:hAnsi="Arial"/>
                <w:sz w:val="14"/>
                <w:szCs w:val="14"/>
                <w:color w:val="auto"/>
              </w:rPr>
              <w:t>Total production expenses</w:t>
            </w:r>
          </w:p>
        </w:tc>
        <w:tc>
          <w:tcPr>
            <w:tcW w:w="28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43,780</w:t>
            </w:r>
          </w:p>
        </w:tc>
        <w:tc>
          <w:tcPr>
            <w:tcW w:w="1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26,784</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Administrative and general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12,291</w:t>
            </w: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Maintenance</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taxes and other non-income taxes</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7,463</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4,128</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21,382</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15,145</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Merger related expenses</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1140"/>
              <w:spacing w:after="0"/>
              <w:rPr>
                <w:sz w:val="20"/>
                <w:szCs w:val="20"/>
                <w:color w:val="auto"/>
              </w:rPr>
            </w:pPr>
            <w:r>
              <w:rPr>
                <w:rFonts w:ascii="Arial" w:cs="Arial" w:eastAsia="Arial" w:hAnsi="Arial"/>
                <w:sz w:val="14"/>
                <w:szCs w:val="14"/>
                <w:color w:val="auto"/>
              </w:rPr>
              <w:t>Total operating expense</w:t>
            </w:r>
          </w:p>
        </w:tc>
        <w:tc>
          <w:tcPr>
            <w:tcW w:w="28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100,327</w:t>
            </w:r>
          </w:p>
        </w:tc>
        <w:tc>
          <w:tcPr>
            <w:tcW w:w="1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65,274</w:t>
            </w:r>
          </w:p>
        </w:tc>
        <w:tc>
          <w:tcPr>
            <w:tcW w:w="0" w:type="dxa"/>
            <w:vAlign w:val="bottom"/>
          </w:tcPr>
          <w:p>
            <w:pPr>
              <w:spacing w:after="0"/>
              <w:rPr>
                <w:sz w:val="1"/>
                <w:szCs w:val="1"/>
                <w:color w:val="auto"/>
              </w:rPr>
            </w:pPr>
          </w:p>
        </w:tc>
      </w:tr>
      <w:tr>
        <w:trPr>
          <w:trHeight w:val="74"/>
        </w:trPr>
        <w:tc>
          <w:tcPr>
            <w:tcW w:w="8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15,427</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12,408</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40"/>
              <w:spacing w:after="0"/>
              <w:rPr>
                <w:sz w:val="20"/>
                <w:szCs w:val="20"/>
                <w:color w:val="auto"/>
              </w:rPr>
            </w:pPr>
            <w:r>
              <w:rPr>
                <w:rFonts w:ascii="Arial" w:cs="Arial" w:eastAsia="Arial" w:hAnsi="Arial"/>
                <w:sz w:val="14"/>
                <w:szCs w:val="14"/>
                <w:color w:val="auto"/>
              </w:rPr>
              <w:t>OTHER (EXPENSE) INCOME: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on long-term debt and other interest expense</w:t>
            </w: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(5,791)</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Pension non-service cost</w:t>
            </w: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money market fund</w:t>
            </w:r>
          </w:p>
        </w:tc>
        <w:tc>
          <w:tcPr>
            <w:tcW w:w="28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7,918</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7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SJW GROUP NET INCOME</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4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loss on investment, net of tax benefit of $50 in 2020</w:t>
            </w: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40" w:type="dxa"/>
            <w:vAlign w:val="bottom"/>
          </w:tcPr>
          <w:p>
            <w:pPr>
              <w:ind w:left="40"/>
              <w:spacing w:after="0"/>
              <w:rPr>
                <w:sz w:val="20"/>
                <w:szCs w:val="20"/>
                <w:color w:val="auto"/>
              </w:rPr>
            </w:pPr>
            <w:r>
              <w:rPr>
                <w:rFonts w:ascii="Arial" w:cs="Arial" w:eastAsia="Arial" w:hAnsi="Arial"/>
                <w:sz w:val="14"/>
                <w:szCs w:val="14"/>
                <w:color w:val="auto"/>
              </w:rPr>
              <w:t>SJW GROUP COMPREHENSIVE INCOME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100"/>
        </w:trPr>
        <w:tc>
          <w:tcPr>
            <w:tcW w:w="84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4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SJW GROUP EARNINGS PER SHARE</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Basic</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40"/>
              <w:spacing w:after="0"/>
              <w:rPr>
                <w:sz w:val="20"/>
                <w:szCs w:val="20"/>
                <w:color w:val="auto"/>
              </w:rPr>
            </w:pPr>
            <w:r>
              <w:rPr>
                <w:rFonts w:ascii="Arial" w:cs="Arial" w:eastAsia="Arial" w:hAnsi="Arial"/>
                <w:sz w:val="14"/>
                <w:szCs w:val="14"/>
                <w:color w:val="auto"/>
              </w:rPr>
              <w:t>DIVIDENDS PER SHARE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28,489,357</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28,423,214</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28,674,221</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28,507,738</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3"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color w:val="auto"/>
              </w:rPr>
              <w:t>Utility plant:</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34,697</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34,395</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Depreciable plant and equipment</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3,014,589</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2,988,454</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in progress</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126,365</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112,232</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Intangible assets</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32,775</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33,424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3,208,426</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3,168,505</w:t>
            </w: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983,481</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962,019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2,224,945</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2,206,486</w:t>
            </w: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Real estate investments</w:t>
            </w:r>
          </w:p>
        </w:tc>
        <w:tc>
          <w:tcPr>
            <w:tcW w:w="300" w:type="dxa"/>
            <w:vAlign w:val="bottom"/>
          </w:tcPr>
          <w:p>
            <w:pPr>
              <w:spacing w:after="0"/>
              <w:rPr>
                <w:sz w:val="14"/>
                <w:szCs w:val="14"/>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57,954</w:t>
            </w:r>
          </w:p>
        </w:tc>
        <w:tc>
          <w:tcPr>
            <w:tcW w:w="100" w:type="dxa"/>
            <w:vAlign w:val="bottom"/>
          </w:tcPr>
          <w:p>
            <w:pPr>
              <w:spacing w:after="0"/>
              <w:rPr>
                <w:sz w:val="14"/>
                <w:szCs w:val="14"/>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57,699</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13,899</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13,597</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44,055</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44,102</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Cash</w:t>
            </w:r>
          </w:p>
        </w:tc>
        <w:tc>
          <w:tcPr>
            <w:tcW w:w="3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28,273</w:t>
            </w:r>
          </w:p>
        </w:tc>
        <w:tc>
          <w:tcPr>
            <w:tcW w:w="10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12,944</w:t>
            </w:r>
          </w:p>
        </w:tc>
        <w:tc>
          <w:tcPr>
            <w:tcW w:w="0" w:type="dxa"/>
            <w:vAlign w:val="bottom"/>
          </w:tcPr>
          <w:p>
            <w:pPr>
              <w:spacing w:after="0"/>
              <w:rPr>
                <w:sz w:val="1"/>
                <w:szCs w:val="1"/>
                <w:color w:val="auto"/>
              </w:rPr>
            </w:pPr>
          </w:p>
        </w:tc>
      </w:tr>
      <w:tr>
        <w:trPr>
          <w:trHeight w:val="79"/>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72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Customers, net of allowances for uncollectible accounts</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34,710</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36,305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7,097</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90"/>
        </w:trPr>
        <w:tc>
          <w:tcPr>
            <w:tcW w:w="7780" w:type="dxa"/>
            <w:vAlign w:val="bottom"/>
          </w:tcPr>
          <w:p>
            <w:pPr>
              <w:ind w:left="7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unbilled utility revenue</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36,996</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40,102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Current regulatory assets, net</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6,129</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6,472</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13,577</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9,553</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128,818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122,046</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Net regulatory assets, less current portion</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126,149</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113,945</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13,400</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8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628,287</w:t>
            </w:r>
          </w:p>
        </w:tc>
        <w:tc>
          <w:tcPr>
            <w:tcW w:w="100" w:type="dxa"/>
            <w:vAlign w:val="bottom"/>
          </w:tcPr>
          <w:p>
            <w:pPr>
              <w:spacing w:after="0"/>
              <w:rPr>
                <w:sz w:val="16"/>
                <w:szCs w:val="16"/>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628,287</w:t>
            </w:r>
          </w:p>
        </w:tc>
        <w:tc>
          <w:tcPr>
            <w:tcW w:w="0" w:type="dxa"/>
            <w:vAlign w:val="bottom"/>
          </w:tcPr>
          <w:p>
            <w:pPr>
              <w:spacing w:after="0"/>
              <w:rPr>
                <w:sz w:val="1"/>
                <w:szCs w:val="1"/>
                <w:color w:val="auto"/>
              </w:rPr>
            </w:pPr>
          </w:p>
        </w:tc>
      </w:tr>
      <w:tr>
        <w:trPr>
          <w:trHeight w:val="73"/>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8,644</w:t>
            </w:r>
          </w:p>
        </w:tc>
        <w:tc>
          <w:tcPr>
            <w:tcW w:w="10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73"/>
        </w:trPr>
        <w:tc>
          <w:tcPr>
            <w:tcW w:w="77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776,480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759,836</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3,174,298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3,132,470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557"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364" w:lineRule="exact"/>
        <w:rPr>
          <w:sz w:val="20"/>
          <w:szCs w:val="20"/>
          <w:color w:val="auto"/>
        </w:rPr>
      </w:pPr>
    </w:p>
    <w:p>
      <w:pPr>
        <w:jc w:val="right"/>
        <w:ind w:right="500"/>
        <w:spacing w:after="0"/>
        <w:tabs>
          <w:tab w:leader="none" w:pos="8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26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13232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00"/>
          </w:cols>
          <w:pgMar w:left="360" w:top="557" w:right="3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CAPITALIZATION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Stockholders’ equity:</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Common stock, $0.001 par value; authorized 70,000,000 shares; issued and outstanding shares 28,497,841 on March 31,</w:t>
      </w:r>
    </w:p>
    <w:p>
      <w:pPr>
        <w:spacing w:after="0" w:line="11" w:lineRule="exact"/>
        <w:rPr>
          <w:sz w:val="20"/>
          <w:szCs w:val="20"/>
          <w:color w:val="auto"/>
        </w:rPr>
      </w:pPr>
    </w:p>
    <w:p>
      <w:pPr>
        <w:ind w:left="340" w:right="300"/>
        <w:spacing w:after="0" w:line="277" w:lineRule="auto"/>
        <w:rPr>
          <w:sz w:val="20"/>
          <w:szCs w:val="20"/>
          <w:color w:val="auto"/>
        </w:rPr>
      </w:pPr>
      <w:r>
        <w:rPr>
          <w:rFonts w:ascii="Arial" w:cs="Arial" w:eastAsia="Arial" w:hAnsi="Arial"/>
          <w:sz w:val="14"/>
          <w:szCs w:val="14"/>
          <w:color w:val="auto"/>
        </w:rPr>
        <w:t>2020 and 28,456,508 on December 31, 2019 $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(loss) income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debt,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portion of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groundwater extraction charges, purchased water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property taxes and other non-income taxes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CONTRIBUTIONS IN AID OF CONSTRUCTION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3"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507,075</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506,639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376,447</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383,191</w:t>
            </w:r>
          </w:p>
        </w:tc>
      </w:tr>
      <w:tr>
        <w:trPr>
          <w:trHeight w:val="276"/>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883,541</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889,984</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1,316,996</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1,283,597</w:t>
            </w:r>
          </w:p>
        </w:tc>
      </w:tr>
      <w:tr>
        <w:trPr>
          <w:trHeight w:val="250"/>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2,200,537</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2,173,581</w:t>
            </w:r>
          </w:p>
        </w:tc>
      </w:tr>
      <w:tr>
        <w:trPr>
          <w:trHeight w:val="528"/>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131,402</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117,209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22,311</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22,272</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12,919</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17,211</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25,214</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34,886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18,516</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13,140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3,545</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2,039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9,105</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11,570</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15,392</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16,240</w:t>
            </w:r>
          </w:p>
        </w:tc>
      </w:tr>
      <w:tr>
        <w:trPr>
          <w:trHeight w:val="25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238,404</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234,567</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194,823</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195,598</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117,596</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112,339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287,802</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286,035</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111,272</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108,044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23,864</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22,306</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6"/>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3,174,298</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3,132,470</w:t>
            </w:r>
          </w:p>
        </w:tc>
      </w:tr>
      <w:tr>
        <w:trPr>
          <w:trHeight w:val="20"/>
        </w:trPr>
        <w:tc>
          <w:tcPr>
            <w:tcW w:w="8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-7620</wp:posOffset>
            </wp:positionV>
            <wp:extent cx="11487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-1388110</wp:posOffset>
            </wp:positionV>
            <wp:extent cx="11487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-3110865</wp:posOffset>
            </wp:positionV>
            <wp:extent cx="1148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-3453765</wp:posOffset>
            </wp:positionV>
            <wp:extent cx="1148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580"/>
          </w:cols>
          <w:pgMar w:left="360" w:top="5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00"/>
          </w:cols>
          <w:pgMar w:left="360" w:top="557" w:right="339" w:bottom="1440"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00"/>
          </w:cols>
          <w:pgMar w:left="360" w:top="55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CHANGES IN STOCKHOLDERS’ EQUITY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December 31, 2019</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Unrealized loss on investment, net of tax benefit of $50</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Issuance of restricted and deferred stock units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Employee stock purchase plan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 ($0.32 per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March 31, 2020</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10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9"/>
                <w:szCs w:val="9"/>
                <w:color w:val="auto"/>
              </w:rPr>
            </w:pPr>
          </w:p>
        </w:tc>
        <w:tc>
          <w:tcPr>
            <w:tcW w:w="1000" w:type="dxa"/>
            <w:vAlign w:val="bottom"/>
          </w:tcPr>
          <w:p>
            <w:pPr>
              <w:jc w:val="center"/>
              <w:ind w:right="49"/>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28,456,508</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506,639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383,191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889,984</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0"/>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25,781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70"/>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15,552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76"/>
        </w:trPr>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250"/>
        </w:trPr>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28,497,841</w:t>
            </w:r>
          </w:p>
        </w:tc>
        <w:tc>
          <w:tcPr>
            <w:tcW w:w="120" w:type="dxa"/>
            <w:vAlign w:val="bottom"/>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507,075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376,447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883,541</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-1396365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-1053465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-710565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-367665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60"/>
            <w:col w:w="7520"/>
          </w:cols>
          <w:pgMar w:left="320" w:top="557" w:right="33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0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720" w:type="dxa"/>
            <w:vAlign w:val="bottom"/>
          </w:tcPr>
          <w:p>
            <w:pPr>
              <w:spacing w:after="0"/>
              <w:rPr>
                <w:sz w:val="9"/>
                <w:szCs w:val="9"/>
                <w:color w:val="auto"/>
              </w:rPr>
            </w:pPr>
          </w:p>
        </w:tc>
        <w:tc>
          <w:tcPr>
            <w:tcW w:w="210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9"/>
                <w:szCs w:val="9"/>
                <w:color w:val="auto"/>
              </w:rPr>
            </w:pPr>
          </w:p>
        </w:tc>
        <w:tc>
          <w:tcPr>
            <w:tcW w:w="1000" w:type="dxa"/>
            <w:vAlign w:val="bottom"/>
          </w:tcPr>
          <w:p>
            <w:pPr>
              <w:jc w:val="center"/>
              <w:ind w:right="49"/>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December 31, 2018</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28,404,316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495,366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393,918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889,312</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Cumulative effect of change in accounting principle, net of</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effect of $33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0"/>
        </w:trPr>
        <w:tc>
          <w:tcPr>
            <w:tcW w:w="372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and deferred stock units</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14,312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15,932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issuance cost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80"/>
              <w:spacing w:after="0"/>
              <w:rPr>
                <w:sz w:val="20"/>
                <w:szCs w:val="20"/>
                <w:color w:val="auto"/>
              </w:rPr>
            </w:pPr>
            <w:r>
              <w:rPr>
                <w:rFonts w:ascii="Arial" w:cs="Arial" w:eastAsia="Arial" w:hAnsi="Arial"/>
                <w:sz w:val="14"/>
                <w:szCs w:val="14"/>
                <w:color w:val="auto"/>
              </w:rPr>
              <w:t>Dividends paid ($0.30 per share)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March 31, 2019</w:t>
            </w: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28,434,560</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496,921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391,344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888,293</w:t>
            </w:r>
          </w:p>
        </w:tc>
        <w:tc>
          <w:tcPr>
            <w:tcW w:w="0" w:type="dxa"/>
            <w:vAlign w:val="bottom"/>
          </w:tcPr>
          <w:p>
            <w:pPr>
              <w:spacing w:after="0"/>
              <w:rPr>
                <w:sz w:val="1"/>
                <w:szCs w:val="1"/>
                <w:color w:val="auto"/>
              </w:rPr>
            </w:pPr>
          </w:p>
        </w:tc>
      </w:tr>
      <w:tr>
        <w:trPr>
          <w:trHeight w:val="74"/>
        </w:trPr>
        <w:tc>
          <w:tcPr>
            <w:tcW w:w="37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557" w:right="3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557"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00"/>
          </w:cols>
          <w:pgMar w:left="360" w:top="557" w:right="33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 and accrued unbilled utility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 and other 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groundwater extraction charges, purchased water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Tax payable and receivable, and other accrued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jc w:val="right"/>
        <w:ind w:right="2480"/>
        <w:spacing w:after="0"/>
        <w:rPr>
          <w:sz w:val="20"/>
          <w:szCs w:val="20"/>
          <w:color w:val="auto"/>
        </w:rPr>
      </w:pPr>
      <w:r>
        <w:rPr>
          <w:rFonts w:ascii="Arial" w:cs="Arial" w:eastAsia="Arial" w:hAnsi="Arial"/>
          <w:sz w:val="14"/>
          <w:szCs w:val="14"/>
          <w:color w:val="auto"/>
        </w:rPr>
        <w:t>Regulatory assets and liability related to balancing and memorandum accounts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Up-front service concession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changes,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Company-funded</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real estate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to retire utility plant, net of salvage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Borrowings on line of credit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of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Repayments of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Debt issuance and broker fee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Receipts of advances and contributions in aid of construction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Refunds of 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changes,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CHANGE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252730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Cash paid (received) during the period for: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accrued payables for construction costs capitalized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Utility property installed by developers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7741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488"/>
              <w:spacing w:after="0"/>
              <w:rPr>
                <w:sz w:val="20"/>
                <w:szCs w:val="20"/>
                <w:color w:val="auto"/>
              </w:rPr>
            </w:pPr>
            <w:r>
              <w:rPr>
                <w:rFonts w:ascii="Arial" w:cs="Arial" w:eastAsia="Arial" w:hAnsi="Arial"/>
                <w:sz w:val="14"/>
                <w:szCs w:val="14"/>
                <w:color w:val="auto"/>
              </w:rPr>
              <w:t>2,417</w:t>
            </w:r>
          </w:p>
        </w:tc>
        <w:tc>
          <w:tcPr>
            <w:tcW w:w="900" w:type="dxa"/>
            <w:vAlign w:val="bottom"/>
          </w:tcPr>
          <w:p>
            <w:pPr>
              <w:jc w:val="right"/>
              <w:spacing w:after="0"/>
              <w:rPr>
                <w:sz w:val="20"/>
                <w:szCs w:val="20"/>
                <w:color w:val="auto"/>
              </w:rPr>
            </w:pPr>
            <w:r>
              <w:rPr>
                <w:rFonts w:ascii="Arial" w:cs="Arial" w:eastAsia="Arial" w:hAnsi="Arial"/>
                <w:sz w:val="14"/>
                <w:szCs w:val="14"/>
                <w:color w:val="auto"/>
              </w:rPr>
              <w:t>5,873</w:t>
            </w:r>
          </w:p>
        </w:tc>
      </w:tr>
    </w:tbl>
    <w:p>
      <w:pPr>
        <w:spacing w:after="0" w:line="358"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4"/>
          <w:szCs w:val="14"/>
          <w:color w:val="auto"/>
        </w:rPr>
        <w:t>22,482</w:t>
      </w:r>
      <w:r>
        <w:rPr>
          <w:sz w:val="20"/>
          <w:szCs w:val="20"/>
          <w:color w:val="auto"/>
        </w:rPr>
        <w:tab/>
      </w:r>
      <w:r>
        <w:rPr>
          <w:rFonts w:ascii="Arial" w:cs="Arial" w:eastAsia="Arial" w:hAnsi="Arial"/>
          <w:sz w:val="14"/>
          <w:szCs w:val="14"/>
          <w:color w:val="auto"/>
        </w:rPr>
        <w:t>15,803</w:t>
      </w:r>
    </w:p>
    <w:p>
      <w:pPr>
        <w:spacing w:after="0" w:line="109" w:lineRule="exact"/>
        <w:rPr>
          <w:sz w:val="20"/>
          <w:szCs w:val="20"/>
          <w:color w:val="auto"/>
        </w:rPr>
      </w:pPr>
    </w:p>
    <w:p>
      <w:pPr>
        <w:ind w:left="2320" w:hanging="1336"/>
        <w:spacing w:after="0"/>
        <w:tabs>
          <w:tab w:leader="none" w:pos="2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(1,014)</w:t>
      </w:r>
    </w:p>
    <w:p>
      <w:pPr>
        <w:spacing w:after="0" w:line="109" w:lineRule="exact"/>
        <w:rPr>
          <w:sz w:val="20"/>
          <w:szCs w:val="20"/>
          <w:color w:val="auto"/>
        </w:rPr>
      </w:pPr>
    </w:p>
    <w:p>
      <w:pPr>
        <w:ind w:left="1040"/>
        <w:spacing w:after="0"/>
        <w:tabs>
          <w:tab w:leader="none" w:pos="2460" w:val="left"/>
        </w:tabs>
        <w:rPr>
          <w:sz w:val="20"/>
          <w:szCs w:val="20"/>
          <w:color w:val="auto"/>
        </w:rPr>
      </w:pPr>
      <w:r>
        <w:rPr>
          <w:rFonts w:ascii="Arial" w:cs="Arial" w:eastAsia="Arial" w:hAnsi="Arial"/>
          <w:sz w:val="14"/>
          <w:szCs w:val="14"/>
          <w:color w:val="auto"/>
        </w:rPr>
        <w:t>251</w:t>
      </w:r>
      <w:r>
        <w:rPr>
          <w:sz w:val="20"/>
          <w:szCs w:val="20"/>
          <w:color w:val="auto"/>
        </w:rPr>
        <w:tab/>
      </w:r>
      <w:r>
        <w:rPr>
          <w:rFonts w:ascii="Arial" w:cs="Arial" w:eastAsia="Arial" w:hAnsi="Arial"/>
          <w:sz w:val="14"/>
          <w:szCs w:val="14"/>
          <w:color w:val="auto"/>
        </w:rPr>
        <w:t>886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5,498</w:t>
            </w: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6,093</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(8,755)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456</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(4,292)</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(6,723)</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4,851</w:t>
            </w:r>
          </w:p>
        </w:tc>
      </w:tr>
      <w:tr>
        <w:trPr>
          <w:trHeight w:val="270"/>
        </w:trPr>
        <w:tc>
          <w:tcPr>
            <w:tcW w:w="1360" w:type="dxa"/>
            <w:vAlign w:val="bottom"/>
          </w:tcPr>
          <w:p>
            <w:pPr>
              <w:jc w:val="right"/>
              <w:ind w:right="48"/>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1,723</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(10,158)</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2,937</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w:t>
            </w:r>
          </w:p>
        </w:tc>
      </w:tr>
      <w:tr>
        <w:trPr>
          <w:trHeight w:val="250"/>
        </w:trPr>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7,929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25,193</w:t>
            </w:r>
          </w:p>
        </w:tc>
      </w:tr>
      <w:tr>
        <w:trPr>
          <w:trHeight w:val="798"/>
        </w:trPr>
        <w:tc>
          <w:tcPr>
            <w:tcW w:w="1360" w:type="dxa"/>
            <w:vAlign w:val="bottom"/>
          </w:tcPr>
          <w:p>
            <w:pPr>
              <w:jc w:val="right"/>
              <w:spacing w:after="0"/>
              <w:rPr>
                <w:sz w:val="20"/>
                <w:szCs w:val="20"/>
                <w:color w:val="auto"/>
              </w:rPr>
            </w:pPr>
            <w:r>
              <w:rPr>
                <w:rFonts w:ascii="Arial" w:cs="Arial" w:eastAsia="Arial" w:hAnsi="Arial"/>
                <w:sz w:val="14"/>
                <w:szCs w:val="14"/>
                <w:color w:val="auto"/>
              </w:rPr>
              <w:t>(38,314)</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(29,575)</w:t>
            </w:r>
          </w:p>
        </w:tc>
      </w:tr>
      <w:tr>
        <w:trPr>
          <w:trHeight w:val="270"/>
        </w:trPr>
        <w:tc>
          <w:tcPr>
            <w:tcW w:w="1360" w:type="dxa"/>
            <w:vAlign w:val="bottom"/>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(3,273)</w:t>
            </w:r>
          </w:p>
        </w:tc>
      </w:tr>
    </w:tbl>
    <w:p>
      <w:pPr>
        <w:spacing w:after="0" w:line="88" w:lineRule="exact"/>
        <w:rPr>
          <w:sz w:val="20"/>
          <w:szCs w:val="20"/>
          <w:color w:val="auto"/>
        </w:rPr>
      </w:pPr>
    </w:p>
    <w:p>
      <w:pPr>
        <w:ind w:left="2540" w:hanging="1556"/>
        <w:spacing w:after="0"/>
        <w:tabs>
          <w:tab w:leader="none" w:pos="2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sz w:val="20"/>
          <w:szCs w:val="20"/>
          <w:color w:val="auto"/>
        </w:rPr>
      </w:pPr>
    </w:p>
    <w:p>
      <w:pPr>
        <w:ind w:left="2320" w:hanging="1336"/>
        <w:spacing w:after="0"/>
        <w:tabs>
          <w:tab w:leader="none" w:pos="2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(1,525)</w:t>
      </w:r>
    </w:p>
    <w:p>
      <w:pPr>
        <w:spacing w:after="0" w:line="109" w:lineRule="exact"/>
        <w:rPr>
          <w:sz w:val="20"/>
          <w:szCs w:val="20"/>
          <w:color w:val="auto"/>
        </w:rPr>
      </w:pPr>
    </w:p>
    <w:p>
      <w:pPr>
        <w:ind w:left="800"/>
        <w:spacing w:after="0"/>
        <w:tabs>
          <w:tab w:leader="none" w:pos="2220" w:val="left"/>
        </w:tabs>
        <w:rPr>
          <w:sz w:val="20"/>
          <w:szCs w:val="20"/>
          <w:color w:val="auto"/>
        </w:rPr>
      </w:pPr>
      <w:r>
        <w:rPr>
          <w:rFonts w:ascii="Arial" w:cs="Arial" w:eastAsia="Arial" w:hAnsi="Arial"/>
          <w:sz w:val="14"/>
          <w:szCs w:val="14"/>
          <w:color w:val="auto"/>
        </w:rPr>
        <w:t>(42,469)</w:t>
      </w:r>
      <w:r>
        <w:rPr>
          <w:sz w:val="20"/>
          <w:szCs w:val="20"/>
          <w:color w:val="auto"/>
        </w:rPr>
        <w:tab/>
      </w:r>
      <w:r>
        <w:rPr>
          <w:rFonts w:ascii="Arial" w:cs="Arial" w:eastAsia="Arial" w:hAnsi="Arial"/>
          <w:sz w:val="14"/>
          <w:szCs w:val="14"/>
          <w:color w:val="auto"/>
        </w:rPr>
        <w:t>(34,373)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774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47,424</w:t>
            </w: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38,000</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(33,231)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(106,000)</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80,000</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(9,118)</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(8,529)</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6,416</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4,835</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2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w:t>
            </w:r>
          </w:p>
        </w:tc>
      </w:tr>
      <w:tr>
        <w:trPr>
          <w:trHeight w:val="250"/>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44,869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8,121</w:t>
            </w:r>
          </w:p>
        </w:tc>
      </w:tr>
      <w:tr>
        <w:trPr>
          <w:trHeight w:val="244"/>
        </w:trPr>
        <w:tc>
          <w:tcPr>
            <w:tcW w:w="4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(1,059)</w:t>
            </w:r>
          </w:p>
        </w:tc>
      </w:tr>
      <w:tr>
        <w:trPr>
          <w:trHeight w:val="2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420,722</w:t>
            </w:r>
          </w:p>
        </w:tc>
      </w:tr>
      <w:tr>
        <w:trPr>
          <w:trHeight w:val="236"/>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28,273</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419,663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8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9,373</w:t>
            </w:r>
          </w:p>
        </w:tc>
        <w:tc>
          <w:tcPr>
            <w:tcW w:w="10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6,304</w:t>
            </w:r>
          </w:p>
        </w:tc>
      </w:tr>
      <w:tr>
        <w:trPr>
          <w:trHeight w:val="270"/>
        </w:trPr>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(2,884)</w:t>
            </w:r>
          </w:p>
        </w:tc>
      </w:tr>
      <w:tr>
        <w:trPr>
          <w:trHeight w:val="270"/>
        </w:trPr>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(168)</w:t>
            </w:r>
          </w:p>
        </w:tc>
      </w:tr>
    </w:tbl>
    <w:p>
      <w:pPr>
        <w:spacing w:after="0" w:line="200" w:lineRule="exact"/>
        <w:rPr>
          <w:sz w:val="20"/>
          <w:szCs w:val="20"/>
          <w:color w:val="auto"/>
        </w:rPr>
      </w:pPr>
    </w:p>
    <w:p>
      <w:pPr>
        <w:sectPr>
          <w:pgSz w:w="11900" w:h="16838" w:orient="portrait"/>
          <w:cols w:equalWidth="0" w:num="2">
            <w:col w:w="7680" w:space="720"/>
            <w:col w:w="2800"/>
          </w:cols>
          <w:pgMar w:left="360" w:top="557" w:right="339" w:bottom="2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ectPr>
          <w:pgSz w:w="11900" w:h="16838" w:orient="portrait"/>
          <w:cols w:equalWidth="0" w:num="1">
            <w:col w:w="11200"/>
          </w:cols>
          <w:pgMar w:left="360" w:top="557" w:right="339" w:bottom="217"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00"/>
          </w:cols>
          <w:pgMar w:left="360" w:top="557" w:right="339" w:bottom="217"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(“GAAP”) and in accordance with the instructions for Form 10-Q and Rule 10-01 of Regulation S-X promulgated by the Securities and Exchange Commission (the “SEC”). The Notes to Consolidated Financial Statements in SJW Group’s 2019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and subsequent amendments. Topic 326 requires measurement and recognition of expected credit losses for financial assets held. This was effective for SJW Group in the first quarter of fiscal 2020. The adoption of ASU 2016-13 did not have a material impact on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8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105,136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78,926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Alternative revenue programs, net</w:t>
            </w: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balancing and memorandum accounts revenue,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1,366</w:t>
            </w:r>
          </w:p>
        </w:tc>
      </w:tr>
      <w:tr>
        <w:trPr>
          <w:trHeight w:val="27"/>
        </w:trPr>
        <w:tc>
          <w:tcPr>
            <w:tcW w:w="8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115,754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77,682</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and under the performance stock plans assumed through the business combination with Connecticut Water Service, Inc. (“CTWS”) and shares potentially issuable under the Employee Stock Purchase Plan (“ESPP”). For the three months ended March 31, 2020 and 2019, 17,573 and 7,417 anti-dilutive restricted common stock units were excluded from the dilutive earnings per share calculation,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Plant Depreciation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portion of depreciation expense is allocated to administrative and general expense. For the three months ended March 31, 2020, and 2019, the amounts allocated to administrative and general expense were $1,098 and $657,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SJW Group accounts for stock-based compensation based on the grant date fair value of awards issued to employees in accordance with FASB ASC Topic 718 - “Compensation - Stock Compensation,” which requires the measurement and recognition of compensation expense based on the estimated fair value of stock-based payment awards.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The types of awards included in the Incentive Plan are restricted stock awards, restricted stock units, performance shares, or other share-based awards. As of March 31, 2020, 184,130 shares are issuable upon the exercise of outstanding restricted stock units and deferred restricted stock units and an additional 759,976 shares are available for award issuances under the Incentive Plan. In addition, shares are issued to employees under the company’s ESPP.</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merger with CTWS on October 9, 2019, SJW Group assumed outstanding awards of restricted stock units and deferred share units under the following stock plans: CTWS 2014 Performance Stock Program, CTWS 2004 Performance Stock Program and CTWS 1994 Performance Stock Program (collectively, the “CTWS Plan”). As of March 31, 2020, approximately 101,647 shares are issuable upon the exercise of outstanding restricted stock units and deferred restricted stock units under the CTWS Plan.</w:t>
      </w:r>
    </w:p>
    <w:p>
      <w:pPr>
        <w:spacing w:after="0" w:line="7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Stock compensation costs charged to income are recognized on a straight-line basis over the requisite service period. A summary of compensation costs charged to income and proceeds from the exercise of any restricted stock and similar instruments that are recorded to additional paid-in capital and common stock, by award type, are presented below for the three months ended March 31,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additional paid-in capital and common stock for:</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Compensation costs charged to income:</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ESPP</w:t>
            </w: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660" w:type="dxa"/>
            <w:vAlign w:val="bottom"/>
          </w:tcPr>
          <w:p>
            <w:pPr>
              <w:ind w:left="300"/>
              <w:spacing w:after="0"/>
              <w:rPr>
                <w:sz w:val="20"/>
                <w:szCs w:val="20"/>
                <w:color w:val="auto"/>
              </w:rPr>
            </w:pPr>
            <w:r>
              <w:rPr>
                <w:rFonts w:ascii="Arial" w:cs="Arial" w:eastAsia="Arial" w:hAnsi="Arial"/>
                <w:sz w:val="18"/>
                <w:szCs w:val="18"/>
                <w:color w:val="auto"/>
              </w:rPr>
              <w:t>Restricted stock and deferred restricted stock</w:t>
            </w: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compensation costs charged to income</w:t>
            </w: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ESPP proceeds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820" w:type="dxa"/>
            <w:vAlign w:val="bottom"/>
          </w:tcPr>
          <w:p>
            <w:pPr>
              <w:jc w:val="right"/>
              <w:ind w:right="61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970</w:t>
            </w:r>
          </w:p>
        </w:tc>
        <w:tc>
          <w:tcPr>
            <w:tcW w:w="1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Restricted Stock and Deferred Restricted Stock</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the three months ended March 31, 2020 and 2019, SJW Group granted under the Incentive Plan 28,367 and 17,451, respectively, three year service-based restricted stock awards with a weighted-average grant date fair value of $65.89 and $51.28, respectively, per unit.</w:t>
      </w:r>
    </w:p>
    <w:p>
      <w:pPr>
        <w:spacing w:after="0" w:line="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Performance-based and market-based restricted stock awards granted for the three months ended March 31, 2020 and 2019 were 24,581 and 30,401 target units with a weighted-average grant date fair value of $73.85 and $60.46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2020, the total unrecognized compensation costs related to restricted and deferred restricted stock plans amounted to $6,113. This cost is expected to be recognized over a weighted-average period of 2.33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common stock have been reserved for issuance under the ESPP.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SJW Group’s recorded expenses were $86 and $76 for the three months ended March 31, 2020 and 2019, related to the ESPP. The total unrecognized compensation costs related to the semi-annual offering period that ends July 31, 2020, for the ESPP is approximately $102. This cost is expected to be recognized during the second and third quarters of 2020.</w:t>
      </w:r>
    </w:p>
    <w:p>
      <w:pPr>
        <w:spacing w:after="0" w:line="28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u w:val="single" w:color="auto"/>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March 31, 2020, and December 31, 2019,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43,786</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43,531</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57,954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13,899</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13,597</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44,055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is computed using the straight-line method over the estimated useful lives of the assets, ranging from 7 to 39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real estate investments relate to assets that are currently subject to operating leases.</w:t>
      </w:r>
    </w:p>
    <w:p>
      <w:pPr>
        <w:spacing w:after="0" w:line="3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Defined Benefit Plan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Certain employees hired before March 1, 2012, and covered by a plan merged into the CTWS plan in 2013 are also entitled to benefit based on the employee’s years of service and compensation. For SJWC employees hired on or after March 31, 2008, benefits are determined using a cash balance formula based upon compensation credits and interest credits for each employee.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addition, senior management hired before March 31, 2008, for SJWC and January 1, 2009, for CTWS are eligible to receive additional retirement benefits under the supplemental executive retirement plans and retirement contracts. SJWC’s senior management hired on or after March 31, 2008, are eligible to receive additional retirement benefits under SJWC’s Cash Balance Executive Supplemental Retirement Plan. Both of the plans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components of net periodic benefit costs for the defined benefit plans and other postretirement benefits for the three months ended March 31, 2020, and 2019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52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w:t>
            </w:r>
          </w:p>
        </w:tc>
        <w:tc>
          <w:tcPr>
            <w:tcW w:w="4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4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(4,120)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(2,309)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10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fair values of plan assets by major categories as of March 31, 2020, and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Fair Value Measurements at March 31, 2020</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1"/>
                <w:szCs w:val="21"/>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Equity securities (a)</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122,326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116,326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income (b)</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92,218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63,702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4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220,659</w:t>
            </w:r>
          </w:p>
        </w:tc>
        <w:tc>
          <w:tcPr>
            <w:tcW w:w="12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150,957</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69,702</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7620</wp:posOffset>
            </wp:positionV>
            <wp:extent cx="36347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-98425</wp:posOffset>
            </wp:positionV>
            <wp:extent cx="3634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21"/>
                <w:szCs w:val="21"/>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1"/>
                <w:szCs w:val="21"/>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11,801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Equity securities (a)</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157,050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149,265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7,785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income (b)</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91,896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4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260,747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192,752</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67,995</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5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2020, SJW Group expects to make required and discretionary cash contributions of up to $9,238 to the pension plans and Social Welfare Plan. For the three months ended March 31, 2020, SJW Group has made no contributions to such plans.</w:t>
      </w:r>
    </w:p>
    <w:p>
      <w:pPr>
        <w:spacing w:after="0" w:line="27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SJW Group is a holding company with four subsidiaries: (i) SJWC, a water utility operation with both regulated and non-tariffed businesses, (ii) SJWTX, Inc. which is doing business as Canyon Lake Water Service Company (“CLWSC”), a regulated water utility located in Canyon Lake, Texas, and its consolidated non-tariffed variable interest entity, Acequia Water Supply Corporation, (iii) SJW Land Company and its consolidated variable interest entity, 444 West Santa Clara Street, L.P., which operated commercial building rentals, and (iv) as of October 9, 2019, SJWNE LLC a holding company for CTWS and its subsidiaries, The Connecticut Water Company (“Connecticut Water”), The Maine Water Company (“Maine Water”), The Heritage Village Water Company (“HVWC”), The Avon Water Company (“Avon Water”), New England Water Utility Services (“NEWUS”), Inc. and Chester Realty, Inc. In accordance with FASB ASC Topic 280 - “Segment Reporting,” The chief operating decision maker of SJW Group has determined that it has two reportable business segments. The first segment is that of providing water utility and utility-related services to its customers through SJW Group’s subsidiaries, SJWC, Connecticut Water, CLWSC, Maine Water, HVWC, Avon Water, and NEWUS together referred to as “Water Utility Services.” The second segment is property management and investment activity conducted by SJW Land Company and Chester Realty, Inc., referred to as “Real Estate Services.”</w:t>
      </w:r>
    </w:p>
    <w:p>
      <w:pPr>
        <w:spacing w:after="0" w:line="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 Group’s reportable segments have been determined based on information used by the chief operating decision maker. SJW Group’s chief operating decision maker includes the Chairman, President and Chief Executive Officer, and his executive staff.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following tables set forth information relating to SJW Group’s reportable segments and distribution of regulated and non-tariffed business activities within the reportable segments. Certain allocated assets, such as goodwill, and revenue and expenses have been included in the reportable segment amounts. Other business activity of SJW Group not included in the reportable segments is included in the “All Other” category.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For Three Months Ended March 31, 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700" w:type="dxa"/>
            <w:vAlign w:val="bottom"/>
          </w:tcPr>
          <w:p>
            <w:pPr>
              <w:ind w:left="40"/>
              <w:spacing w:after="0"/>
              <w:rPr>
                <w:sz w:val="20"/>
                <w:szCs w:val="20"/>
                <w:color w:val="auto"/>
              </w:rPr>
            </w:pPr>
            <w:r>
              <w:rPr>
                <w:rFonts w:ascii="Arial" w:cs="Arial" w:eastAsia="Arial" w:hAnsi="Arial"/>
                <w:sz w:val="14"/>
                <w:szCs w:val="14"/>
                <w:color w:val="auto"/>
              </w:rPr>
              <w:t>Operating revenue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111,367</w:t>
            </w:r>
          </w:p>
        </w:tc>
        <w:tc>
          <w:tcPr>
            <w:tcW w:w="120" w:type="dxa"/>
            <w:vAlign w:val="bottom"/>
          </w:tcPr>
          <w:p>
            <w:pPr>
              <w:spacing w:after="0"/>
              <w:rPr>
                <w:sz w:val="15"/>
                <w:szCs w:val="15"/>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3,017</w:t>
            </w:r>
          </w:p>
        </w:tc>
        <w:tc>
          <w:tcPr>
            <w:tcW w:w="12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111,367</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4,387</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115,754</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96,017</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2,118</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96,017</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100,327</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15,350</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15,350</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15,427</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(3,411)</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20,749</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20,749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21,382</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 and other interest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8,174</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5,110</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8,174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5,110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13,284</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40"/>
              <w:spacing w:after="0"/>
              <w:rPr>
                <w:sz w:val="20"/>
                <w:szCs w:val="20"/>
                <w:color w:val="auto"/>
              </w:rPr>
            </w:pPr>
            <w:r>
              <w:rPr>
                <w:rFonts w:ascii="Arial" w:cs="Arial" w:eastAsia="Arial" w:hAnsi="Arial"/>
                <w:sz w:val="14"/>
                <w:szCs w:val="14"/>
                <w:color w:val="auto"/>
                <w:w w:val="98"/>
              </w:rPr>
              <w:t>Income tax expense (benefit) in net income</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3,054,474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9,170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46,436</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64,218</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3,054,474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119,824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3,174,298</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2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For Three Months Ended March 31, 2019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Water Utility Services</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Real Estate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vMerge w:val="restart"/>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Regulated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Non-tariffed</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700" w:type="dxa"/>
            <w:vAlign w:val="bottom"/>
          </w:tcPr>
          <w:p>
            <w:pPr>
              <w:ind w:left="40"/>
              <w:spacing w:after="0"/>
              <w:rPr>
                <w:sz w:val="20"/>
                <w:szCs w:val="20"/>
                <w:color w:val="auto"/>
              </w:rPr>
            </w:pPr>
            <w:r>
              <w:rPr>
                <w:rFonts w:ascii="Arial" w:cs="Arial" w:eastAsia="Arial" w:hAnsi="Arial"/>
                <w:sz w:val="14"/>
                <w:szCs w:val="14"/>
                <w:color w:val="auto"/>
              </w:rPr>
              <w:t>Operating revenue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15"/>
                <w:szCs w:val="15"/>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77,682</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60,585</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2,957</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60,585</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4,689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65,274</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14,562</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14,562</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(2,154)</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12,408</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5,873</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14,749</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14,749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15,145</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 and other interest expense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5,220</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5,791</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40"/>
              <w:spacing w:after="0"/>
              <w:rPr>
                <w:sz w:val="20"/>
                <w:szCs w:val="20"/>
                <w:color w:val="auto"/>
              </w:rPr>
            </w:pPr>
            <w:r>
              <w:rPr>
                <w:rFonts w:ascii="Arial" w:cs="Arial" w:eastAsia="Arial" w:hAnsi="Arial"/>
                <w:sz w:val="14"/>
                <w:szCs w:val="14"/>
                <w:color w:val="auto"/>
                <w:w w:val="98"/>
              </w:rPr>
              <w:t>Income tax expense (benefit) in net income</w:t>
            </w: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1,492,643</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5,825</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46,862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413,477</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1,492,643</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466,164</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1,958,807</w:t>
            </w: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140" w:firstLine="692"/>
        <w:spacing w:after="0" w:line="252" w:lineRule="auto"/>
        <w:tabs>
          <w:tab w:leader="none" w:pos="79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“All Other” category for the three months ended March 31, 2020, includes the accounts of SJW Group, SJWNE LLC and CTWS on a stand-alone basis. For the three months ended March 31, 2019, the “All Other” category includes the accounts of SJW Group and Hydro Sub, Inc. on a stand-alone basis. For the three months ended March 31, 2019, Hydro Sub, Inc. had no recorded revenue or expenses and as of March 31, 2019 held no assets and has incurred no liabilities. Hydro Sub. Inc. was a subsidiary created solely to facilitate the merger with CTWS and was dissolved following the completion of merger in October 2019.</w:t>
      </w:r>
    </w:p>
    <w:p>
      <w:pPr>
        <w:spacing w:after="0" w:line="2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Long-Term Liabilities and Bank Borrowings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mortgages, and other obligations. Water Utility Services have received advance deposit payments from its customers on certain construction projects and the refunds of the advance deposit payments constitute an obligation to the respective subsidiaries.</w:t>
      </w:r>
    </w:p>
    <w:p>
      <w:pPr>
        <w:spacing w:after="0" w:line="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March 12, 2020 Connecticut Water entered into a note purchase agreement with the purchasers listed in the agreement, pursuant to which Connecticut Water sold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result in all of the notes then outstanding becoming immediately due and payable. The notes have terms and conditions that restrict Connecticut Water from issuing additional debt or paying a dividend to CTWS if such debt or distribution would trigger an event of default. The senior note agreement also requires Connecticut Water to maintain a debt to capitalization ratio of not more than 60% and an interest coverage ratio at each fiscal quarter end of no less than three-to-one. As of March 31, 2020, Connecticut Water was in compliance with all financial ratio and operational covenants under this agreement. The closing occurred simultaneously with the signing of the note purchase agreement.</w:t>
      </w:r>
    </w:p>
    <w:p>
      <w:pPr>
        <w:spacing w:after="0" w:line="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December 19, 2019, Maine Water issued $5,000 of Series S First Mortgage Bonds to the Maine Municipal Bond Bank through the State Safe Drinking Water Revolving Loan Fund. The Series S bonds mature on October 1, 2039 and carry 1% interest. The Series S First Mortgage Bond covenants are the same as all other First Mortgage Bonds. The proceeds were held as restricted cash by a trustee to be used for pre-approved projects primarily related to preliminary engineering and design work of a water treatment plant in Maine’s Biddeford and Saco division. Proceeds were held by a trustee for the bond and until conditions were met. On February 3, 2020 and March 11, 2020, the trustee released proceeds of $4,114 and $886, respectively, from the bond.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required compliance with various financial and operational covenants, and a provision for maturity acceleration upon the occurrence of stated events of default.</w:t>
      </w: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instruments are not measured at fair value on SJW Group’s condensed consolidated balance sheets as of March 31, 2020, but require disclosure of their fair values: cash and cash equivalents, a money market fund, accounts receivable and accounts payable. The estimated fair value of such instruments as of March 31, 2020, approximates their carrying value as reported on the condensed consolidated balance sheets. The fair value of such financial instruments are determined using the income approach based on the present value of estimated future cash flows. There have been no changes in valuation techniques during the three months ended March 31, 2020. The fair value of these instruments would be categorized as Level 2 in the fair value hierarchy, with the exception of cash and cash equivalents, which would be categorized as Level 1. The fair value of pension plan assets is discussed in Note 4.</w:t>
      </w:r>
    </w:p>
    <w:p>
      <w:pPr>
        <w:spacing w:after="0" w:line="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SJW Group has investments in company owned life insurance which are valued at cash surrender value of the policies as reported by the insurer. These contracts are based principally on a referenced pool of investment funds that actively redeem shares, are observable and measurable, and are presented in “Investments” on SJW Group’s consolidated balance sheets. As of March 31, 2020, the value of the company owned life insurance was $7,207 of which $3,650 was related to assets to fund CTWS’s supplemental retirement plan agreements. As of December 31, 2019, the value of the company owned life insurance was $7,086 of which $3,829 was related to assets to fund CTWS’s supplemental retirement plan agreements. In addition to life insurance contracts, CTWS’s supplemental retirement plan agreements are also funded with a Rabbi Trust.</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additional retirement benefits under the supplemental executive retirement plans and retirement contracts by major categories as of March 31, 2020, and 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Fair Value Measurements at March 31, 2020</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Quoted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Prices in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500" w:type="dxa"/>
            <w:vAlign w:val="bottom"/>
            <w:gridSpan w:val="2"/>
            <w:vMerge w:val="continue"/>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1)</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2)</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2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0"/>
                <w:szCs w:val="20"/>
                <w:color w:val="auto"/>
              </w:rPr>
            </w:pPr>
          </w:p>
        </w:tc>
        <w:tc>
          <w:tcPr>
            <w:tcW w:w="134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1)</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2)</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0"/>
                <w:szCs w:val="20"/>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fair value of SJW Group’s long-term debt was approximately $1,417,613 and $1,396,205 as of March 31, 2020, and December 31, 2019, respectively, and was determined using a discounted cash flow analysis, based on the current rates for similar financial instruments of the same duration and creditworthiness of the company. The book value of the long-term debt was $1,339,307 and $1,305,869 as of March 31, 2020, and December 31, 2019, respectively. The fair value of long-term debt would be categorized as Level 2 in the fair value hierarchy.</w:t>
      </w:r>
    </w:p>
    <w:p>
      <w:pPr>
        <w:spacing w:after="0" w:line="2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20, 2018, the CPUC issued an Order Instituting Investigation (“OII”) No. 18-07-007 concerning SJW Group’s then proposed merger with CTWS. A Scoping Memorandum was issued on September 7, 2018, which identified the issues to be considered in the proceeding as to whether the proposed merger is subject to CPUC approval and to evaluate the merger’s likely impacts within California. On September 14, 2018, SJW Group and SJWC submitted joint comments in response to the issues identified in accordance with the Scoping Memorandum’s adopted schedule, and reply comments were submitted on October 19, 2018. A Public Participation Hearing was held on January 31, 2019. On March 4, 2019, the CPUC suspended this proceeding due to SJW Group’s announcement of its intention to file a new merger approval application with the Connecticut Public Utilities Regulatory Authority (“PURA”). On April 3, 2019, SJW Group and CTWS jointly filed a new merger application with PURA. After securing the required approvals from both PURA and the MPUC, SJW Group announced the close of the merger on October 9, 2019, and notified the CPUC accordingly. As of March 31, 2020, the OII is still pending with the CPUC.</w:t>
      </w:r>
    </w:p>
    <w:p>
      <w:pPr>
        <w:spacing w:after="0" w:line="11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September 14, 2018, the CPUC issued OII No. 18-09-003 to which SJWC was named as Respondent. The OII will determine whether the company unlawfully overcharged customers over a 30-year period by failing to pro-rate service charges when increases occurred during a billing period, and whether the company double-billed service charges during one billing period when allegedly switching from billing such charges in advance to billing in arrears. The OII resulted from a report by the CPUC’s Consumer Protection and Enforcement Division (“CPED”), dated August 16, 2018, recommending an investigation into SJWC’s billing practice. CPED calculated a refund obligation of approximately $2,061 for the years 2014 to 2016 that had been the subject of SJWC’s Advice Letter No. 510. CPED calculated a further refund obligation of approximately $1,990 for the years 1987 to 2013. CPED also asserted that the company double-billed its customers during a billing period when it allegedly converted from billing in advance to billing in arrears, assumed that such double-billing occurred in January 2011, and calculated a refund obligation of approximately $4,935. The OII notes these estimates and identifies the proper refund amount as an issue in the proceeding. The OII also identifies the CPUC’s authority to consider imposing penalties on SJWC in amounts ranging from $0.5 to $50 per offense, per day. On July 24, 2019, SJWC and CPED jointly filed a motion for CPUC approval of a Settlement Agreement (“Agreement”) over SJWC’s past customer billing practices. The Agreement requires the company to pay approximately $2,100 in customer credits, consisting of $1,757 for refunds during the period from 1987 to 2011 and an additional $350 in customer credits to low income water customers, and invest $5,000 in utility plant that is not allowed an investment return or rate recovery. The Agreement was subject to final approval by the CPUC. A CPUC Presiding Officer’s Decision approved the Agreement in December 2019, but an appeal was filed in January 2020 by a group of SJWC customers. A final CPUC decision approving the Agreement and dismissing the appeal was approved on February 27, 2020, and concluded this proceeding. Advice Letter No. 545 was filed on March 13, 2020, requesting authorization to provide refunds to customers. For a typical residential customer with a 3/4-inch meter, the one-time refund will be $5.52 dollars. This advice letter was approved effective April 12, 2020, and SJWC began issuing refunds shortly thereafter.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337"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19, 2019, the CPUC issued its final decision resolving the remaining issues in SJWC’s GRC. Decision 19-06-010 denied the establishment of a WRAM/SRM and authorized the recovery of the Hydro Generation Research, Development and Demonstration Memorandum Account balance of $1,243. SJWC filed Advice Letter No. 534 on August 1, 2019, to recover this amount via a surcharge over a three-year period. The CPUC rejected the advice letter on October 10, 2019, citing an error and recommended a correction and a new filing for recovery. SJWC filed to correct the record and received the CPUC’s decision on April 10, 2020. Advice Letter 548 was filed on April 24, 2020, requesting recovery of $1,224 via a 36-month surcharge. The adjustment in the memorandum account balance reflected project costs incurred after September 30, 2016, which are not allowable per Decision 19-06-010. This request is pending before the CPUC.</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SJWC filed Advice Letter No. 537 with the CPUC requesting authorization to refund the balance in its 2018 Tax Accounting Memorandum Account as required by the GRC decision on October 18, 2019. On December 3, 2019, Advice Letter 537-A was filed to refund the balance via a one-time surcredit. For a typical residential customer with a 3/4-inch meter, the one-time refund will be $20.84 dollars per customer. This advice letter was approved effective January 21, 2020, and refunds to customers began on January 27, 2020.</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SJWC filed Advice Letter No. 541 on November 20, 2019, with the CPUC requesting authorization to increase its revenue requirement by $8,600 or 2.28% in 2020 for the first escalation year authorized in our 2018 General Rate Case Decision 18-011-025 which established rates for 2019, 2020, and 2021. This advice letter was approved on December 26, 2019, and new rates became effective January 1, 2020.</w:t>
      </w:r>
    </w:p>
    <w:p>
      <w:pPr>
        <w:spacing w:after="0" w:line="103"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On December 6, 2019, SJWC filed Application No. 19-12-002 with the CPUC requesting approval for cost recovery to deploy Advanced Metering Infrastructure throughout its service area. The application seeks revenue increases of $2,315 or 0.61% in 2021, $3,960 or 1.04% in 2022, and $2,510 or 0.65% in 2023, and $341 or 0.09% in 2024 based on current rates in effect. A decision from the CPUC is anticipated in the fourth quarter of 2020.</w:t>
      </w:r>
    </w:p>
    <w:p>
      <w:pPr>
        <w:spacing w:after="0" w:line="6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January 22, 2020, SJWC, along with three other California water utilities, filed a joint request for a one-year deferment on the Cost of Capital filings which would otherwise be due on May 1, 2020. Postponing the filing one year would alleviate administrative processing costs on the utilities as well as the CPUC staff, and provide relief for both CPUC and utility resources already strained by numerous other proceedings. The request is conditioned on no changes to the current Water Cost of Capital Mechanism in place during the one-year deferment. On March 11, 2020, the CPUC approved the request.</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19, 2020, SJWC filed Advice Letter 546 to extend customer protections listed in the company’s Disaster Relief Customer Protections and Outreach Plan as required by the CPUC in response to the Coronavirus (“COVID-19”) pandemic. The filing also activated SJWC’s Catastrophic Event Memorandum Account (“CEMA”) to track costs related to the company’s response which include labor and materials, anticipated increase in bad debt from the suspension of shutoffs for non-payment, waived deposits and reconnection fees, and divergence from actual versus authorized usage. The customer protections and CEMA were approved effective March 4, 2020. SJWC anticipates requesting recovery of the COVID-19 pandemic response costs in a future GRC or other filings.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Water Infrastructure Conservation Adjustment (“WICA”) surcharges for Connecticut Water and Avon Water were 3.24% and</w:t>
      </w:r>
    </w:p>
    <w:p>
      <w:pPr>
        <w:spacing w:after="0" w:line="35"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9.31%, respectively. HVWC does not currently have an approved WICA surcharge. On January 28, 2020, Connecticut Water filed a WICA application representing an additional 2.6% surcharge, for a cumulative WICA surcharge of 5.84%. Additionally, on February 7, 2020, Connecticut Water filed its annual WICA reconciliation which called for a 0.09% reduction of the WICA surcharge. On March 25, 2020, Connecticut Public Utilities Regulatory Authority (“PURA”) approved a net cumulative 5.75% surcharge for Connecticut Water which became effective on customers’ bills on April 1, 2020.</w:t>
      </w:r>
    </w:p>
    <w:p>
      <w:pPr>
        <w:spacing w:after="0" w:line="8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March 3, 2020, the Company filed an application, Docket No. 20-03-04, with PURA to merger Avon Water and HVWC with and into Connecticut Water. The application is to streamline borrowings, regulatory filings and internal administrative tasks associated with maintaining separate corporate entities.</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March 12, 2020, PURA issued Docket No. 20-03-15 to establish a State of Emergency Utility Shut-off Moratorium for the COVID-19 pandemic. The moratorium ordered regulated utility companies to refrain from terminating utility service to residential customers, except for safety reasons until May 1, 2020, or until such other time as determined by the PURA. In the same docket, PURA further directed the public service companies to maintain a detailed record of costs incurred and revenues lost as a result of implementing its orders in the docket and may establish a regulatory asset to track incurred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required, CLWSC submitted on January 27, 2020, its Water Pass-Through Charge (“WPC”) true-up report for the Canyon Lake area systems 2019 purchased water costs. The WPC is the annual filing to change the component of CLWSC’s water rates for changes in purchased water costs since the last annual true-up report. Two WPC true-up reports were filed to report 2019 costs. The changes in the purchased water costs for the Deer Creek Ranch water system resulted in a decrease in the usage charge from $2.19 dollars to $2.02 dollars per thousand gallons, and an increase in the monthly base charge of $3.04 dollars per residential account. These Deer Creek Ranch rate changes became effective October 1, 2019. The 2019 WPC true-up report for the water systems located in the Canyon Lake area resulted in a reduction of the WPC usage rate from $1.05 dollars to $0.95 dollars per thousand gallons which became effective on February 1, 2020. The WPC filings for Deer Creek Ranch and the Canyon Lake area were approved by the Public Utilities Commission of Texas (“PUCT”) and a new tariff with the WPC rates has been issued.</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disaster declaration in Texas, the PUCT issued Order No. 50664-106 and Accounting Order No. 50664-108 that are effective during the COVID-19 pandemic. CLWSC has responded to these orders by stopping disconnections for nonpayment of utility bills, and not charging fees for late payment. The orders also instructs utilities to record the incremental costs and lost revenues from the COVID-19 pandemic in a regulatory tracking account for recovery in future rates.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20, 2019, Maine Water filed for a general a rate increase for their Skowhegan Division seeking approximately $221, or 14.7%, in additional revenue with the Maine Public Utilities Commission (“MPUC”). A final decision from the MPUC is expected in the second quarter of 2020. On January 20, 2020, Maine Water filed Water Infrastructure Surcharge (“WISC”) applications with the MPUC in four divisions requesting an increase between 1.76% and 3.00%, representing approximately $371 in additional revenues. The WISC applications were approved on February 26, 2020 and the surcharges became effective March 1, 2020.</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16, 2020, MPUC issued an emergency moratorium on utility disconnection activities in connection to the COVID-19 pandemic. The moratorium directed public utility companies not to engage in any disconnection activities including disconnection notices for all classes of customers until further notice from MPUC. Maine Water is tracking COVID-19 related costs for potential future recovery in rates charged to customers.</w:t>
      </w:r>
    </w:p>
    <w:p>
      <w:pPr>
        <w:spacing w:after="0" w:line="2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4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SJWC has established balancing accounts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Water Conservation Memorandum Account (“WCMA”) and Water Revenue Adjustment (“WRA”), SJWC and CTWS follow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 offset by applicable drought surcharges.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337"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19, 2019, the CPUC denied the recovery of the 2018 WCMA in Advice Letter No. 532 and no longer approved the tracking of WCMA balances. Due to the decision, SJWC believes WCMA tracking no longer meets the probability criteria under ASC Topic 980-605-25. For the three months ended March 31, 2019, SJWC recognized a regulatory liability of $752 due to sales in excess of authorized usage accumulated in the 2019 WCMA account. Since the balance represents an amount due to customers, SJWC recorded a regulatory liability for the amount with a corresponding reduction to revenues. SJWC also recognized a regulatory liability of $309 due to sales in excess of authorized usage accumulated in the 2018 WCMA account for the three months ended March 31, 2019 based on ASC Topic 980-605-25. As of March 31, 2019, a reserve of $80 was recorded which is the estimated amount that would not be collected within the 24-month period, as required by the guidance. The amounts have been reflected in the 2018 WCMA and 2019 WCMA balances shown in the table below.</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Three months ended March 31,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Three months ended March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Refunds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w w:val="94"/>
              </w:rPr>
              <w:t>Beginning</w:t>
            </w:r>
          </w:p>
        </w:tc>
        <w:tc>
          <w:tcPr>
            <w:tcW w:w="14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Increase</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w w:val="94"/>
              </w:rPr>
              <w:t>Beginning</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(Collections)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(Decrease)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Adjustments</w:t>
            </w: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5"/>
                <w:szCs w:val="15"/>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00" w:type="dxa"/>
            <w:vAlign w:val="bottom"/>
          </w:tcPr>
          <w:p>
            <w:pPr>
              <w:jc w:val="right"/>
              <w:ind w:right="9"/>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432"/>
        </w:trPr>
        <w:tc>
          <w:tcPr>
            <w:tcW w:w="23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Revenue accounts: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2014-2017 WCMA</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708</w:t>
            </w: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7,750</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6,912</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2018 WCMA</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9,386</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8,997</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2019 WCMA</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2012 General Rate Case true-up</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752</w:t>
            </w: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11,328</w:t>
            </w:r>
          </w:p>
        </w:tc>
        <w:tc>
          <w:tcPr>
            <w:tcW w:w="1100" w:type="dxa"/>
            <w:vAlign w:val="bottom"/>
            <w:gridSpan w:val="2"/>
            <w:vMerge w:val="restart"/>
          </w:tcPr>
          <w:p>
            <w:pPr>
              <w:jc w:val="right"/>
              <w:ind w:right="33"/>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10,152</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Cost of capital memorandum account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116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Tax memorandum account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(6,643)</w:t>
            </w:r>
          </w:p>
        </w:tc>
        <w:tc>
          <w:tcPr>
            <w:tcW w:w="1160" w:type="dxa"/>
            <w:vAlign w:val="bottom"/>
            <w:gridSpan w:val="2"/>
            <w:vMerge w:val="restart"/>
          </w:tcPr>
          <w:p>
            <w:pPr>
              <w:jc w:val="right"/>
              <w:ind w:right="1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6,978</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(6,504)</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4,796</w:t>
            </w:r>
          </w:p>
        </w:tc>
        <w:tc>
          <w:tcPr>
            <w:tcW w:w="140" w:type="dxa"/>
            <w:vAlign w:val="bottom"/>
            <w:vMerge w:val="restart"/>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5,112</w:t>
            </w:r>
          </w:p>
        </w:tc>
        <w:tc>
          <w:tcPr>
            <w:tcW w:w="100" w:type="dxa"/>
            <w:vAlign w:val="bottom"/>
            <w:vMerge w:val="restart"/>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1,707</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6,249</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Arial" w:cs="Arial" w:eastAsia="Arial" w:hAnsi="Arial"/>
                <w:sz w:val="14"/>
                <w:szCs w:val="14"/>
                <w:color w:val="auto"/>
              </w:rPr>
              <w:t>Total revenue accounts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(1,940)</w:t>
            </w:r>
          </w:p>
        </w:tc>
        <w:tc>
          <w:tcPr>
            <w:tcW w:w="11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14"/>
                <w:szCs w:val="1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6,841</w:t>
            </w:r>
          </w:p>
        </w:tc>
        <w:tc>
          <w:tcPr>
            <w:tcW w:w="120" w:type="dxa"/>
            <w:vAlign w:val="bottom"/>
          </w:tcPr>
          <w:p>
            <w:pPr>
              <w:spacing w:after="0"/>
              <w:rPr>
                <w:sz w:val="14"/>
                <w:szCs w:val="14"/>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25,549</w:t>
            </w:r>
          </w:p>
        </w:tc>
        <w:tc>
          <w:tcPr>
            <w:tcW w:w="1100" w:type="dxa"/>
            <w:vAlign w:val="bottom"/>
            <w:gridSpan w:val="2"/>
            <w:vMerge w:val="restart"/>
          </w:tcPr>
          <w:p>
            <w:pPr>
              <w:jc w:val="right"/>
              <w:ind w:right="33"/>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(2,679)</w:t>
            </w:r>
          </w:p>
        </w:tc>
        <w:tc>
          <w:tcPr>
            <w:tcW w:w="10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23,481</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Cost-recovery accounts:</w:t>
            </w: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Water supply costs</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4,328</w:t>
            </w:r>
          </w:p>
        </w:tc>
        <w:tc>
          <w:tcPr>
            <w:tcW w:w="11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5,061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9,617</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8,217</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2,449</w:t>
            </w:r>
          </w:p>
        </w:tc>
        <w:tc>
          <w:tcPr>
            <w:tcW w:w="116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110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4"/>
                <w:szCs w:val="14"/>
                <w:color w:val="auto"/>
              </w:rPr>
              <w:t>All others</w:t>
            </w: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446</w:t>
            </w:r>
          </w:p>
        </w:tc>
        <w:tc>
          <w:tcPr>
            <w:tcW w:w="140" w:type="dxa"/>
            <w:vAlign w:val="bottom"/>
            <w:vMerge w:val="restart"/>
          </w:tcPr>
          <w:p>
            <w:pPr>
              <w:spacing w:after="0"/>
              <w:rPr>
                <w:sz w:val="16"/>
                <w:szCs w:val="1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1,090</w:t>
            </w:r>
          </w:p>
        </w:tc>
        <w:tc>
          <w:tcPr>
            <w:tcW w:w="100" w:type="dxa"/>
            <w:vAlign w:val="bottom"/>
            <w:vMerge w:val="restart"/>
          </w:tcPr>
          <w:p>
            <w:pPr>
              <w:spacing w:after="0"/>
              <w:rPr>
                <w:sz w:val="16"/>
                <w:szCs w:val="16"/>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74"/>
        </w:trPr>
        <w:tc>
          <w:tcPr>
            <w:tcW w:w="2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cost-recovery accounts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7,223</w:t>
            </w:r>
          </w:p>
        </w:tc>
        <w:tc>
          <w:tcPr>
            <w:tcW w:w="116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8,390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8,864</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7,995</w:t>
            </w:r>
          </w:p>
        </w:tc>
        <w:tc>
          <w:tcPr>
            <w:tcW w:w="0" w:type="dxa"/>
            <w:vAlign w:val="bottom"/>
          </w:tcPr>
          <w:p>
            <w:pPr>
              <w:spacing w:after="0"/>
              <w:rPr>
                <w:sz w:val="1"/>
                <w:szCs w:val="1"/>
                <w:color w:val="auto"/>
              </w:rPr>
            </w:pPr>
          </w:p>
        </w:tc>
      </w:tr>
      <w:tr>
        <w:trPr>
          <w:trHeight w:val="74"/>
        </w:trPr>
        <w:tc>
          <w:tcPr>
            <w:tcW w:w="23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5,283</w:t>
            </w:r>
          </w:p>
        </w:tc>
        <w:tc>
          <w:tcPr>
            <w:tcW w:w="116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6,825</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15,048</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34,413</w:t>
            </w:r>
          </w:p>
        </w:tc>
        <w:tc>
          <w:tcPr>
            <w:tcW w:w="110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31,476</w:t>
            </w:r>
          </w:p>
        </w:tc>
        <w:tc>
          <w:tcPr>
            <w:tcW w:w="0" w:type="dxa"/>
            <w:vAlign w:val="bottom"/>
          </w:tcPr>
          <w:p>
            <w:pPr>
              <w:spacing w:after="0"/>
              <w:rPr>
                <w:sz w:val="1"/>
                <w:szCs w:val="1"/>
                <w:color w:val="auto"/>
              </w:rPr>
            </w:pPr>
          </w:p>
        </w:tc>
      </w:tr>
      <w:tr>
        <w:trPr>
          <w:trHeight w:val="60"/>
        </w:trPr>
        <w:tc>
          <w:tcPr>
            <w:tcW w:w="23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2020, the total balance in SJWC’s balancing and memorandum accounts combined, including interest, that has not been recorded into the financial statements was a net under-collection of $1,780. 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Regulatory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and liabilities are comprised of the following as of March 31, 2020, and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440" w:type="dxa"/>
            <w:vAlign w:val="bottom"/>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Income tax temporary differences,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Postretirement pensions and other medical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75,434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73,525</w:t>
            </w: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Business combinations debt premium, net</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24,385</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Balancing and memorandum accounts,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43"/>
        </w:trPr>
        <w:tc>
          <w:tcPr>
            <w:tcW w:w="8220" w:type="dxa"/>
            <w:vAlign w:val="bottom"/>
            <w:gridSpan w:val="3"/>
          </w:tcPr>
          <w:p>
            <w:pPr>
              <w:ind w:left="380"/>
              <w:spacing w:after="0"/>
              <w:rPr>
                <w:sz w:val="20"/>
                <w:szCs w:val="20"/>
                <w:color w:val="auto"/>
              </w:rPr>
            </w:pPr>
            <w:r>
              <w:rPr>
                <w:rFonts w:ascii="Arial" w:cs="Arial" w:eastAsia="Arial" w:hAnsi="Arial"/>
                <w:sz w:val="18"/>
                <w:szCs w:val="18"/>
                <w:color w:val="auto"/>
              </w:rPr>
              <w:t>Water Revenue Adjustment (“WRA”)</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6,934</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37"/>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in Consolidated Balance Sheets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132,278</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120,417</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regulatory asset,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37"/>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Total regulatory assets, net, less current portion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126,149</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113,945</w:t>
            </w:r>
          </w:p>
        </w:tc>
        <w:tc>
          <w:tcPr>
            <w:tcW w:w="0" w:type="dxa"/>
            <w:vAlign w:val="bottom"/>
          </w:tcPr>
          <w:p>
            <w:pPr>
              <w:spacing w:after="0"/>
              <w:rPr>
                <w:sz w:val="1"/>
                <w:szCs w:val="1"/>
                <w:color w:val="auto"/>
              </w:rPr>
            </w:pPr>
          </w:p>
        </w:tc>
      </w:tr>
      <w:tr>
        <w:trPr>
          <w:trHeight w:val="2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Note 11.</w:t>
            </w:r>
          </w:p>
        </w:tc>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Combination</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vMerge w:val="continue"/>
          </w:tcPr>
          <w:p>
            <w:pPr>
              <w:spacing w:after="0" w:line="20" w:lineRule="exact"/>
              <w:rPr>
                <w:sz w:val="1"/>
                <w:szCs w:val="1"/>
                <w:color w:val="auto"/>
              </w:rPr>
            </w:pPr>
          </w:p>
        </w:tc>
        <w:tc>
          <w:tcPr>
            <w:tcW w:w="626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960" w:type="dxa"/>
            <w:vAlign w:val="bottom"/>
            <w:vMerge w:val="continue"/>
          </w:tcPr>
          <w:p>
            <w:pPr>
              <w:spacing w:after="0"/>
              <w:rPr>
                <w:sz w:val="24"/>
                <w:szCs w:val="24"/>
                <w:color w:val="auto"/>
              </w:rPr>
            </w:pPr>
          </w:p>
        </w:tc>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On October 9, 2019, SJW Group completed its previously announced acquisition of CTWS pursuant to the terms of the Second Amended and Restated Agreement and Plan of Merger, dated as of August 5, 2018, by and among SJW Group, Hydro Sub, Inc., a Connecticut corporation and a wholly-owned subsidiary of SJW Group, and CTWS. CTWS provides water service to approximately 138,000 connections that serve a population of approximately 480,000 people in 80 municipalities throughout Connecticut and Maine and more than 3,000 wastewater connections in Southbury, Connecticut. In addition, CTWS has a real estate company in Connecticut which provides property management services.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SJW Group acquired all of the outstanding stock of CTWS for $70.00 per share in cash (without interest and less any applicable withholding taxes). The total cash purchase price was approximately $838,476, less cash received of $3,011, and approximately $6,384 related to outstanding awards of restricted stock units and deferred share units assumed in connection with the merger. SJW Group financed the acquisition with net proceeds from its December 2018 sale of 7,762,000 shares of common stock of approximately $411,077, and the October 2019 issuance of $427,398 in new fixed rate term loans. SJW Group raised an additional $18,463 in the debt financing to partially finance transaction costs incurred in connection with the CTWS acquisition. Along with the acquisition debt financing, SJW Group raised $60,000 of new proceeds used to partially refinance certain CTWS short-term borrowings on its existing lines of credit after the CTWS acquisition closed.</w:t>
      </w:r>
    </w:p>
    <w:p>
      <w:pPr>
        <w:spacing w:after="0" w:line="6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Management estimated the preliminary fair values of net tangible and intangible assets acquired and the excess of the consideration transferred over the aggregate of such fair values was recorded as goodwill. The preliminary value of the acquired deferred tax assets and deferred tax liabilities are based on a preliminary analysis, and our estimates and assumptions are subject to change within the measurement period (up to one year from the acquisition date). In addition, management is still gathering information necessary to complete the recognition and measurement of the opening balance sheet.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preliminary fair value of assets acquired and liabilities assumed as of March 31,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Utility plant,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750,703</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plant</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42,673</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Regulatory assets and deferred charges, less current portion</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83,132</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17,181</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2,592</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626,523</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1,536,141</w:t>
            </w:r>
          </w:p>
        </w:tc>
      </w:tr>
      <w:tr>
        <w:trPr>
          <w:trHeight w:val="27"/>
        </w:trPr>
        <w:tc>
          <w:tcPr>
            <w:tcW w:w="9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281,009</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including maturities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125,772</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107,789</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plans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31,789</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Contributions in aid of construction and construction advances</w:t>
            </w:r>
          </w:p>
        </w:tc>
        <w:tc>
          <w:tcPr>
            <w:tcW w:w="44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137,327</w:t>
            </w:r>
          </w:p>
        </w:tc>
      </w:tr>
      <w:tr>
        <w:trPr>
          <w:trHeight w:val="27"/>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10,607</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694,293</w:t>
            </w:r>
          </w:p>
        </w:tc>
      </w:tr>
      <w:tr>
        <w:trPr>
          <w:trHeight w:val="27"/>
        </w:trPr>
        <w:tc>
          <w:tcPr>
            <w:tcW w:w="9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equity</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841,848</w:t>
            </w:r>
          </w:p>
        </w:tc>
      </w:tr>
      <w:tr>
        <w:trPr>
          <w:trHeight w:val="20"/>
        </w:trPr>
        <w:tc>
          <w:tcPr>
            <w:tcW w:w="9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primarily consists of 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is primarily attributable to assembled workforce and diversification of markets both from a geographic and regulatory perspective.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goodwill recognized in connection with the transaction will be deductible for income tax purposes.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tested for impairment annually,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w:t>
      </w:r>
    </w:p>
    <w:p>
      <w:pPr>
        <w:spacing w:after="0" w:line="29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Subsequent Events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24, 2020, SJW Group and SJW Land Company entered into a Termination and Payoff agreement with JPMorgan Chase Bank, N.A. as the lender (the “Lender”) to terminate the SJW Group and SJW Land $15,000 credit agreement, effective as of April 29, 2020.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11, 2020, the SJWC entered into a Second Amendment (the “Second Amendment”) to the SJWC’s existing $125,000 credit agreement, dated as of June 1, 2016, with the Lender, as amended by the First Amendment, dated January 12, 2018 (collectively, the “Existing SJWC Credit Agreement”), with the Lender. The Second Amendment amends the Existing SJWC Credit Agreement to, among other things, increase the total commitment by $15,000, from $125,000 to $140,000.</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May 11, 2020, SJWC entered into a $50,000 credit agreement (the “New SJWC Credit Agreement”) with the Lender. Proceeds of borrowings under the New SJWC Credit Agreement may be used to refinance existing debt, for working capital, and for general corporate purposes. The New SJWC Credit Agreement has a maturity date of November 11,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7"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under the New SJWC Credit Agreement bear interest at either the Alternate Base Rate (“ABR”) or the LIBOR (as defined in the New SJWC Credit Agreement) rate. ABR borrowings (which are borrowings bearing interest at a rate determined by reference to the ABR) will bear interest at a rate per annum equal to (i) the greatest of (a) the prime rate in effect on such day, (b) the federal funds effective rate on such day plus 0.5%, and (c) the adjusted LIBOR rate for a one-month interest period on such day plus 1% plus (ii) the Applicable Rate (as defined in the New SJWC Credit Agreement), which is determined based on a pricing grid that is dependent upon the credit rating of the company as determined by either S&amp;P or Moody’s. Eurodollar borrowings under the New SJWC Credit Agreement will bear interest at a rate per annum equal to (i) the adjusted LIBOR rate for the interest period in effect plus (ii) the Applicable Rate.</w:t>
      </w:r>
    </w:p>
    <w:p>
      <w:pPr>
        <w:spacing w:after="0" w:line="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New SJWC Credit Agreement contains customary representations, warranties and events of default, as well as certain restrictive covenants customary for facilities of this type, including restrictions on indebtedness, liens, acquisitions and investments, restricted payments, asset sales, and fundamental changes. The New SJWC Credit Agreement also includes certain financial covenants that require the company to maintain a maximum funded debt to capitalization ratio and a minimum interest coverage ratio and to limit the company’s maximum consolidated cash balance.</w:t>
      </w:r>
    </w:p>
    <w:p>
      <w:pPr>
        <w:spacing w:after="0" w:line="2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337" w:right="379" w:bottom="1440" w:gutter="0" w:footer="0" w:header="0"/>
        </w:sectPr>
      </w:pPr>
    </w:p>
    <w:bookmarkStart w:id="20" w:name="page21"/>
    <w:bookmarkEnd w:id="20"/>
    <w:p>
      <w:pPr>
        <w:ind w:left="1300" w:right="6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this Item 2 should be read in conjunction with the financial information and the notes thereto included in Item 1 of this Form 10-Q and the consolidated financial statements and notes thereto and the related “Management’s Discussion and Analysis of Financial Condition and Results of Operations” contained in SJW Group’s Annual Report on Form 10-K for the year ended December 31, 2019.</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Item 1A under “Risk Factors.”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as of October 9, 2019, SJWTX, Inc. and SJW Land Company.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232,000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supply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SJWC also has approximately 411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SJWTX, Inc., doing business as Canyon Lake Water Service Company (“CLWSC”), is a public utility in the business of providing water service to approximately 18,000 connections that serve approximately 54,000 people. CLWSC’s service area comprises more than 246 square miles in the southern region of the Texas Hill Country in Blanco, Comal, Hays and Travis counties, the growing region between San Antonio and Austin, Texas. SJWTX, Inc. has a 25% interest in Acequia Water Supply Corporation (“Acequia”). The water supply corporation has been determined to be a variable interest entity within the scope of ASC Topic 810 with SJWTX, Inc. as the primary beneficiary. As a result, Acequia has been consolidated with SJWTX, Inc.</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also owns a 70% limited partnership interest in 444 West Santa Clara Street, L.P. which operated a California commercial property that was sold in the second quarter of 2017. The limited partnership has been determined to be a variable interest entity within the scope of Financial Accounting Standards Board (“FASB”) Accounting Standards Codification (“ASC”) Topic 810 - “Consolidation” with SJW Land Company as the primary beneficiary, and as a result, has been consolidated with SJW Land Company.</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Connecticut Water Service, Inc. (“CTWS”), headquartered in Connecticut, is a holding company for water utilities companies providing water service to approximately 138,000 connections that serve a population of approximately 480,000 people in 80 municipalities throughout Connecticut and Maine and more than 3,000 wastewater connections in Southbury, Connecticut. As part of the merger transaction between SJW Group and CTWS on October 9, 2019, CTWS became a wholly-owned subsidiary of SJWNE LLC which is a wholly-owned subsidiary of SJW Group. The subsidiaries held by CTWS that provide utility water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553" w:right="359" w:bottom="1440" w:gutter="0" w:footer="0" w:header="0"/>
        </w:sectPr>
      </w:pPr>
    </w:p>
    <w:bookmarkStart w:id="21" w:name="page22"/>
    <w:bookmarkEnd w:id="21"/>
    <w:p>
      <w:pPr>
        <w:ind w:right="480"/>
        <w:spacing w:after="0" w:line="259" w:lineRule="auto"/>
        <w:rPr>
          <w:sz w:val="20"/>
          <w:szCs w:val="20"/>
          <w:color w:val="auto"/>
        </w:rPr>
      </w:pPr>
      <w:r>
        <w:rPr>
          <w:rFonts w:ascii="Arial" w:cs="Arial" w:eastAsia="Arial" w:hAnsi="Arial"/>
          <w:sz w:val="18"/>
          <w:szCs w:val="18"/>
          <w:color w:val="auto"/>
        </w:rPr>
        <w:t>services are The Connecticut Water Company (“Connecticut Water”), The Heritage Village Water Company (“HVWC”), The Avon Water Company (“Avon Water”) and The Maine Water Company (“Maine Water”). The remaining two subsidiaries are Chester Realty, Inc., a real estate company in Connecticut, and New England Water Utility Services, Inc. (“NEWUS”), which provides contract water and sewer operations and other water related services.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CTWS also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an optional service line protection program offered by CTWS to eligible residential customers through NEWUS in Connecticut and Maine Water in Maine covering the cost of repairs for leaking or broken water service lines which provide drinking water to a customer’s home. For customers who enroll in this program, CTWS will repair or replace a leaking or broken water service line and related equipment. Additionally, NEWUS offers expanded coverage to Connecticut Water customers for failure of in-home plumbing, sewer and septic drainage lines and implemented modified terms and conditions with limitations on certain coverages.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properties of CTWS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SJW Land Company owned the following real properties during the three months ended March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 for Three months ended</w:t>
            </w: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tcPr>
          <w:p>
            <w:pPr>
              <w:ind w:left="1080"/>
              <w:spacing w:after="0" w:line="149" w:lineRule="exact"/>
              <w:rPr>
                <w:sz w:val="20"/>
                <w:szCs w:val="20"/>
                <w:color w:val="auto"/>
              </w:rPr>
            </w:pPr>
            <w:r>
              <w:rPr>
                <w:rFonts w:ascii="Arial" w:cs="Arial" w:eastAsia="Arial" w:hAnsi="Arial"/>
                <w:sz w:val="14"/>
                <w:szCs w:val="14"/>
                <w:b w:val="1"/>
                <w:bCs w:val="1"/>
                <w:color w:val="auto"/>
                <w:w w:val="94"/>
              </w:rPr>
              <w:t>March 31, 2020</w:t>
            </w:r>
          </w:p>
        </w:tc>
        <w:tc>
          <w:tcPr>
            <w:tcW w:w="1020" w:type="dxa"/>
            <w:vAlign w:val="bottom"/>
          </w:tcPr>
          <w:p>
            <w:pPr>
              <w:spacing w:after="0"/>
              <w:rPr>
                <w:sz w:val="12"/>
                <w:szCs w:val="12"/>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of SJW Land Company</w:t>
            </w:r>
          </w:p>
        </w:tc>
      </w:tr>
      <w:tr>
        <w:trPr>
          <w:trHeight w:val="263"/>
        </w:trPr>
        <w:tc>
          <w:tcPr>
            <w:tcW w:w="32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Acreage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6"/>
              </w:rPr>
              <w:t>Expense</w:t>
            </w: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building</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48%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Commercial building</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52%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Undeveloped land and parking lot</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4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Undeveloped land</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40" w:type="dxa"/>
            <w:vAlign w:val="bottom"/>
            <w:gridSpan w:val="3"/>
          </w:tcPr>
          <w:p>
            <w:pPr>
              <w:ind w:left="9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N/A</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Chester Realty, Inc. owns less than 100 acres of property in the State of Connecticut.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in Connecticut (“PURA”),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ind w:left="60" w:right="40"/>
        <w:spacing w:after="0" w:line="287" w:lineRule="auto"/>
        <w:rPr>
          <w:sz w:val="20"/>
          <w:szCs w:val="20"/>
          <w:color w:val="auto"/>
        </w:rPr>
      </w:pPr>
      <w:r>
        <w:rPr>
          <w:rFonts w:ascii="Arial" w:cs="Arial" w:eastAsia="Arial" w:hAnsi="Arial"/>
          <w:sz w:val="16"/>
          <w:szCs w:val="16"/>
          <w:color w:val="auto"/>
        </w:rPr>
        <w:t>As part of our pursuit of the above three strategic areas, we consider from time to time opportunities to acquire businesses and assets, including the recent CTWS merger which closed on October 9, 2019.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SJW Group’s real estate investment activity is conducted through SJW Land Company. As noted above, SJW Land Company owns undeveloped land and operates commercial buildings in Tennessee. SJW Land Company also owns a limited partnership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65" w:right="339" w:bottom="1440" w:gutter="0" w:footer="0" w:header="0"/>
        </w:sectPr>
      </w:pPr>
    </w:p>
    <w:bookmarkStart w:id="22" w:name="page23"/>
    <w:bookmarkEnd w:id="22"/>
    <w:p>
      <w:pPr>
        <w:ind w:right="80"/>
        <w:spacing w:after="0" w:line="275" w:lineRule="auto"/>
        <w:rPr>
          <w:sz w:val="20"/>
          <w:szCs w:val="20"/>
          <w:color w:val="auto"/>
        </w:rPr>
      </w:pPr>
      <w:r>
        <w:rPr>
          <w:rFonts w:ascii="Arial" w:cs="Arial" w:eastAsia="Arial" w:hAnsi="Arial"/>
          <w:sz w:val="17"/>
          <w:szCs w:val="17"/>
          <w:color w:val="auto"/>
        </w:rPr>
        <w:t>interest in 444 West Santa Clara Street, L.P. The partnership had a commercial building in San Jose, California that was sold in the second quarter of 2017. SJW Land Company manages its income producing and other properties until such time a determination is made to reinvest proceeds from the sale of such properties. Chester Realty, Inc. owns and operates land and commercial buildings in the State of Connecticut. Chester Realty, Inc. manages its income producing and other properties until such time a determination is made to reinvest proceeds from sale of such properties. SJW Land Company and Chester Realty, Inc.’s real estate investments diversify SJW Group’s asset base.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2019 consolidated financial statements and accompanying notes that were prepared in accordance with accounting principles generally accepted in the United States of America and included as part of our annual report on Form 10-K for the year ended December 31, 2019, that was filed with the SEC on March 2, 2020.</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2019. There have been no changes in our critical accounting policies. Our significant accounting policies are described in our notes to the 2019 consolidated financial statements included in our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August 2018, the FASB issued Accounting Standards Update (“ASU”) 2018-14, “Compensation - Retirement Benefits - Defined Benefit Plans - General (Subtopic 715-20: “Disclosure Framework - Changes to the Disclosure Requirements for Defined Benefit Plans,” which aims to improve the overall usefulness of disclosure to financial statement users and reduce unnecessary costs to companies when preparing defined benefit plan disclosures. This update is effective for SJW Group’s Form 10-K for the year ending December 31, 2020. Retrospective adoption is required and early adoption is permitted. Management is currently evaluating the effect that the new standard will have on its defined benefit plan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SJW Group’s consolidated net income for the three months ended March 31, 2020, was $2,417, a decrease of $3,456, or approximately 59%, from $5,873 for the same period in 2019. The decrease in net income for the three months ended March 31, 2020, was primarily due to an increase in production expenses at SJWC due to a decrease in the use of available surface water and an increase in customer usage, and an increase in interest on long-term debt used to acquire SJWNE LLC and issuance of SJWC’s Series M note. These increases were partially offset by the addition of net income from the company’s new SJWNE LLC utility operations, and customer usage and rate increases at SJWC.an increase in operating revenue.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Operating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114,384</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76,316</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40"/>
              <w:spacing w:after="0"/>
              <w:rPr>
                <w:sz w:val="20"/>
                <w:szCs w:val="20"/>
                <w:color w:val="auto"/>
              </w:rPr>
            </w:pPr>
            <w:r>
              <w:rPr>
                <w:rFonts w:ascii="Arial" w:cs="Arial" w:eastAsia="Arial" w:hAnsi="Arial"/>
                <w:sz w:val="14"/>
                <w:szCs w:val="14"/>
                <w:color w:val="auto"/>
              </w:rPr>
              <w:t>Real Estate Services</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115,754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77,682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89"/>
              </w:rPr>
              <w:t>2020 vs. 2019</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0"/>
              </w:rPr>
              <w:t>Increase/(decrease)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Water Utility Services: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380"/>
              <w:spacing w:after="0"/>
              <w:rPr>
                <w:sz w:val="20"/>
                <w:szCs w:val="20"/>
                <w:color w:val="auto"/>
              </w:rPr>
            </w:pPr>
            <w:r>
              <w:rPr>
                <w:rFonts w:ascii="Arial" w:cs="Arial" w:eastAsia="Arial" w:hAnsi="Arial"/>
                <w:sz w:val="14"/>
                <w:szCs w:val="14"/>
                <w:color w:val="auto"/>
              </w:rPr>
              <w:t>Consumption changes</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6,029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73"/>
        </w:trPr>
        <w:tc>
          <w:tcPr>
            <w:tcW w:w="83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in customers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80"/>
        </w:trPr>
        <w:tc>
          <w:tcPr>
            <w:tcW w:w="83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380"/>
              <w:spacing w:after="0"/>
              <w:rPr>
                <w:sz w:val="20"/>
                <w:szCs w:val="20"/>
                <w:color w:val="auto"/>
              </w:rPr>
            </w:pPr>
            <w:r>
              <w:rPr>
                <w:rFonts w:ascii="Arial" w:cs="Arial" w:eastAsia="Arial" w:hAnsi="Arial"/>
                <w:sz w:val="14"/>
                <w:szCs w:val="14"/>
                <w:color w:val="auto"/>
              </w:rPr>
              <w:t>Rate increases</w:t>
            </w:r>
          </w:p>
        </w:tc>
        <w:tc>
          <w:tcPr>
            <w:tcW w:w="4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3,508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73"/>
        </w:trPr>
        <w:tc>
          <w:tcPr>
            <w:tcW w:w="8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Balancing and memorandum accounts:</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500"/>
              <w:spacing w:after="0"/>
              <w:rPr>
                <w:sz w:val="20"/>
                <w:szCs w:val="20"/>
                <w:color w:val="auto"/>
              </w:rPr>
            </w:pPr>
            <w:r>
              <w:rPr>
                <w:rFonts w:ascii="Arial" w:cs="Arial" w:eastAsia="Arial" w:hAnsi="Arial"/>
                <w:sz w:val="14"/>
                <w:szCs w:val="14"/>
                <w:color w:val="auto"/>
              </w:rPr>
              <w:t>Water Conservation Memorandum Account (“WCMA”)</w:t>
            </w:r>
          </w:p>
        </w:tc>
        <w:tc>
          <w:tcPr>
            <w:tcW w:w="4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73"/>
        </w:trPr>
        <w:tc>
          <w:tcPr>
            <w:tcW w:w="8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All others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83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40"/>
              <w:spacing w:after="0"/>
              <w:rPr>
                <w:sz w:val="20"/>
                <w:szCs w:val="20"/>
                <w:color w:val="auto"/>
              </w:rPr>
            </w:pPr>
            <w:r>
              <w:rPr>
                <w:rFonts w:ascii="Arial" w:cs="Arial" w:eastAsia="Arial" w:hAnsi="Arial"/>
                <w:sz w:val="14"/>
                <w:szCs w:val="14"/>
                <w:color w:val="auto"/>
              </w:rPr>
              <w:t>SJWNE LLC</w:t>
            </w:r>
          </w:p>
        </w:tc>
        <w:tc>
          <w:tcPr>
            <w:tcW w:w="4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27,404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73"/>
        </w:trPr>
        <w:tc>
          <w:tcPr>
            <w:tcW w:w="8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Services</w:t>
            </w:r>
          </w:p>
        </w:tc>
        <w:tc>
          <w:tcPr>
            <w:tcW w:w="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3"/>
        </w:trPr>
        <w:tc>
          <w:tcPr>
            <w:tcW w:w="836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38,072</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665" w:right="339" w:bottom="1440" w:gutter="0" w:footer="0" w:header="0"/>
        </w:sectPr>
      </w:pPr>
    </w:p>
    <w:p>
      <w:pPr>
        <w:ind w:left="440"/>
        <w:spacing w:after="0"/>
        <w:rPr>
          <w:sz w:val="20"/>
          <w:szCs w:val="20"/>
          <w:color w:val="auto"/>
        </w:rPr>
      </w:pPr>
      <w:r>
        <w:rPr>
          <w:rFonts w:ascii="Arial" w:cs="Arial" w:eastAsia="Arial" w:hAnsi="Arial"/>
          <w:sz w:val="18"/>
          <w:szCs w:val="18"/>
          <w:i w:val="1"/>
          <w:iCs w:val="1"/>
          <w:u w:val="single" w:color="auto"/>
          <w:color w:val="auto"/>
        </w:rPr>
        <w:t>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Water Utility Services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 Estate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All Other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consolidated operating expenses was due to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Water production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surface water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usage and new customers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Purchased water and groundwater extraction charge and energy price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Balancing and memorandum accounts cost recovery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SJWNE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water production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Administrative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and memorandum account cost recovery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taxes and other non-income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Merger related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Operating Expense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23495</wp:posOffset>
            </wp:positionV>
            <wp:extent cx="17741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23495</wp:posOffset>
            </wp:positionV>
            <wp:extent cx="1774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9"/>
              </w:rPr>
              <w:t>2019</w:t>
            </w:r>
          </w:p>
        </w:tc>
      </w:tr>
      <w:tr>
        <w:trPr>
          <w:trHeight w:val="244"/>
        </w:trPr>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61,426</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891</w:t>
            </w:r>
          </w:p>
        </w:tc>
      </w:tr>
      <w:tr>
        <w:trPr>
          <w:trHeight w:val="276"/>
        </w:trPr>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2,957</w:t>
            </w:r>
          </w:p>
        </w:tc>
      </w:tr>
      <w:tr>
        <w:trPr>
          <w:trHeight w:val="236"/>
        </w:trPr>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100,327</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65,274</w:t>
            </w:r>
          </w:p>
        </w:tc>
      </w:tr>
      <w:tr>
        <w:trPr>
          <w:trHeight w:val="20"/>
        </w:trPr>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706"/>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gridSpan w:val="5"/>
          </w:tcPr>
          <w:p>
            <w:pPr>
              <w:jc w:val="center"/>
              <w:ind w:right="308"/>
              <w:spacing w:after="0"/>
              <w:rPr>
                <w:sz w:val="20"/>
                <w:szCs w:val="20"/>
                <w:color w:val="auto"/>
              </w:rPr>
            </w:pPr>
            <w:r>
              <w:rPr>
                <w:rFonts w:ascii="Arial" w:cs="Arial" w:eastAsia="Arial" w:hAnsi="Arial"/>
                <w:sz w:val="14"/>
                <w:szCs w:val="14"/>
                <w:b w:val="1"/>
                <w:bCs w:val="1"/>
                <w:color w:val="auto"/>
                <w:w w:val="91"/>
              </w:rPr>
              <w:t>Three months ended</w:t>
            </w:r>
          </w:p>
        </w:tc>
      </w:tr>
      <w:tr>
        <w:trPr>
          <w:trHeight w:val="148"/>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4"/>
          </w:tcPr>
          <w:p>
            <w:pPr>
              <w:jc w:val="center"/>
              <w:ind w:left="388"/>
              <w:spacing w:after="0" w:line="149" w:lineRule="exact"/>
              <w:rPr>
                <w:sz w:val="20"/>
                <w:szCs w:val="20"/>
                <w:color w:val="auto"/>
              </w:rPr>
            </w:pPr>
            <w:r>
              <w:rPr>
                <w:rFonts w:ascii="Arial" w:cs="Arial" w:eastAsia="Arial" w:hAnsi="Arial"/>
                <w:sz w:val="14"/>
                <w:szCs w:val="14"/>
                <w:b w:val="1"/>
                <w:bCs w:val="1"/>
                <w:color w:val="auto"/>
                <w:w w:val="99"/>
              </w:rPr>
              <w:t>March 31,</w:t>
            </w:r>
          </w:p>
        </w:tc>
        <w:tc>
          <w:tcPr>
            <w:tcW w:w="820" w:type="dxa"/>
            <w:vAlign w:val="bottom"/>
          </w:tcPr>
          <w:p>
            <w:pPr>
              <w:spacing w:after="0"/>
              <w:rPr>
                <w:sz w:val="12"/>
                <w:szCs w:val="12"/>
                <w:color w:val="auto"/>
              </w:rPr>
            </w:pPr>
          </w:p>
        </w:tc>
      </w:tr>
      <w:tr>
        <w:trPr>
          <w:trHeight w:val="192"/>
        </w:trPr>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89"/>
              </w:rPr>
              <w:t>2020 vs. 2019</w:t>
            </w:r>
          </w:p>
        </w:tc>
        <w:tc>
          <w:tcPr>
            <w:tcW w:w="820" w:type="dxa"/>
            <w:vAlign w:val="bottom"/>
            <w:tcBorders>
              <w:bottom w:val="single" w:sz="8" w:color="auto"/>
            </w:tcBorders>
          </w:tcPr>
          <w:p>
            <w:pPr>
              <w:spacing w:after="0"/>
              <w:rPr>
                <w:sz w:val="16"/>
                <w:szCs w:val="16"/>
                <w:color w:val="auto"/>
              </w:rPr>
            </w:pPr>
          </w:p>
        </w:tc>
      </w:tr>
      <w:tr>
        <w:trPr>
          <w:trHeight w:val="190"/>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0"/>
              </w:rPr>
              <w:t>Increase/(decrease)</w:t>
            </w:r>
          </w:p>
        </w:tc>
        <w:tc>
          <w:tcPr>
            <w:tcW w:w="820" w:type="dxa"/>
            <w:vAlign w:val="bottom"/>
          </w:tcPr>
          <w:p>
            <w:pPr>
              <w:spacing w:after="0"/>
              <w:rPr>
                <w:sz w:val="16"/>
                <w:szCs w:val="16"/>
                <w:color w:val="auto"/>
              </w:rPr>
            </w:pPr>
          </w:p>
        </w:tc>
      </w:tr>
      <w:tr>
        <w:trPr>
          <w:trHeight w:val="540"/>
        </w:trPr>
        <w:tc>
          <w:tcPr>
            <w:tcW w:w="4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r>
      <w:tr>
        <w:trPr>
          <w:trHeight w:val="250"/>
        </w:trPr>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16,996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r>
      <w:tr>
        <w:trPr>
          <w:trHeight w:val="244"/>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70"/>
        </w:trPr>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76"/>
        </w:trPr>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37"/>
        </w:trPr>
        <w:tc>
          <w:tcPr>
            <w:tcW w:w="40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35,053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640" w:space="720"/>
            <w:col w:w="2880"/>
          </w:cols>
          <w:pgMar w:left="320" w:top="665" w:right="339" w:bottom="1440" w:gutter="0" w:footer="0" w:header="0"/>
          <w:type w:val="continuous"/>
        </w:sectPr>
      </w:pPr>
    </w:p>
    <w:p>
      <w:pPr>
        <w:ind w:left="44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the Santa Clara Valley Water District (“Valley Water”) under the terms of a master contract with Valley Water expiring in 2051. Surface water is the least expensive source of water. Changes and variations in quantities from each of these sources affect the overall mix of the water supply, thereby affecting the cost of the water supply. In addition, the water rate for purchased water and the groundwater extraction charge may be increased by Valley Water at any time. If an increase occurs, then SJWC would file an advice letter with the CPUC seeking authorization to increase revenues to offset the cost increase.</w:t>
      </w:r>
    </w:p>
    <w:p>
      <w:pPr>
        <w:spacing w:after="0" w:line="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Connecticut water utility services’ infrastructure consists of 65 noncontiguous water systems in the State of Connecticut. These systems, in total, consist of approximately 1,800 miles of water main and reservoir storage capacity of 2.4</w:t>
      </w:r>
    </w:p>
    <w:p>
      <w:pPr>
        <w:sectPr>
          <w:pgSz w:w="11900" w:h="16838" w:orient="portrait"/>
          <w:cols w:equalWidth="0" w:num="1">
            <w:col w:w="11240"/>
          </w:cols>
          <w:pgMar w:left="320" w:top="665"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665" w:right="339" w:bottom="1440" w:gutter="0" w:footer="0" w:header="0"/>
          <w:type w:val="continuous"/>
        </w:sectPr>
      </w:pPr>
    </w:p>
    <w:bookmarkStart w:id="24" w:name="page25"/>
    <w:bookmarkEnd w:id="24"/>
    <w:p>
      <w:pPr>
        <w:ind w:right="140"/>
        <w:spacing w:after="0" w:line="342" w:lineRule="auto"/>
        <w:rPr>
          <w:sz w:val="20"/>
          <w:szCs w:val="20"/>
          <w:color w:val="auto"/>
        </w:rPr>
      </w:pPr>
      <w:r>
        <w:rPr>
          <w:rFonts w:ascii="Arial" w:cs="Arial" w:eastAsia="Arial" w:hAnsi="Arial"/>
          <w:sz w:val="16"/>
          <w:szCs w:val="16"/>
          <w:color w:val="auto"/>
        </w:rPr>
        <w:t>billion gallons. The dependable yield from our 235 active wells and 18 surface water supplies is approximately 65 million gallons per day. Water sources vary among the individual systems, but overall approximately 80% of the total dependable yield comes from surface water supplies and 20% from wells.</w:t>
      </w:r>
    </w:p>
    <w:p>
      <w:pPr>
        <w:spacing w:after="0" w:line="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CLWSC’s water supply consists of groundwater from wells and purchased treated and untreated raw water from local water agencies. CLWSC has long-term agreements with the Guadalupe-Blanco River Authority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(“LCRA”) and West Travis Public Utility Agency (“WTPUA”) expiring in 2053 and 2046, respectively, to provide for 250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consists of approximately 500 miles of water main and reservoir storage capacity of 7.0 billion gallons. The dependable yield from our 14 active wells and 7 surface water supplies is approximately 120 million gallons per day. Water sources vary among the individual systems, but overall approximately 80% of the total dependable yield comes from surface water supplies and 20%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2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Increase/</w:t>
            </w: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102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Purchased water</w:t>
            </w:r>
          </w:p>
        </w:tc>
        <w:tc>
          <w:tcPr>
            <w:tcW w:w="10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3,635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3,162</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68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860" w:type="dxa"/>
            <w:vAlign w:val="bottom"/>
          </w:tcPr>
          <w:p>
            <w:pPr>
              <w:ind w:left="40"/>
              <w:spacing w:after="0"/>
              <w:rPr>
                <w:sz w:val="20"/>
                <w:szCs w:val="20"/>
                <w:color w:val="auto"/>
              </w:rPr>
            </w:pPr>
            <w:r>
              <w:rPr>
                <w:rFonts w:ascii="Arial" w:cs="Arial" w:eastAsia="Arial" w:hAnsi="Arial"/>
                <w:sz w:val="14"/>
                <w:szCs w:val="14"/>
                <w:color w:val="auto"/>
              </w:rPr>
              <w:t>Groundwater</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4,345</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1,832</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74"/>
        </w:trPr>
        <w:tc>
          <w:tcPr>
            <w:tcW w:w="68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water</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68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860" w:type="dxa"/>
            <w:vAlign w:val="bottom"/>
          </w:tcPr>
          <w:p>
            <w:pPr>
              <w:ind w:left="40"/>
              <w:spacing w:after="0"/>
              <w:rPr>
                <w:sz w:val="20"/>
                <w:szCs w:val="20"/>
                <w:color w:val="auto"/>
              </w:rPr>
            </w:pPr>
            <w:r>
              <w:rPr>
                <w:rFonts w:ascii="Arial" w:cs="Arial" w:eastAsia="Arial" w:hAnsi="Arial"/>
                <w:sz w:val="14"/>
                <w:szCs w:val="14"/>
                <w:color w:val="auto"/>
              </w:rPr>
              <w:t>Reclaimed water</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86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SJWC’s unaccounted-for water on a 12-month-to-date basis for March 31, 2020, and 2019 approximated 8.0% and 6.6%,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CTWS’s unaccounted-for water on an acquisition-to-date basis for the period ending March 31, 2020 was approximately 16.1% as a percentage of total production. The unaccounted-for water estimate is based on the results of past experience and the impact of flows through CTWS’s systems, unadjusted for any required system flushing, partially offset by WICA and WISC main replacement programs and lost water reduction initiatives.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change in water production expenses for the three months ended March 31, 2020, compared to the same period in 2019, was primarily attributable to the new SJWNE LLC operations, a decrease in the use of surface water, an increase in customer usage and higher per unit costs for purchased water, groundwater extraction and energy charges, offset by a decrease in cost-recovery balancing and memorandum accounts. Effective July 1, 2019, Valley Water increased the unit price of purchased water by approximately 6.1% and the groundwater extraction charge by approximately 6.6%.</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expenses, excluding water production expenses, increased $18,057 for the three months ended March 31, 2020, compared to the same period in 2019. The increase was primarily attributable to an increase of $15,951 due to the new SJWNE LLC operations, and increases of $1,533 in administrative and general expenses primarily due to legal and accounting fees, $1,106 in depreciation and amortization expense due to increases in utility plant, and an increase of COVID-19 related reserves and expenses of $555, partially offset by a decrease in merger related expenses due to the completion of the merger with CTWS.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March 31, 2020, compared to the same periods in 2019, the change in other (expense) income was primarily due to an increase in interest on long-term debt as a result of the issuance of SJW Group’s Series 2019A, B and 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notes and SJWC’s Series M note. In addition, interest income decreased due to use of previously invested money market funds for the merger with CTWS.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For the three months ended March 31, 2020, compared to the same period in 2019, income tax expense decreased $1,607. The decrease in income tax expense of $1,607 is primarily due to a lower pre-tax income in the three months ended March 31, 2020 and the flow-through tax benefits of certain CTWS tax attributes. The effective consolidated income tax rates were 15% and 26% for the three months ended March 31, 2020 and 2019, respectively.</w:t>
      </w:r>
    </w:p>
    <w:p>
      <w:pPr>
        <w:spacing w:after="0" w:line="10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among other items, measures concerning income taxes. Many of the CARES Act’s requirements are subject to further clarification. The Company has considered the income tax provisions of the CARES Act in the first quarter of 2020.</w:t>
      </w:r>
    </w:p>
    <w:p>
      <w:pPr>
        <w:spacing w:after="0" w:line="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SJW Group expects the Internal Revenue Service to issue guidance in future periods that will determine the final disposition of the excess deferred taxes and other impacts of the Tax Cuts and Jobs Act (H.R. 1). At this time, the company has applied a reasonable interpretation of the Tax Act. Future clarification of the Tax Act may change estimated amounts.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California Water Supply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1, 2020, Valley Water’s 10 reservoirs were approximately 35% of total capacity with 58,563 acre-feet of water in storage, which is 56% of the twenty-year average for this date. As reported by the Valley Water, there was 7.24 inches of rainfall in San Jose during the current annual rainfall season that commenced on July 1, 2019, that included one of the driest February’s on record. Rainfall at SJWC’s Lake Elsman was measured at 23.78 inches during the current rainfall season. Under normal hydrologic conditions, state and federal water allocations represent approximately 40% of the Valley Water’s total annual water supply. As of April 1, 2020, the Valley Water reported that allocations from the state and federal water project are approximately 15% and 65%, respectively, of amounts requested in 2020. Valley Water also reported that the managed groundwater recharge from January to March in the Santa Clara Plain was 121% of the five-year average. The groundwater level in the Santa Clara Plain is approximately four feet lower than a year ago in February and nine feet higher than the five-year average. The groundwater level in the Santa Clara Plain was not measured in March due to the COVID-19 shelter in place order. According to Valley Water, the projected total groundwater storage at the end of 2020 is expected to fall within the normal stage of the Valley Water’s Water Shortage Contingency Plan.</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April 1, 2020, SJWC’s Lake Elsman contained 1,384 acre-feet of water, of which approximately 924 acre-feet can be utilized for treatment. This Lake Elsman volume represents 50% of the five-year average. Local surface water is a less costly source of water than groundwater or purchased water and its availability significantly impacts SJWC’s results of operations. SJWC will utilize surface water and additional water from its portfolio of groundwater supplies to supplement imported water from the Valley Water. Production from the Montevina Surface Water Treatment Plant through the first quarter was 334 million gallons, which is 46% of the five-year average. Production at SJWC’s smaller Saratoga Water Treatment Plant through the first quarter was 48 million gallons, which is 48% of the five-year average. SJWC believes that its various water supply sources will be sufficient to meet customer demand through the remainder of 2020.</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8 of Notes to Unaudited Condensed Consolidated Financial Statements for a discussion of regulatory activities that have occurred during the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During the three months ended March 31, 2020, SJW Group generated cash flows from operations of approximately $7,900, compared to $25,200 for the same period in 2019. Cash flow from operations is primarily generated by net income from revenue producing activities, adjusted for non-cash expenses for depreciation and amortization, deferred income taxes, gains or losses on the sale of assets, and changes in working capital items. Cash flow from operations decreased by approximately $17,300. This decrease was the result of a combination of the following factors: (1) decrease in collection in balancing and memorandum accounts of $13,100, (2) payments of amounts previously invoiced and accrued, which increased by $9,200, (3) an up-front payment of $5,000 for renewal of the Cupertino service concession agreement, offset by (4) an increase of $5,100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665" w:right="35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in interest accruals for new debt and debt acquired by the merger with CTWS., and (5) general working capital and net income, adjusted for non-cash items increased by $4,900.</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March 31, 2020, Water Utility Services’ write-offs for uncollectible accounts represent less than 1% of its total revenue, unchanged from March 31, 2019. In March 2020, the regulated utilities commissions of the respective states we operate in have made executive orders suspending water service disconnections due to non-payment from customers in light of the current stay-at-home orders, quarantines and similar governmental restrictions for the global COVID-19 pandemic. Management believes that the historical collection rate for its accounts receivable will decrease during the COVID-19 pandemic and although any financial impact is currently tracked to be filed through the rate-making process, there is no guarantee that such recovery will be approved by the respective regulatory utility commissions.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March 31, 2020, SJW Group used cash flows in investing activities of approximately $42,500, compared to $34,400 for the same period in 2019. SJW Group used approximately: (1) $38,300 of cash for company-funded capital expenditures, (2) $3,600 for developer-funded capital expenditures, and (3) $300 in utility plant retirement costs.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Water Utility Services’ budgeted capital expenditures for 2020, exclusive of capital expenditures financed by customer contributions and advances, are approximately $225,800. As of March 31, 2020, approximately $38,300 or 17% of the $225,800 has been spent.</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$1.2 billion in capital expenditures, which includes replacement of pipes and mains, and maintaining water systems. A significant portion of this amount is subject to future CPUC, PURA, PUCT or MPUC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Net cash provided by financing activities for the three months ended March 31, 2020, increased by approximately $36,700 from the same period in the prior year, primarily as a result of (1) an increase in net borrowings on our lines of credit of $82,200, and (2) $1,500 increase in net cash receipts from advances and contributions in aid of construction, offset by (3) a decrease in net proceeds from new long-term debt of $45,000.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SJW Group’s unsecured senior note agreements has terms and conditions that restrict SJW Group from issuing additional funded debt if: (1) the funded consolidated debt would exceed 66-2/3% of total capitalization, and (2) the minimum net worth of SJW Group becomes less than $175,000 plus 30% of Water Utility Services cumulative net income, since June 30, 2011. SJW Group was not restricted from issuing future indebtedness as a result of these terms and conditions at March 31, 2020.</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March 31, 2020, SJWC’s funded debt and equity were approximately 49% and 51%, respectively.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the issuance of equity, all of which will be consistent with regulator guidelines.</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SJWC’s unsecured senior note agreements generally have terms and conditions that restrict SJWC from issuing additional funded debt if: (1) the funded debt would exceed 66-2/3% of total capitalization, and (2) net income available for interest charges for the trailing 12-month-calendar period would be less than 175% of interest charges. SJWC was not restricted from issuing future indebtedness as a result of these terms and conditions at March 31, 2020.</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665" w:right="379" w:bottom="1440" w:gutter="0" w:footer="0" w:header="0"/>
        </w:sectPr>
      </w:pPr>
    </w:p>
    <w:bookmarkStart w:id="27" w:name="page28"/>
    <w:bookmarkEnd w:id="27"/>
    <w:p>
      <w:pPr>
        <w:ind w:right="520"/>
        <w:spacing w:after="0" w:line="279" w:lineRule="auto"/>
        <w:rPr>
          <w:sz w:val="20"/>
          <w:szCs w:val="20"/>
          <w:color w:val="auto"/>
        </w:rPr>
      </w:pPr>
      <w:r>
        <w:rPr>
          <w:rFonts w:ascii="Arial" w:cs="Arial" w:eastAsia="Arial" w:hAnsi="Arial"/>
          <w:sz w:val="17"/>
          <w:szCs w:val="17"/>
          <w:color w:val="auto"/>
        </w:rPr>
        <w:t>SJWC’s loan agreements with the California Pollution Control Financing Authority contain affirmative and negative covenants customary for loan agreements relating to revenue bonds, including, among other things, complying with certain disclosure obligations and covenants relating to the tax exempt status of the interest on the bonds and limitations and prohibitions relating to the transfer of the projects funded by the loan proceeds and the assignment of the loan agreement. As of March 31, 2020, SJWC was in compliance with all such covenants.</w:t>
      </w:r>
    </w:p>
    <w:p>
      <w:pPr>
        <w:spacing w:after="0" w:line="6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CTWS has outstanding term loans with a commercial bank and under the master loan agreement, CTWS is required to comply with certain financial ratio and operational covenants. The most restrictive of these covenants is to maintain a consolidated (CTWS and its subsidiaries) debt to capitalization ratio of not more than 60%. As of March 31, 2020, CTWS was in compliance with all covenants under the master loan agreement.</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operational covenants substantially identical to those found in CTWS’s master loan agreement. Connecticut Water is required to maintain a debt to capitalization ratio of not more than 60%. As of March 31, 2020, Connecticut Water was in compliance with all covenants under its master loan agreement.</w:t>
      </w:r>
    </w:p>
    <w:p>
      <w:pPr>
        <w:spacing w:after="0" w:line="7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Connecticut Water has tax exempt and taxable Water Facilities Revenue Bonds issued through Connecticut Innovations (formerly the Connecticut Development Authority). The bond indentures and loan agreements contain customary affirmative and negative covenants and require compliance with financial and operational covenants, and also provide for the acceleration of the Revenue Bonds upon the occurrence of stated events of default. As of March 31, 2020, Connecticut Water was in compliance with all covenants of the bond indentures and loan agreements.</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12, 2020 Connecticut Water entered into a note purchase agreement with the purchasers listed in the agreement, pursuant to which Connecticut Water sold an aggregate principal amount of $35,000 of its 3.51% Senior Notes, due March 12, 2050. The notes are unsecured obligations of Connecticut Water. Interest is payable semi-annually in arrears on March 12th and September 12th of each year. The note purchase agreement contains customary representations and warranties. Under the note purchase agreement, Connecticut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The closing occurred simultaneously with the signing of the note purchase agreement.</w:t>
      </w:r>
    </w:p>
    <w:p>
      <w:pPr>
        <w:spacing w:after="0" w:line="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requires Connecticut Water to maintain a debt to capitalization ratio of not more than 60% and an interest coverage ratio at each fiscal quarter end of no less than three-to-one. As of March 31, 2020, Connecticut Water was in compliance with all financial ratio and operational covenants under this agreement.</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SJWTX, Inc.’s unsecured senior note agreement has terms and conditions that restrict SJWTX, Inc. from issuing additional funded debt if: (1) the funded debt would exceed 66-2/3% of total capitalization, and (2) net income available for interest charges for the trailing 12-month-calendar period would be less than 175% of interest charges. In addition, SJW Group is a guarantor of SJWTX, Inc.’s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March 31, 2020, SJWTX, Inc. and SJW Group were not restricted from issuing future indebtedness as a result of these terms and conditions.</w:t>
      </w:r>
    </w:p>
    <w:p>
      <w:pPr>
        <w:spacing w:after="0" w:line="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required compliance with various financial and operational covenants, and a provision for maturity acceleration upon the occurrence of stated events of default. As of March 31, 2020, Maine Water was in compliance with all covenants in its bond indentures and related loan agreements.</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operational covenants substantially identical to those found in CTWS and Connecticut Water’s master loan agreements. Maine is required to maintain a debt to capitalization ratio of not more than 60%. As of March 31, 2020, Maine Water was in compliance with all covenants under its master loan agreement.</w:t>
      </w:r>
    </w:p>
    <w:p>
      <w:pPr>
        <w:spacing w:after="0" w:line="7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HVWC has a term loan with a commercial bank, due in 2034. The loan is secured by real property owned by HVWC. The loan agreement restricts HVWC’s ability to incur additional debt and requires compliance with a funded debt to capitalization covenant and other operational covenants. As of March 31, 2020, HVWC was in compliance with all covenants of the loan.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665" w:right="359" w:bottom="1440" w:gutter="0" w:footer="0" w:header="0"/>
        </w:sectPr>
      </w:pPr>
    </w:p>
    <w:bookmarkStart w:id="28" w:name="page29"/>
    <w:bookmarkEnd w:id="28"/>
    <w:p>
      <w:pPr>
        <w:jc w:val="both"/>
        <w:ind w:right="120"/>
        <w:spacing w:after="0" w:line="263" w:lineRule="auto"/>
        <w:rPr>
          <w:sz w:val="20"/>
          <w:szCs w:val="20"/>
          <w:color w:val="auto"/>
        </w:rPr>
      </w:pPr>
      <w:r>
        <w:rPr>
          <w:rFonts w:ascii="Arial" w:cs="Arial" w:eastAsia="Arial" w:hAnsi="Arial"/>
          <w:sz w:val="18"/>
          <w:szCs w:val="18"/>
          <w:color w:val="auto"/>
        </w:rPr>
        <w:t>Avon Water has a mortgage loan that is due in 2033. The loan agreement (1) generally restricts the ability of Avon Water to incur additional debt or make dividend payments other than in the ordinary course of business, and (2) requires submission of periodic financial reports as part of loan covenants. As of March 31, 2020, Avon Water was in compliance with all covenants of the loan.</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March 31, 2020, SJW Group and its subsidiaries had unsecured bank lines of credit, allowing aggregate short-term borrowings of up to $235,000, of which $15,000 was available to SJW Group and SJW Land Company under a single line of credit, $5,000 was available to SJWTX, Inc. under a second line of credit, $125,000 was available to SJWC under a third line of credit, and $15,000 and $75,000 under a fourth and fifth, respectively, lines of credit was available to CTWS. At March 31, 2020, SJW Group and its subsidiaries had available unused short-term bank lines of credit totaling $103,598. The lines of credit bear interest at variable rates. On April 24, 2020, SJW Group terminated the $15,000 joint unsecured bank line of credit held by SJW Group and SJW Land Company effective April 29, 2020. On May 11, 2020, SJWC amended its $125,000 unsecured line of credit to increase the lending commitment $15,000 to $140,000. In addition, on May 11, 2020, SJWC entered into an additional unsecured line of credit allowing borrowings of up to $50,000 during a six month period. The $140,000 and $50,000 lines of credit of SJWC expire on June 1, 2021 and November 11, 2020, respectively. The line of credit for SJWTX, Inc. expires on June 1, 2021. The lines of credit for CTWS expire July 1, 2020 and December 14, 2023. During 2020, the cost of borrowing on SJW Group’s short-term credit facilities has averaged 2.91%.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financial covenants that require the borrower and, in some cases SJW Group, to maintain a maximum funded debt to capitalization ratio and a minimum interest coverage ratio. As of March 31, 2020, SJW Group and its subsidiaries were in compliance with all covenants on their lines of credit.</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2020 activities, we will have access to the external funding sources necessary to implement our on-going capital investment programs in the future. On October 16, 2019, Standard &amp; Poor’s Ratings Service initiated coverage on SJW Group assigning a company rating of A-, with a stable outlook and affirming its company rating of SJWC of A, with a stable outlook. In addition, on October 14, 2019, S&amp;P affirmed its ratings of CTWS and Connecticut Water of A- with a stable outlook.</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2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first fiscal quarter of 2020 that has materially affected, or is reasonably likely to materially affect, the internal controls over financial reporting of SJW Group.</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665" w:right="3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Form 10-K for the year ended December 31, 2019 and our other public filings, which could materially affect our business, financial condition or future results. Other than the risk factors listed and referenced below, there have been no material changes from risk factors previously disclosed in “Risk Factors” in SJW Group’s Form 10-K for the year ended December 31, 2019.</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business, financial condition, and results of operations may be negatively impacted by the COVID-19 pandemic.</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risks related to the global pandemic associated with the coronavirus (“COVID-19”). COVID-19 has spread to all 50 states in the U.S. and the President has declared the COVID-19 pandemic a national emergency. Numerous governmental jurisdictions, including the States of California, Connecticut, Maine and Texas where we maintain our water utility operations, have imposed “shelter-in-place” orders, quarantines, executive orders and similar governmental orders and restrictions for their residents to control the spread of COVID-19. Such orders or restrictions have resulted in business closures, work stoppages, slowdowns and delays in commercial activities, unprecedented and widespread unemployment, travel restrictions and cancellation of events, among other effects, thereby negatively impacting our suppliers, employees and offices, among others.</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California, Governor Gavin Newsom signed an executive order suspending water service disconnections due to non-payment by customers retroactive to March 4, 2020 and until further notice. In Connecticut and Maine, in accordance with PURA and MPUC moratorium rulings on March 12, 2020 and March 16, 2020, respectively, we have halted shutoff for nonpayment. PUCT in Texas also ordered on March 13, 2020 public utilities to suspend water service disconnections and late fees charged to customers. These and other events associated with the COVID-19 pandemic will reduce the incentive and ability of our residential and commercial customers to pay their water services bills on time, if at all, which would negatively impact our result of operations. Furthermore, a significant portion of our revenue is derived from water usage by commercial customers. As many of these customers have suspended or terminated their business operations to comply with government orders, their water usage may decline significantly or cease, which could adversely affect our revenue. Connecticut Water and Heritage Village have an approved regulatory mechanism for a water revenue adjustment that provides for recovery of the companies’ authorized annual revenues through a customer surcharge or credit that mitigates the impact of reduced usage but will not cover losses for non-payment or bad debt. Furthermore, while we expect to recover some of the revenue loss and costs through the rate-making process, there is no guarantee that such recovery will be approved by the regulated utility authorities in a timely manner, or at all.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loss of revenue, we are subject to the following risks resulting from the COVID-19 pandemic and related events:</w:t>
      </w:r>
    </w:p>
    <w:p>
      <w:pPr>
        <w:spacing w:after="0" w:line="117" w:lineRule="exact"/>
        <w:rPr>
          <w:sz w:val="20"/>
          <w:szCs w:val="20"/>
          <w:color w:val="auto"/>
        </w:rPr>
      </w:pPr>
    </w:p>
    <w:p>
      <w:pPr>
        <w:ind w:left="1300" w:right="100" w:hanging="968"/>
        <w:spacing w:after="0" w:line="263"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the COVID-19 pandemic may require us to reassess the goodwill recorded by SJW Group following the completion of our merger with CTWS in October 2019, and such reassessment may result in a future significant or material impairment of our goodwill asset;</w:t>
      </w:r>
    </w:p>
    <w:p>
      <w:pPr>
        <w:spacing w:after="0" w:line="75" w:lineRule="exact"/>
        <w:rPr>
          <w:rFonts w:ascii="Arial" w:cs="Arial" w:eastAsia="Arial" w:hAnsi="Arial"/>
          <w:sz w:val="18"/>
          <w:szCs w:val="18"/>
          <w:color w:val="auto"/>
        </w:rPr>
      </w:pPr>
    </w:p>
    <w:p>
      <w:pPr>
        <w:ind w:left="1300" w:right="240" w:hanging="968"/>
        <w:spacing w:after="0" w:line="277"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and disruptions in communication and coordination among our employees, partners, customers and others, which may reduce our productivity and interfere with our normal operations;</w:t>
      </w:r>
    </w:p>
    <w:p>
      <w:pPr>
        <w:spacing w:after="0" w:line="62" w:lineRule="exact"/>
        <w:rPr>
          <w:rFonts w:ascii="Arial" w:cs="Arial" w:eastAsia="Arial" w:hAnsi="Arial"/>
          <w:sz w:val="18"/>
          <w:szCs w:val="18"/>
          <w:color w:val="auto"/>
        </w:rPr>
      </w:pPr>
    </w:p>
    <w:p>
      <w:pPr>
        <w:ind w:left="1300" w:right="260" w:hanging="968"/>
        <w:spacing w:after="0" w:line="259"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and planned infrastructure improvement projects may be interrupted or delayed by COVID-19 government orders or restrictions or supply shortages, which may negatively impact our ability to maintain our infrastructure and provide reliable services to customers. In addition, this may reduce our expenditures on capital improvements, which may in turn impact the rate decisions by CPUC, PURA, PUCT and MPUC.</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 and</w:t>
      </w:r>
    </w:p>
    <w:p>
      <w:pPr>
        <w:spacing w:after="0" w:line="140" w:lineRule="exact"/>
        <w:rPr>
          <w:rFonts w:ascii="Arial" w:cs="Arial" w:eastAsia="Arial" w:hAnsi="Arial"/>
          <w:sz w:val="16"/>
          <w:szCs w:val="16"/>
          <w:color w:val="auto"/>
        </w:rPr>
      </w:pPr>
    </w:p>
    <w:p>
      <w:pPr>
        <w:ind w:left="1300" w:right="180" w:hanging="968"/>
        <w:spacing w:after="0" w:line="263"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our results of operations, our cash flow, and the value of our common stock, which may make it more difficult for us to access capital in equity and debt markets.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3"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The ultimate impact of the COVID-19 pandemic is highly uncertain and subject to change. We cannot predict when this pandemic will end and when related governmental orders and restrictions will be eased or lifted, and any extension or prolonged implementation of these measures will further adversely affect our business and financial results. Even after such orders and restrictions are eased or lifted, the severe economic impact on the jurisdictions and areas in which we operate may last for an extended period of time and continue to adversely affect our business, and there is no guarantee that we will be able to act quickly to return to our normal operations.</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29, 2020, the Board of Directors of SJW Group declared the regular quarterly dividend of $0.32 per share of common stock. The dividend will be paid on June 1, 2020, to stockholders of record as of the close of business on May 11, 2020.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Credit Agreements with JPMorgan Chase Bank, N.A.</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11, 2020, the SJWC entered into a Second Amendment (the “Second Amendment”) to the SJWC’s existing $125 million credit agreement, dated as of June 1, 2016, with the JPMorgan Chase Bank, N.A. (the “Lender”), as amended by the First Amendment, dated January 12, 2018 (collectively, the “Existing SJWC Credit Agreement”), with the Lender. The Second Amendment amends the Existing SJWC Credit Agreement to, among other things, increase the total commitment by $15 million, from $125 million to $140 million.</w:t>
      </w:r>
    </w:p>
    <w:p>
      <w:pPr>
        <w:spacing w:after="0" w:line="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May 11, 2020, SJWC entered into a $50 million credit agreement (the “New SJWC Credit Agreement”) with the Lender. Proceeds of borrowings under the New SJWC Credit Agreement may be used to refinance existing debt, for working capital, and for general corporate purposes. The New SJWC Credit Agreement has a maturity date of November 11, 2020.</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Borrowings under the New SJWC Credit Agreement bear interest at either the Alternate Base Rate (“ABR”) or the LIBOR (as defined in the New SJWC Credit Agreement) rate. ABR borrowings (which are borrowings bearing interest at a rate determined by reference to the ABR) will bear interest at a rate per annum equal to (i) the greatest of (a) the prime rate in effect on such day, (b) the federal funds effective rate on such day plus 0.5%, and (c) the adjusted LIBOR rate for a one-month interest period on such day plus 1% plus (ii) the Applicable Rate (as defined in the New SJWC Credit Agreement), which is determined based on a pricing grid that is dependent upon the credit rating of the company as determined by either S&amp;P or Moody’s. Eurodollar borrowings under the New SJWC Credit Agreement will bear interest at a rate per annum equal to (i) the adjusted LIBOR rate for the interest period in effect plus (ii) the Applicable Rate.</w:t>
      </w:r>
    </w:p>
    <w:p>
      <w:pPr>
        <w:spacing w:after="0" w:line="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New SJWC Credit Agreement contains customary representations, warranties and events of default, as well as certain restrictive covenants customary for facilities of this type, including restrictions on indebtedness, liens, acquisitions and investments, restricted payments, asset sales, and fundamental changes. The New SJWC Credit Agreement also includes certain financial covenants that require the company to maintain a maximum funded debt to capitalization ratio and a minimum interest coverage ratio and to limit the company’s maximum consolidated cash balance.</w:t>
      </w:r>
    </w:p>
    <w:p>
      <w:pPr>
        <w:spacing w:after="0" w:line="6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foregoing description of the New SJWC Credit Agreement and the Second Amendment and the transactions contemplated thereby is qualified in its entirety by reference to the full text of the New SJWC Credit Agreement and Second Amendment, copies of which are filed as Exhibit 10.1 and Exhibit 10.2, respectively, to this Form 10-Q and incorporated herein by reference.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www.sjwater.com and www.sjwgroup.com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9"/>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60" w:type="dxa"/>
            <w:vAlign w:val="bottom"/>
            <w:gridSpan w:val="4"/>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Credit Agreement, dated May 11, 2020, between San Jose Water Company and JPMorgan Chase Bank, N.A.</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64"/>
        </w:trPr>
        <w:tc>
          <w:tcPr>
            <w:tcW w:w="114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Second Amendment to Credit Agreement, dated May 11, 2020, between San Jose Water Company and JPMorgan Chase Bank,</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 xml:space="preserve">N.A.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FF"/>
              </w:rPr>
            </w:pPr>
            <w:hyperlink w:anchor="page204">
              <w:r>
                <w:rPr>
                  <w:rFonts w:ascii="Arial" w:cs="Arial" w:eastAsia="Arial" w:hAnsi="Arial"/>
                  <w:sz w:val="18"/>
                  <w:szCs w:val="18"/>
                  <w:u w:val="single" w:color="auto"/>
                  <w:color w:val="0000FF"/>
                </w:rPr>
                <w:t>Certification Pursuant to Rule 13a-14(a)/15d-14(a) by Chairman, President and Chief Executive Officer.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FF"/>
              </w:rPr>
            </w:pPr>
            <w:hyperlink w:anchor="page205">
              <w:r>
                <w:rPr>
                  <w:rFonts w:ascii="Arial" w:cs="Arial" w:eastAsia="Arial" w:hAnsi="Arial"/>
                  <w:sz w:val="18"/>
                  <w:szCs w:val="18"/>
                  <w:u w:val="single" w:color="auto"/>
                  <w:color w:val="0000FF"/>
                </w:rPr>
                <w:t>Certification Pursuant to Rule 13a-14(a)/15d-14(a) by Chief Financial Officer and Treasurer.</w:t>
              </w:r>
              <w:r>
                <w:rPr>
                  <w:rFonts w:ascii="Arial" w:cs="Arial" w:eastAsia="Arial" w:hAnsi="Arial"/>
                  <w:sz w:val="18"/>
                  <w:szCs w:val="18"/>
                  <w:color w:val="0000FF"/>
                </w:rPr>
                <w:t xml:space="preserve">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64"/>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206">
              <w:r>
                <w:rPr>
                  <w:rFonts w:ascii="Arial" w:cs="Arial" w:eastAsia="Arial" w:hAnsi="Arial"/>
                  <w:sz w:val="18"/>
                  <w:szCs w:val="18"/>
                  <w:color w:val="0000FF"/>
                  <w:w w:val="90"/>
                </w:rPr>
                <w:t>Certification Pursuant to 18 U.S.C. Section 1350 by Chairman, President and Chief Executive Officer, as adopted pursuant to Section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FF"/>
              </w:rPr>
            </w:pPr>
            <w:hyperlink w:anchor="page206">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207">
              <w:r>
                <w:rPr>
                  <w:rFonts w:ascii="Arial" w:cs="Arial" w:eastAsia="Arial" w:hAnsi="Arial"/>
                  <w:sz w:val="18"/>
                  <w:szCs w:val="18"/>
                  <w:color w:val="0000FF"/>
                  <w:w w:val="90"/>
                </w:rPr>
                <w:t>Certification Pursuant to 18 U.S.C. Section 1350 by Chief Financial Officer and Treasurer, as adopted pursuant to Section 906 of the</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FF"/>
              </w:rPr>
            </w:pPr>
            <w:hyperlink w:anchor="page207">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05"/>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500" w:hanging="1465"/>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SJW GROUP</w:t>
      </w:r>
    </w:p>
    <w:p>
      <w:pPr>
        <w:spacing w:after="0" w:line="387" w:lineRule="exact"/>
        <w:rPr>
          <w:sz w:val="20"/>
          <w:szCs w:val="20"/>
          <w:color w:val="auto"/>
        </w:rPr>
      </w:pPr>
    </w:p>
    <w:p>
      <w:pPr>
        <w:ind w:left="240"/>
        <w:spacing w:after="0"/>
        <w:tabs>
          <w:tab w:leader="none" w:pos="5780" w:val="left"/>
          <w:tab w:leader="none" w:pos="6420" w:val="left"/>
        </w:tabs>
        <w:rPr>
          <w:sz w:val="20"/>
          <w:szCs w:val="20"/>
          <w:color w:val="auto"/>
        </w:rPr>
      </w:pPr>
      <w:r>
        <w:rPr>
          <w:rFonts w:ascii="Arial" w:cs="Arial" w:eastAsia="Arial" w:hAnsi="Arial"/>
          <w:sz w:val="18"/>
          <w:szCs w:val="18"/>
          <w:b w:val="1"/>
          <w:bCs w:val="1"/>
          <w:color w:val="auto"/>
        </w:rPr>
        <w:t>DATE: May 11, 2020</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James P. Lynch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553"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474345</wp:posOffset>
            </wp:positionV>
            <wp:extent cx="7063740"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386080"/>
                    </a:xfrm>
                    <a:prstGeom prst="rect">
                      <a:avLst/>
                    </a:prstGeom>
                    <a:noFill/>
                  </pic:spPr>
                </pic:pic>
              </a:graphicData>
            </a:graphic>
          </wp:anchor>
        </w:drawing>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SAN JOSE WATER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372110</wp:posOffset>
            </wp:positionV>
            <wp:extent cx="7063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389255</wp:posOffset>
            </wp:positionV>
            <wp:extent cx="7063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40" w:type="dxa"/>
            <w:vAlign w:val="bottom"/>
            <w:gridSpan w:val="26"/>
          </w:tcPr>
          <w:p>
            <w:pPr>
              <w:ind w:left="200"/>
              <w:spacing w:after="0"/>
              <w:rPr>
                <w:sz w:val="20"/>
                <w:szCs w:val="20"/>
                <w:color w:val="auto"/>
              </w:rPr>
            </w:pPr>
            <w:r>
              <w:rPr>
                <w:rFonts w:ascii="Arial" w:cs="Arial" w:eastAsia="Arial" w:hAnsi="Arial"/>
                <w:sz w:val="22"/>
                <w:szCs w:val="22"/>
                <w:b w:val="1"/>
                <w:bCs w:val="1"/>
                <w:color w:val="auto"/>
              </w:rPr>
              <w:t>TABLE OF CONTENTS</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8"/>
        </w:trPr>
        <w:tc>
          <w:tcPr>
            <w:tcW w:w="3380" w:type="dxa"/>
            <w:vAlign w:val="bottom"/>
          </w:tcPr>
          <w:p>
            <w:pPr>
              <w:spacing w:after="0"/>
              <w:rPr>
                <w:sz w:val="20"/>
                <w:szCs w:val="20"/>
                <w:color w:val="auto"/>
              </w:rPr>
            </w:pPr>
            <w:r>
              <w:rPr>
                <w:rFonts w:ascii="Arial" w:cs="Arial" w:eastAsia="Arial" w:hAnsi="Arial"/>
                <w:sz w:val="22"/>
                <w:szCs w:val="22"/>
                <w:color w:val="auto"/>
              </w:rPr>
              <w:t>ARTICLE I DEFINITIONS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05"/>
        </w:trPr>
        <w:tc>
          <w:tcPr>
            <w:tcW w:w="3380" w:type="dxa"/>
            <w:vAlign w:val="bottom"/>
          </w:tcPr>
          <w:p>
            <w:pPr>
              <w:ind w:left="900"/>
              <w:spacing w:after="0"/>
              <w:rPr>
                <w:sz w:val="20"/>
                <w:szCs w:val="20"/>
                <w:color w:val="auto"/>
              </w:rPr>
            </w:pPr>
            <w:r>
              <w:rPr>
                <w:rFonts w:ascii="Arial" w:cs="Arial" w:eastAsia="Arial" w:hAnsi="Arial"/>
                <w:sz w:val="22"/>
                <w:szCs w:val="22"/>
                <w:color w:val="auto"/>
              </w:rPr>
              <w:t>SECTION 1.01.</w:t>
            </w:r>
          </w:p>
        </w:tc>
        <w:tc>
          <w:tcPr>
            <w:tcW w:w="1300" w:type="dxa"/>
            <w:vAlign w:val="bottom"/>
            <w:gridSpan w:val="7"/>
            <w:vMerge w:val="restart"/>
          </w:tcPr>
          <w:p>
            <w:pPr>
              <w:spacing w:after="0"/>
              <w:rPr>
                <w:sz w:val="20"/>
                <w:szCs w:val="20"/>
                <w:color w:val="auto"/>
              </w:rPr>
            </w:pPr>
            <w:r>
              <w:rPr>
                <w:rFonts w:ascii="Arial" w:cs="Arial" w:eastAsia="Arial" w:hAnsi="Arial"/>
                <w:sz w:val="22"/>
                <w:szCs w:val="22"/>
                <w:color w:val="auto"/>
                <w:w w:val="88"/>
              </w:rPr>
              <w:t>Defined Terms</w:t>
            </w:r>
          </w:p>
        </w:tc>
        <w:tc>
          <w:tcPr>
            <w:tcW w:w="4980" w:type="dxa"/>
            <w:vAlign w:val="bottom"/>
            <w:gridSpan w:val="23"/>
            <w:vMerge w:val="restart"/>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300" w:type="dxa"/>
            <w:vAlign w:val="bottom"/>
            <w:tcBorders>
              <w:bottom w:val="single" w:sz="8" w:color="auto"/>
            </w:tcBorders>
            <w:gridSpan w:val="7"/>
            <w:vMerge w:val="continue"/>
          </w:tcPr>
          <w:p>
            <w:pPr>
              <w:spacing w:after="0"/>
              <w:rPr>
                <w:sz w:val="5"/>
                <w:szCs w:val="5"/>
                <w:color w:val="auto"/>
              </w:rPr>
            </w:pPr>
          </w:p>
        </w:tc>
        <w:tc>
          <w:tcPr>
            <w:tcW w:w="4980" w:type="dxa"/>
            <w:vAlign w:val="bottom"/>
            <w:gridSpan w:val="23"/>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380" w:type="dxa"/>
            <w:vAlign w:val="bottom"/>
          </w:tcPr>
          <w:p>
            <w:pPr>
              <w:ind w:left="900"/>
              <w:spacing w:after="0"/>
              <w:rPr>
                <w:sz w:val="20"/>
                <w:szCs w:val="20"/>
                <w:color w:val="auto"/>
              </w:rPr>
            </w:pPr>
            <w:r>
              <w:rPr>
                <w:rFonts w:ascii="Arial" w:cs="Arial" w:eastAsia="Arial" w:hAnsi="Arial"/>
                <w:sz w:val="22"/>
                <w:szCs w:val="22"/>
                <w:color w:val="auto"/>
              </w:rPr>
              <w:t>SECTION 1.02.</w:t>
            </w:r>
          </w:p>
        </w:tc>
        <w:tc>
          <w:tcPr>
            <w:tcW w:w="6280" w:type="dxa"/>
            <w:vAlign w:val="bottom"/>
            <w:gridSpan w:val="30"/>
          </w:tcPr>
          <w:p>
            <w:pPr>
              <w:spacing w:after="0"/>
              <w:rPr>
                <w:sz w:val="20"/>
                <w:szCs w:val="20"/>
                <w:color w:val="auto"/>
              </w:rPr>
            </w:pPr>
            <w:r>
              <w:rPr>
                <w:rFonts w:ascii="Arial" w:cs="Arial" w:eastAsia="Arial" w:hAnsi="Arial"/>
                <w:sz w:val="22"/>
                <w:szCs w:val="22"/>
                <w:color w:val="auto"/>
              </w:rPr>
              <w:t>Classification of Loans and Borrowings</w:t>
            </w:r>
          </w:p>
        </w:tc>
        <w:tc>
          <w:tcPr>
            <w:tcW w:w="14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1.03.</w:t>
            </w:r>
          </w:p>
        </w:tc>
        <w:tc>
          <w:tcPr>
            <w:tcW w:w="146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2"/>
                <w:szCs w:val="22"/>
                <w:color w:val="auto"/>
                <w:w w:val="88"/>
              </w:rPr>
              <w:t>Terms Generally</w:t>
            </w:r>
          </w:p>
        </w:tc>
        <w:tc>
          <w:tcPr>
            <w:tcW w:w="1980" w:type="dxa"/>
            <w:vAlign w:val="bottom"/>
            <w:tcBorders>
              <w:top w:val="single" w:sz="8" w:color="auto"/>
            </w:tcBorders>
            <w:gridSpan w:val="14"/>
          </w:tcPr>
          <w:p>
            <w:pPr>
              <w:spacing w:after="0"/>
              <w:rPr>
                <w:sz w:val="24"/>
                <w:szCs w:val="24"/>
                <w:color w:val="auto"/>
              </w:rPr>
            </w:pPr>
          </w:p>
        </w:tc>
        <w:tc>
          <w:tcPr>
            <w:tcW w:w="2840" w:type="dxa"/>
            <w:vAlign w:val="bottom"/>
            <w:gridSpan w:val="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1.04.</w:t>
            </w:r>
          </w:p>
        </w:tc>
        <w:tc>
          <w:tcPr>
            <w:tcW w:w="6280" w:type="dxa"/>
            <w:vAlign w:val="bottom"/>
            <w:gridSpan w:val="30"/>
          </w:tcPr>
          <w:p>
            <w:pPr>
              <w:spacing w:after="0"/>
              <w:rPr>
                <w:sz w:val="20"/>
                <w:szCs w:val="20"/>
                <w:color w:val="auto"/>
              </w:rPr>
            </w:pPr>
            <w:r>
              <w:rPr>
                <w:rFonts w:ascii="Arial" w:cs="Arial" w:eastAsia="Arial" w:hAnsi="Arial"/>
                <w:sz w:val="22"/>
                <w:szCs w:val="22"/>
                <w:color w:val="auto"/>
              </w:rPr>
              <w:t>Accounting Terms; GAAP</w:t>
            </w:r>
          </w:p>
        </w:tc>
        <w:tc>
          <w:tcPr>
            <w:tcW w:w="14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1.05.</w:t>
            </w:r>
          </w:p>
        </w:tc>
        <w:tc>
          <w:tcPr>
            <w:tcW w:w="6280" w:type="dxa"/>
            <w:vAlign w:val="bottom"/>
            <w:gridSpan w:val="30"/>
          </w:tcPr>
          <w:p>
            <w:pPr>
              <w:spacing w:after="0"/>
              <w:rPr>
                <w:sz w:val="20"/>
                <w:szCs w:val="20"/>
                <w:color w:val="auto"/>
              </w:rPr>
            </w:pPr>
            <w:r>
              <w:rPr>
                <w:rFonts w:ascii="Arial" w:cs="Arial" w:eastAsia="Arial" w:hAnsi="Arial"/>
                <w:sz w:val="22"/>
                <w:szCs w:val="22"/>
                <w:color w:val="auto"/>
              </w:rPr>
              <w:t>Interest Rates; LIBOR Notification.</w:t>
            </w:r>
          </w:p>
        </w:tc>
        <w:tc>
          <w:tcPr>
            <w:tcW w:w="14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1.06.</w:t>
            </w:r>
          </w:p>
        </w:tc>
        <w:tc>
          <w:tcPr>
            <w:tcW w:w="3040" w:type="dxa"/>
            <w:vAlign w:val="bottom"/>
            <w:tcBorders>
              <w:top w:val="single" w:sz="8" w:color="auto"/>
            </w:tcBorders>
            <w:gridSpan w:val="20"/>
          </w:tcPr>
          <w:p>
            <w:pPr>
              <w:spacing w:after="0"/>
              <w:rPr>
                <w:sz w:val="20"/>
                <w:szCs w:val="20"/>
                <w:color w:val="auto"/>
              </w:rPr>
            </w:pPr>
            <w:r>
              <w:rPr>
                <w:rFonts w:ascii="Arial" w:cs="Arial" w:eastAsia="Arial" w:hAnsi="Arial"/>
                <w:sz w:val="22"/>
                <w:szCs w:val="22"/>
                <w:color w:val="auto"/>
              </w:rPr>
              <w:t>Divisions.</w:t>
            </w:r>
          </w:p>
        </w:tc>
        <w:tc>
          <w:tcPr>
            <w:tcW w:w="3240" w:type="dxa"/>
            <w:vAlign w:val="bottom"/>
            <w:gridSpan w:val="10"/>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436"/>
        </w:trPr>
        <w:tc>
          <w:tcPr>
            <w:tcW w:w="3380" w:type="dxa"/>
            <w:vAlign w:val="bottom"/>
            <w:vMerge w:val="restart"/>
          </w:tcPr>
          <w:p>
            <w:pPr>
              <w:spacing w:after="0"/>
              <w:rPr>
                <w:sz w:val="20"/>
                <w:szCs w:val="20"/>
                <w:color w:val="auto"/>
              </w:rPr>
            </w:pPr>
            <w:r>
              <w:rPr>
                <w:rFonts w:ascii="Arial" w:cs="Arial" w:eastAsia="Arial" w:hAnsi="Arial"/>
                <w:sz w:val="22"/>
                <w:szCs w:val="22"/>
                <w:color w:val="auto"/>
              </w:rPr>
              <w:t>ARTICLE II THE CREDITS</w:t>
            </w: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900"/>
              <w:spacing w:after="0" w:line="246" w:lineRule="exact"/>
              <w:rPr>
                <w:sz w:val="20"/>
                <w:szCs w:val="20"/>
                <w:color w:val="auto"/>
              </w:rPr>
            </w:pPr>
            <w:r>
              <w:rPr>
                <w:rFonts w:ascii="Arial" w:cs="Arial" w:eastAsia="Arial" w:hAnsi="Arial"/>
                <w:sz w:val="22"/>
                <w:szCs w:val="22"/>
                <w:color w:val="auto"/>
              </w:rPr>
              <w:t>SECTION 2.01.</w:t>
            </w:r>
          </w:p>
        </w:tc>
        <w:tc>
          <w:tcPr>
            <w:tcW w:w="6280" w:type="dxa"/>
            <w:vAlign w:val="bottom"/>
            <w:gridSpan w:val="30"/>
          </w:tcPr>
          <w:p>
            <w:pPr>
              <w:spacing w:after="0" w:line="246" w:lineRule="exact"/>
              <w:rPr>
                <w:sz w:val="20"/>
                <w:szCs w:val="20"/>
                <w:color w:val="auto"/>
              </w:rPr>
            </w:pPr>
            <w:r>
              <w:rPr>
                <w:rFonts w:ascii="Arial" w:cs="Arial" w:eastAsia="Arial" w:hAnsi="Arial"/>
                <w:sz w:val="22"/>
                <w:szCs w:val="22"/>
                <w:color w:val="auto"/>
              </w:rPr>
              <w:t>Commitments</w:t>
            </w:r>
          </w:p>
        </w:tc>
        <w:tc>
          <w:tcPr>
            <w:tcW w:w="1440" w:type="dxa"/>
            <w:vAlign w:val="bottom"/>
          </w:tcPr>
          <w:p>
            <w:pPr>
              <w:jc w:val="right"/>
              <w:spacing w:after="0" w:line="246"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2.02.</w:t>
            </w:r>
          </w:p>
        </w:tc>
        <w:tc>
          <w:tcPr>
            <w:tcW w:w="6280" w:type="dxa"/>
            <w:vAlign w:val="bottom"/>
            <w:gridSpan w:val="30"/>
          </w:tcPr>
          <w:p>
            <w:pPr>
              <w:spacing w:after="0"/>
              <w:rPr>
                <w:sz w:val="20"/>
                <w:szCs w:val="20"/>
                <w:color w:val="auto"/>
              </w:rPr>
            </w:pPr>
            <w:r>
              <w:rPr>
                <w:rFonts w:ascii="Arial" w:cs="Arial" w:eastAsia="Arial" w:hAnsi="Arial"/>
                <w:sz w:val="22"/>
                <w:szCs w:val="22"/>
                <w:color w:val="auto"/>
              </w:rPr>
              <w:t>Loans and Borrowings.</w:t>
            </w:r>
          </w:p>
        </w:tc>
        <w:tc>
          <w:tcPr>
            <w:tcW w:w="14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2.03.</w:t>
            </w:r>
          </w:p>
        </w:tc>
        <w:tc>
          <w:tcPr>
            <w:tcW w:w="6280" w:type="dxa"/>
            <w:vAlign w:val="bottom"/>
            <w:gridSpan w:val="30"/>
          </w:tcPr>
          <w:p>
            <w:pPr>
              <w:spacing w:after="0"/>
              <w:rPr>
                <w:sz w:val="20"/>
                <w:szCs w:val="20"/>
                <w:color w:val="auto"/>
              </w:rPr>
            </w:pPr>
            <w:r>
              <w:rPr>
                <w:rFonts w:ascii="Arial" w:cs="Arial" w:eastAsia="Arial" w:hAnsi="Arial"/>
                <w:sz w:val="22"/>
                <w:szCs w:val="22"/>
                <w:color w:val="auto"/>
              </w:rPr>
              <w:t>Borrowing Procedures; Requests for Borrowings</w:t>
            </w:r>
          </w:p>
        </w:tc>
        <w:tc>
          <w:tcPr>
            <w:tcW w:w="14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2.04.</w:t>
            </w:r>
          </w:p>
        </w:tc>
        <w:tc>
          <w:tcPr>
            <w:tcW w:w="4220" w:type="dxa"/>
            <w:vAlign w:val="bottom"/>
            <w:tcBorders>
              <w:top w:val="single" w:sz="8" w:color="auto"/>
            </w:tcBorders>
            <w:gridSpan w:val="27"/>
          </w:tcPr>
          <w:p>
            <w:pPr>
              <w:spacing w:after="0"/>
              <w:rPr>
                <w:sz w:val="20"/>
                <w:szCs w:val="20"/>
                <w:color w:val="auto"/>
              </w:rPr>
            </w:pPr>
            <w:r>
              <w:rPr>
                <w:rFonts w:ascii="Arial" w:cs="Arial" w:eastAsia="Arial" w:hAnsi="Arial"/>
                <w:sz w:val="22"/>
                <w:szCs w:val="22"/>
                <w:color w:val="auto"/>
              </w:rPr>
              <w:t>Letters of Credit.</w:t>
            </w:r>
          </w:p>
        </w:tc>
        <w:tc>
          <w:tcPr>
            <w:tcW w:w="206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2.05.</w:t>
            </w:r>
          </w:p>
        </w:tc>
        <w:tc>
          <w:tcPr>
            <w:tcW w:w="204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91"/>
              </w:rPr>
              <w:t>Funding of Borrowings</w:t>
            </w:r>
          </w:p>
        </w:tc>
        <w:tc>
          <w:tcPr>
            <w:tcW w:w="4240" w:type="dxa"/>
            <w:vAlign w:val="bottom"/>
            <w:gridSpan w:val="1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2.06.</w:t>
            </w:r>
          </w:p>
        </w:tc>
        <w:tc>
          <w:tcPr>
            <w:tcW w:w="6280" w:type="dxa"/>
            <w:vAlign w:val="bottom"/>
            <w:gridSpan w:val="30"/>
          </w:tcPr>
          <w:p>
            <w:pPr>
              <w:spacing w:after="0"/>
              <w:rPr>
                <w:sz w:val="20"/>
                <w:szCs w:val="20"/>
                <w:color w:val="auto"/>
              </w:rPr>
            </w:pPr>
            <w:r>
              <w:rPr>
                <w:rFonts w:ascii="Arial" w:cs="Arial" w:eastAsia="Arial" w:hAnsi="Arial"/>
                <w:sz w:val="22"/>
                <w:szCs w:val="22"/>
                <w:color w:val="auto"/>
              </w:rPr>
              <w:t>Interest Elections.</w:t>
            </w:r>
          </w:p>
        </w:tc>
        <w:tc>
          <w:tcPr>
            <w:tcW w:w="14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2.07.</w:t>
            </w:r>
          </w:p>
        </w:tc>
        <w:tc>
          <w:tcPr>
            <w:tcW w:w="6280" w:type="dxa"/>
            <w:vAlign w:val="bottom"/>
            <w:gridSpan w:val="30"/>
          </w:tcPr>
          <w:p>
            <w:pPr>
              <w:spacing w:after="0"/>
              <w:rPr>
                <w:sz w:val="20"/>
                <w:szCs w:val="20"/>
                <w:color w:val="auto"/>
              </w:rPr>
            </w:pPr>
            <w:r>
              <w:rPr>
                <w:rFonts w:ascii="Arial" w:cs="Arial" w:eastAsia="Arial" w:hAnsi="Arial"/>
                <w:sz w:val="22"/>
                <w:szCs w:val="22"/>
                <w:color w:val="auto"/>
              </w:rPr>
              <w:t>Termination and Reduction of Commitment.</w:t>
            </w:r>
          </w:p>
        </w:tc>
        <w:tc>
          <w:tcPr>
            <w:tcW w:w="14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2.08.</w:t>
            </w:r>
          </w:p>
        </w:tc>
        <w:tc>
          <w:tcPr>
            <w:tcW w:w="6280" w:type="dxa"/>
            <w:vAlign w:val="bottom"/>
            <w:gridSpan w:val="30"/>
          </w:tcPr>
          <w:p>
            <w:pPr>
              <w:spacing w:after="0"/>
              <w:rPr>
                <w:sz w:val="20"/>
                <w:szCs w:val="20"/>
                <w:color w:val="auto"/>
              </w:rPr>
            </w:pPr>
            <w:r>
              <w:rPr>
                <w:rFonts w:ascii="Arial" w:cs="Arial" w:eastAsia="Arial" w:hAnsi="Arial"/>
                <w:sz w:val="22"/>
                <w:szCs w:val="22"/>
                <w:color w:val="auto"/>
              </w:rPr>
              <w:t>Repayment and Amortization of Loans; Evidence of Debt.</w:t>
            </w:r>
          </w:p>
        </w:tc>
        <w:tc>
          <w:tcPr>
            <w:tcW w:w="144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2.09.</w:t>
            </w:r>
          </w:p>
        </w:tc>
        <w:tc>
          <w:tcPr>
            <w:tcW w:w="5000" w:type="dxa"/>
            <w:vAlign w:val="bottom"/>
            <w:tcBorders>
              <w:top w:val="single" w:sz="8" w:color="auto"/>
            </w:tcBorders>
            <w:gridSpan w:val="29"/>
          </w:tcPr>
          <w:p>
            <w:pPr>
              <w:spacing w:after="0"/>
              <w:rPr>
                <w:sz w:val="20"/>
                <w:szCs w:val="20"/>
                <w:color w:val="auto"/>
              </w:rPr>
            </w:pPr>
            <w:r>
              <w:rPr>
                <w:rFonts w:ascii="Arial" w:cs="Arial" w:eastAsia="Arial" w:hAnsi="Arial"/>
                <w:sz w:val="22"/>
                <w:szCs w:val="22"/>
                <w:color w:val="auto"/>
              </w:rPr>
              <w:t>Prepayment of Loans.</w:t>
            </w:r>
          </w:p>
        </w:tc>
        <w:tc>
          <w:tcPr>
            <w:tcW w:w="1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2.10.</w:t>
            </w:r>
          </w:p>
        </w:tc>
        <w:tc>
          <w:tcPr>
            <w:tcW w:w="186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Fees.</w:t>
            </w:r>
          </w:p>
        </w:tc>
        <w:tc>
          <w:tcPr>
            <w:tcW w:w="4420" w:type="dxa"/>
            <w:vAlign w:val="bottom"/>
            <w:gridSpan w:val="18"/>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2.11.</w:t>
            </w:r>
          </w:p>
        </w:tc>
        <w:tc>
          <w:tcPr>
            <w:tcW w:w="6280" w:type="dxa"/>
            <w:vAlign w:val="bottom"/>
            <w:gridSpan w:val="30"/>
          </w:tcPr>
          <w:p>
            <w:pPr>
              <w:spacing w:after="0"/>
              <w:rPr>
                <w:sz w:val="20"/>
                <w:szCs w:val="20"/>
                <w:color w:val="auto"/>
              </w:rPr>
            </w:pPr>
            <w:r>
              <w:rPr>
                <w:rFonts w:ascii="Arial" w:cs="Arial" w:eastAsia="Arial" w:hAnsi="Arial"/>
                <w:sz w:val="22"/>
                <w:szCs w:val="22"/>
                <w:color w:val="auto"/>
              </w:rPr>
              <w:t>Interest.</w:t>
            </w:r>
          </w:p>
        </w:tc>
        <w:tc>
          <w:tcPr>
            <w:tcW w:w="14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2.12.</w:t>
            </w:r>
          </w:p>
        </w:tc>
        <w:tc>
          <w:tcPr>
            <w:tcW w:w="6280" w:type="dxa"/>
            <w:vAlign w:val="bottom"/>
            <w:gridSpan w:val="30"/>
          </w:tcPr>
          <w:p>
            <w:pPr>
              <w:spacing w:after="0"/>
              <w:rPr>
                <w:sz w:val="20"/>
                <w:szCs w:val="20"/>
                <w:color w:val="auto"/>
              </w:rPr>
            </w:pPr>
            <w:r>
              <w:rPr>
                <w:rFonts w:ascii="Arial" w:cs="Arial" w:eastAsia="Arial" w:hAnsi="Arial"/>
                <w:sz w:val="22"/>
                <w:szCs w:val="22"/>
                <w:color w:val="auto"/>
              </w:rPr>
              <w:t>Alternate Rate of Interest; Illegality</w:t>
            </w:r>
          </w:p>
        </w:tc>
        <w:tc>
          <w:tcPr>
            <w:tcW w:w="14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2.13.</w:t>
            </w:r>
          </w:p>
        </w:tc>
        <w:tc>
          <w:tcPr>
            <w:tcW w:w="3080" w:type="dxa"/>
            <w:vAlign w:val="bottom"/>
            <w:tcBorders>
              <w:top w:val="single" w:sz="8" w:color="auto"/>
            </w:tcBorders>
            <w:gridSpan w:val="21"/>
          </w:tcPr>
          <w:p>
            <w:pPr>
              <w:spacing w:after="0"/>
              <w:rPr>
                <w:sz w:val="20"/>
                <w:szCs w:val="20"/>
                <w:color w:val="auto"/>
              </w:rPr>
            </w:pPr>
            <w:r>
              <w:rPr>
                <w:rFonts w:ascii="Arial" w:cs="Arial" w:eastAsia="Arial" w:hAnsi="Arial"/>
                <w:sz w:val="22"/>
                <w:szCs w:val="22"/>
                <w:color w:val="auto"/>
              </w:rPr>
              <w:t>Increased Costs</w:t>
            </w:r>
          </w:p>
        </w:tc>
        <w:tc>
          <w:tcPr>
            <w:tcW w:w="320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2.14.</w:t>
            </w:r>
          </w:p>
        </w:tc>
        <w:tc>
          <w:tcPr>
            <w:tcW w:w="6280" w:type="dxa"/>
            <w:vAlign w:val="bottom"/>
            <w:gridSpan w:val="30"/>
          </w:tcPr>
          <w:p>
            <w:pPr>
              <w:spacing w:after="0"/>
              <w:rPr>
                <w:sz w:val="20"/>
                <w:szCs w:val="20"/>
                <w:color w:val="auto"/>
              </w:rPr>
            </w:pPr>
            <w:r>
              <w:rPr>
                <w:rFonts w:ascii="Arial" w:cs="Arial" w:eastAsia="Arial" w:hAnsi="Arial"/>
                <w:sz w:val="22"/>
                <w:szCs w:val="22"/>
                <w:color w:val="auto"/>
              </w:rPr>
              <w:t>Break Funding Payments</w:t>
            </w:r>
          </w:p>
        </w:tc>
        <w:tc>
          <w:tcPr>
            <w:tcW w:w="144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2.15.</w:t>
            </w:r>
          </w:p>
        </w:tc>
        <w:tc>
          <w:tcPr>
            <w:tcW w:w="2180" w:type="dxa"/>
            <w:vAlign w:val="bottom"/>
            <w:tcBorders>
              <w:top w:val="single" w:sz="8" w:color="auto"/>
            </w:tcBorders>
            <w:gridSpan w:val="16"/>
          </w:tcPr>
          <w:p>
            <w:pPr>
              <w:spacing w:after="0"/>
              <w:rPr>
                <w:sz w:val="20"/>
                <w:szCs w:val="20"/>
                <w:color w:val="auto"/>
              </w:rPr>
            </w:pPr>
            <w:r>
              <w:rPr>
                <w:rFonts w:ascii="Arial" w:cs="Arial" w:eastAsia="Arial" w:hAnsi="Arial"/>
                <w:sz w:val="22"/>
                <w:szCs w:val="22"/>
                <w:color w:val="auto"/>
              </w:rPr>
              <w:t>Taxes</w:t>
            </w:r>
          </w:p>
        </w:tc>
        <w:tc>
          <w:tcPr>
            <w:tcW w:w="4100" w:type="dxa"/>
            <w:vAlign w:val="bottom"/>
            <w:gridSpan w:val="1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2.16.</w:t>
            </w:r>
          </w:p>
        </w:tc>
        <w:tc>
          <w:tcPr>
            <w:tcW w:w="6280" w:type="dxa"/>
            <w:vAlign w:val="bottom"/>
            <w:gridSpan w:val="30"/>
          </w:tcPr>
          <w:p>
            <w:pPr>
              <w:spacing w:after="0"/>
              <w:rPr>
                <w:sz w:val="20"/>
                <w:szCs w:val="20"/>
                <w:color w:val="auto"/>
              </w:rPr>
            </w:pPr>
            <w:r>
              <w:rPr>
                <w:rFonts w:ascii="Arial" w:cs="Arial" w:eastAsia="Arial" w:hAnsi="Arial"/>
                <w:sz w:val="22"/>
                <w:szCs w:val="22"/>
                <w:color w:val="auto"/>
              </w:rPr>
              <w:t>Payments Generally; Allocation of Proceeds.</w:t>
            </w:r>
          </w:p>
        </w:tc>
        <w:tc>
          <w:tcPr>
            <w:tcW w:w="144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2.17.</w:t>
            </w:r>
          </w:p>
        </w:tc>
        <w:tc>
          <w:tcPr>
            <w:tcW w:w="2940" w:type="dxa"/>
            <w:vAlign w:val="bottom"/>
            <w:tcBorders>
              <w:top w:val="single" w:sz="8" w:color="auto"/>
              <w:bottom w:val="single" w:sz="8" w:color="auto"/>
            </w:tcBorders>
            <w:gridSpan w:val="19"/>
          </w:tcPr>
          <w:p>
            <w:pPr>
              <w:spacing w:after="0"/>
              <w:rPr>
                <w:sz w:val="20"/>
                <w:szCs w:val="20"/>
                <w:color w:val="auto"/>
              </w:rPr>
            </w:pPr>
            <w:r>
              <w:rPr>
                <w:rFonts w:ascii="Arial" w:cs="Arial" w:eastAsia="Arial" w:hAnsi="Arial"/>
                <w:sz w:val="22"/>
                <w:szCs w:val="22"/>
                <w:color w:val="auto"/>
                <w:w w:val="89"/>
              </w:rPr>
              <w:t>Indemnity for Returned Payments</w:t>
            </w:r>
          </w:p>
        </w:tc>
        <w:tc>
          <w:tcPr>
            <w:tcW w:w="900" w:type="dxa"/>
            <w:vAlign w:val="bottom"/>
            <w:tcBorders>
              <w:top w:val="single" w:sz="8" w:color="auto"/>
            </w:tcBorders>
            <w:gridSpan w:val="7"/>
          </w:tcPr>
          <w:p>
            <w:pPr>
              <w:spacing w:after="0"/>
              <w:rPr>
                <w:sz w:val="24"/>
                <w:szCs w:val="24"/>
                <w:color w:val="auto"/>
              </w:rPr>
            </w:pPr>
          </w:p>
        </w:tc>
        <w:tc>
          <w:tcPr>
            <w:tcW w:w="244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35"/>
        </w:trPr>
        <w:tc>
          <w:tcPr>
            <w:tcW w:w="9660" w:type="dxa"/>
            <w:vAlign w:val="bottom"/>
            <w:gridSpan w:val="31"/>
          </w:tcPr>
          <w:p>
            <w:pPr>
              <w:spacing w:after="0"/>
              <w:rPr>
                <w:sz w:val="20"/>
                <w:szCs w:val="20"/>
                <w:color w:val="auto"/>
              </w:rPr>
            </w:pPr>
            <w:r>
              <w:rPr>
                <w:rFonts w:ascii="Arial" w:cs="Arial" w:eastAsia="Arial" w:hAnsi="Arial"/>
                <w:sz w:val="22"/>
                <w:szCs w:val="22"/>
                <w:color w:val="auto"/>
              </w:rPr>
              <w:t>ARTICLE III REPRESENTATION OF WARRANTIES</w:t>
            </w:r>
          </w:p>
        </w:tc>
        <w:tc>
          <w:tcPr>
            <w:tcW w:w="144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354"/>
        </w:trPr>
        <w:tc>
          <w:tcPr>
            <w:tcW w:w="3380" w:type="dxa"/>
            <w:vAlign w:val="bottom"/>
          </w:tcPr>
          <w:p>
            <w:pPr>
              <w:ind w:left="900"/>
              <w:spacing w:after="0"/>
              <w:rPr>
                <w:sz w:val="20"/>
                <w:szCs w:val="20"/>
                <w:color w:val="auto"/>
              </w:rPr>
            </w:pPr>
            <w:r>
              <w:rPr>
                <w:rFonts w:ascii="Arial" w:cs="Arial" w:eastAsia="Arial" w:hAnsi="Arial"/>
                <w:sz w:val="22"/>
                <w:szCs w:val="22"/>
                <w:color w:val="auto"/>
              </w:rPr>
              <w:t>SECTION 3.01.</w:t>
            </w:r>
          </w:p>
        </w:tc>
        <w:tc>
          <w:tcPr>
            <w:tcW w:w="188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88"/>
              </w:rPr>
              <w:t>Organization; Powers</w:t>
            </w:r>
          </w:p>
        </w:tc>
        <w:tc>
          <w:tcPr>
            <w:tcW w:w="4400" w:type="dxa"/>
            <w:vAlign w:val="bottom"/>
            <w:gridSpan w:val="17"/>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3.02.</w:t>
            </w:r>
          </w:p>
        </w:tc>
        <w:tc>
          <w:tcPr>
            <w:tcW w:w="2560" w:type="dxa"/>
            <w:vAlign w:val="bottom"/>
            <w:tcBorders>
              <w:bottom w:val="single" w:sz="8" w:color="auto"/>
            </w:tcBorders>
            <w:gridSpan w:val="18"/>
          </w:tcPr>
          <w:p>
            <w:pPr>
              <w:spacing w:after="0"/>
              <w:rPr>
                <w:sz w:val="20"/>
                <w:szCs w:val="20"/>
                <w:color w:val="auto"/>
              </w:rPr>
            </w:pPr>
            <w:r>
              <w:rPr>
                <w:rFonts w:ascii="Arial" w:cs="Arial" w:eastAsia="Arial" w:hAnsi="Arial"/>
                <w:sz w:val="22"/>
                <w:szCs w:val="22"/>
                <w:color w:val="auto"/>
                <w:w w:val="93"/>
              </w:rPr>
              <w:t>Authorization; Enforceability</w:t>
            </w:r>
          </w:p>
        </w:tc>
        <w:tc>
          <w:tcPr>
            <w:tcW w:w="3720" w:type="dxa"/>
            <w:vAlign w:val="bottom"/>
            <w:gridSpan w:val="1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3.03.</w:t>
            </w:r>
          </w:p>
        </w:tc>
        <w:tc>
          <w:tcPr>
            <w:tcW w:w="342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91"/>
              </w:rPr>
              <w:t>Governmental Approvals; No Conflicts</w:t>
            </w:r>
          </w:p>
        </w:tc>
        <w:tc>
          <w:tcPr>
            <w:tcW w:w="2860" w:type="dxa"/>
            <w:vAlign w:val="bottom"/>
            <w:gridSpan w:val="7"/>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3.04.</w:t>
            </w:r>
          </w:p>
        </w:tc>
        <w:tc>
          <w:tcPr>
            <w:tcW w:w="6280" w:type="dxa"/>
            <w:vAlign w:val="bottom"/>
            <w:gridSpan w:val="30"/>
          </w:tcPr>
          <w:p>
            <w:pPr>
              <w:spacing w:after="0"/>
              <w:rPr>
                <w:sz w:val="20"/>
                <w:szCs w:val="20"/>
                <w:color w:val="auto"/>
              </w:rPr>
            </w:pPr>
            <w:r>
              <w:rPr>
                <w:rFonts w:ascii="Arial" w:cs="Arial" w:eastAsia="Arial" w:hAnsi="Arial"/>
                <w:sz w:val="22"/>
                <w:szCs w:val="22"/>
                <w:color w:val="auto"/>
              </w:rPr>
              <w:t>Financial Condition; No Material Adverse Change.</w:t>
            </w:r>
          </w:p>
        </w:tc>
        <w:tc>
          <w:tcPr>
            <w:tcW w:w="144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60" w:top="103" w:right="439" w:bottom="1440" w:gutter="0" w:footer="0" w:header="0"/>
        </w:sect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00"/>
          </w:cols>
          <w:pgMar w:left="360" w:top="103" w:right="4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3380" w:type="dxa"/>
            <w:vAlign w:val="bottom"/>
          </w:tcPr>
          <w:p>
            <w:pPr>
              <w:ind w:left="900"/>
              <w:spacing w:after="0"/>
              <w:rPr>
                <w:sz w:val="20"/>
                <w:szCs w:val="20"/>
                <w:color w:val="auto"/>
              </w:rPr>
            </w:pPr>
            <w:r>
              <w:rPr>
                <w:rFonts w:ascii="Arial" w:cs="Arial" w:eastAsia="Arial" w:hAnsi="Arial"/>
                <w:sz w:val="22"/>
                <w:szCs w:val="22"/>
                <w:color w:val="auto"/>
              </w:rPr>
              <w:t>SECTION 3.05.</w:t>
            </w:r>
          </w:p>
        </w:tc>
        <w:tc>
          <w:tcPr>
            <w:tcW w:w="6380" w:type="dxa"/>
            <w:vAlign w:val="bottom"/>
            <w:gridSpan w:val="25"/>
          </w:tcPr>
          <w:p>
            <w:pPr>
              <w:spacing w:after="0"/>
              <w:rPr>
                <w:sz w:val="20"/>
                <w:szCs w:val="20"/>
                <w:color w:val="auto"/>
              </w:rPr>
            </w:pPr>
            <w:r>
              <w:rPr>
                <w:rFonts w:ascii="Arial" w:cs="Arial" w:eastAsia="Arial" w:hAnsi="Arial"/>
                <w:sz w:val="22"/>
                <w:szCs w:val="22"/>
                <w:color w:val="auto"/>
              </w:rPr>
              <w:t>Properties.</w:t>
            </w:r>
          </w:p>
        </w:tc>
        <w:tc>
          <w:tcPr>
            <w:tcW w:w="1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0"/>
        </w:trPr>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3.06.</w:t>
            </w:r>
          </w:p>
        </w:tc>
        <w:tc>
          <w:tcPr>
            <w:tcW w:w="6380" w:type="dxa"/>
            <w:vAlign w:val="bottom"/>
            <w:gridSpan w:val="25"/>
          </w:tcPr>
          <w:p>
            <w:pPr>
              <w:spacing w:after="0"/>
              <w:rPr>
                <w:sz w:val="20"/>
                <w:szCs w:val="20"/>
                <w:color w:val="auto"/>
              </w:rPr>
            </w:pPr>
            <w:r>
              <w:rPr>
                <w:rFonts w:ascii="Arial" w:cs="Arial" w:eastAsia="Arial" w:hAnsi="Arial"/>
                <w:sz w:val="22"/>
                <w:szCs w:val="22"/>
                <w:color w:val="auto"/>
              </w:rPr>
              <w:t>Litigation and Environmental Matters.</w:t>
            </w:r>
          </w:p>
        </w:tc>
        <w:tc>
          <w:tcPr>
            <w:tcW w:w="1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0"/>
        </w:trPr>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3.07.</w:t>
            </w:r>
          </w:p>
        </w:tc>
        <w:tc>
          <w:tcPr>
            <w:tcW w:w="456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90"/>
              </w:rPr>
              <w:t>Compliance with Laws and Agreements; No Default</w:t>
            </w:r>
          </w:p>
        </w:tc>
        <w:tc>
          <w:tcPr>
            <w:tcW w:w="182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3.08.</w:t>
            </w:r>
          </w:p>
        </w:tc>
        <w:tc>
          <w:tcPr>
            <w:tcW w:w="244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7"/>
              </w:rPr>
              <w:t>Investment Company Status</w:t>
            </w:r>
          </w:p>
        </w:tc>
        <w:tc>
          <w:tcPr>
            <w:tcW w:w="3940" w:type="dxa"/>
            <w:vAlign w:val="bottom"/>
            <w:gridSpan w:val="11"/>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3.09.</w:t>
            </w:r>
          </w:p>
        </w:tc>
        <w:tc>
          <w:tcPr>
            <w:tcW w:w="6380" w:type="dxa"/>
            <w:vAlign w:val="bottom"/>
            <w:gridSpan w:val="25"/>
          </w:tcPr>
          <w:p>
            <w:pPr>
              <w:spacing w:after="0"/>
              <w:rPr>
                <w:sz w:val="20"/>
                <w:szCs w:val="20"/>
                <w:color w:val="auto"/>
              </w:rPr>
            </w:pPr>
            <w:r>
              <w:rPr>
                <w:rFonts w:ascii="Arial" w:cs="Arial" w:eastAsia="Arial" w:hAnsi="Arial"/>
                <w:sz w:val="22"/>
                <w:szCs w:val="22"/>
                <w:color w:val="auto"/>
              </w:rPr>
              <w:t>Taxes</w:t>
            </w:r>
          </w:p>
        </w:tc>
        <w:tc>
          <w:tcPr>
            <w:tcW w:w="1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3.10.</w:t>
            </w:r>
          </w:p>
        </w:tc>
        <w:tc>
          <w:tcPr>
            <w:tcW w:w="6380" w:type="dxa"/>
            <w:vAlign w:val="bottom"/>
            <w:gridSpan w:val="25"/>
          </w:tcPr>
          <w:p>
            <w:pPr>
              <w:spacing w:after="0"/>
              <w:rPr>
                <w:sz w:val="20"/>
                <w:szCs w:val="20"/>
                <w:color w:val="auto"/>
              </w:rPr>
            </w:pPr>
            <w:r>
              <w:rPr>
                <w:rFonts w:ascii="Arial" w:cs="Arial" w:eastAsia="Arial" w:hAnsi="Arial"/>
                <w:sz w:val="22"/>
                <w:szCs w:val="22"/>
                <w:color w:val="auto"/>
              </w:rPr>
              <w:t>ERISA</w:t>
            </w:r>
          </w:p>
        </w:tc>
        <w:tc>
          <w:tcPr>
            <w:tcW w:w="1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3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3.11.</w:t>
            </w:r>
          </w:p>
        </w:tc>
        <w:tc>
          <w:tcPr>
            <w:tcW w:w="6380" w:type="dxa"/>
            <w:vAlign w:val="bottom"/>
            <w:gridSpan w:val="25"/>
          </w:tcPr>
          <w:p>
            <w:pPr>
              <w:spacing w:after="0"/>
              <w:rPr>
                <w:sz w:val="20"/>
                <w:szCs w:val="20"/>
                <w:color w:val="auto"/>
              </w:rPr>
            </w:pPr>
            <w:r>
              <w:rPr>
                <w:rFonts w:ascii="Arial" w:cs="Arial" w:eastAsia="Arial" w:hAnsi="Arial"/>
                <w:sz w:val="22"/>
                <w:szCs w:val="22"/>
                <w:color w:val="auto"/>
              </w:rPr>
              <w:t>Disclosure</w:t>
            </w:r>
          </w:p>
        </w:tc>
        <w:tc>
          <w:tcPr>
            <w:tcW w:w="1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338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3.12.</w:t>
            </w:r>
          </w:p>
        </w:tc>
        <w:tc>
          <w:tcPr>
            <w:tcW w:w="184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89"/>
              </w:rPr>
              <w:t>Material Agreements</w:t>
            </w:r>
          </w:p>
        </w:tc>
        <w:tc>
          <w:tcPr>
            <w:tcW w:w="4540" w:type="dxa"/>
            <w:vAlign w:val="bottom"/>
            <w:gridSpan w:val="1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3.13.</w:t>
            </w:r>
          </w:p>
        </w:tc>
        <w:tc>
          <w:tcPr>
            <w:tcW w:w="6380" w:type="dxa"/>
            <w:vAlign w:val="bottom"/>
            <w:gridSpan w:val="25"/>
          </w:tcPr>
          <w:p>
            <w:pPr>
              <w:spacing w:after="0"/>
              <w:rPr>
                <w:sz w:val="20"/>
                <w:szCs w:val="20"/>
                <w:color w:val="auto"/>
              </w:rPr>
            </w:pPr>
            <w:r>
              <w:rPr>
                <w:rFonts w:ascii="Arial" w:cs="Arial" w:eastAsia="Arial" w:hAnsi="Arial"/>
                <w:sz w:val="22"/>
                <w:szCs w:val="22"/>
                <w:color w:val="auto"/>
              </w:rPr>
              <w:t>Solvency</w:t>
            </w:r>
          </w:p>
        </w:tc>
        <w:tc>
          <w:tcPr>
            <w:tcW w:w="13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338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3.14.</w:t>
            </w:r>
          </w:p>
        </w:tc>
        <w:tc>
          <w:tcPr>
            <w:tcW w:w="6380" w:type="dxa"/>
            <w:vAlign w:val="bottom"/>
            <w:gridSpan w:val="25"/>
          </w:tcPr>
          <w:p>
            <w:pPr>
              <w:spacing w:after="0"/>
              <w:rPr>
                <w:sz w:val="20"/>
                <w:szCs w:val="20"/>
                <w:color w:val="auto"/>
              </w:rPr>
            </w:pPr>
            <w:r>
              <w:rPr>
                <w:rFonts w:ascii="Arial" w:cs="Arial" w:eastAsia="Arial" w:hAnsi="Arial"/>
                <w:sz w:val="22"/>
                <w:szCs w:val="22"/>
                <w:color w:val="auto"/>
              </w:rPr>
              <w:t>Insurance</w:t>
            </w: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0"/>
        </w:trPr>
        <w:tc>
          <w:tcPr>
            <w:tcW w:w="3380" w:type="dxa"/>
            <w:vAlign w:val="bottom"/>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3.15.</w:t>
            </w:r>
          </w:p>
        </w:tc>
        <w:tc>
          <w:tcPr>
            <w:tcW w:w="270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89"/>
              </w:rPr>
              <w:t>Capitalization and Subsidiaries</w:t>
            </w:r>
          </w:p>
        </w:tc>
        <w:tc>
          <w:tcPr>
            <w:tcW w:w="368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3.16.</w:t>
            </w:r>
          </w:p>
        </w:tc>
        <w:tc>
          <w:tcPr>
            <w:tcW w:w="184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0"/>
              </w:rPr>
              <w:t>Employment Matters</w:t>
            </w:r>
          </w:p>
        </w:tc>
        <w:tc>
          <w:tcPr>
            <w:tcW w:w="4540" w:type="dxa"/>
            <w:vAlign w:val="bottom"/>
            <w:gridSpan w:val="1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3.17.</w:t>
            </w:r>
          </w:p>
        </w:tc>
        <w:tc>
          <w:tcPr>
            <w:tcW w:w="6380" w:type="dxa"/>
            <w:vAlign w:val="bottom"/>
            <w:gridSpan w:val="25"/>
          </w:tcPr>
          <w:p>
            <w:pPr>
              <w:spacing w:after="0"/>
              <w:rPr>
                <w:sz w:val="20"/>
                <w:szCs w:val="20"/>
                <w:color w:val="auto"/>
              </w:rPr>
            </w:pPr>
            <w:r>
              <w:rPr>
                <w:rFonts w:ascii="Arial" w:cs="Arial" w:eastAsia="Arial" w:hAnsi="Arial"/>
                <w:sz w:val="22"/>
                <w:szCs w:val="22"/>
                <w:color w:val="auto"/>
              </w:rPr>
              <w:t>Federal Reserve Regulations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3.18.</w:t>
            </w:r>
          </w:p>
        </w:tc>
        <w:tc>
          <w:tcPr>
            <w:tcW w:w="142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2"/>
                <w:szCs w:val="22"/>
                <w:color w:val="auto"/>
                <w:w w:val="86"/>
              </w:rPr>
              <w:t>Use of Proceeds</w:t>
            </w:r>
          </w:p>
        </w:tc>
        <w:tc>
          <w:tcPr>
            <w:tcW w:w="1060" w:type="dxa"/>
            <w:vAlign w:val="bottom"/>
            <w:tcBorders>
              <w:top w:val="single" w:sz="8" w:color="auto"/>
            </w:tcBorders>
            <w:gridSpan w:val="7"/>
          </w:tcPr>
          <w:p>
            <w:pPr>
              <w:spacing w:after="0"/>
              <w:rPr>
                <w:sz w:val="24"/>
                <w:szCs w:val="24"/>
                <w:color w:val="auto"/>
              </w:rPr>
            </w:pPr>
          </w:p>
        </w:tc>
        <w:tc>
          <w:tcPr>
            <w:tcW w:w="3900" w:type="dxa"/>
            <w:vAlign w:val="bottom"/>
            <w:gridSpan w:val="1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3.19.</w:t>
            </w:r>
          </w:p>
        </w:tc>
        <w:tc>
          <w:tcPr>
            <w:tcW w:w="250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88"/>
              </w:rPr>
              <w:t>No Burdensome Restrictions</w:t>
            </w:r>
          </w:p>
        </w:tc>
        <w:tc>
          <w:tcPr>
            <w:tcW w:w="3880" w:type="dxa"/>
            <w:vAlign w:val="bottom"/>
            <w:gridSpan w:val="9"/>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3.20.</w:t>
            </w:r>
          </w:p>
        </w:tc>
        <w:tc>
          <w:tcPr>
            <w:tcW w:w="6380" w:type="dxa"/>
            <w:vAlign w:val="bottom"/>
            <w:gridSpan w:val="25"/>
          </w:tcPr>
          <w:p>
            <w:pPr>
              <w:spacing w:after="0"/>
              <w:rPr>
                <w:sz w:val="20"/>
                <w:szCs w:val="20"/>
                <w:color w:val="auto"/>
              </w:rPr>
            </w:pPr>
            <w:r>
              <w:rPr>
                <w:rFonts w:ascii="Arial" w:cs="Arial" w:eastAsia="Arial" w:hAnsi="Arial"/>
                <w:sz w:val="22"/>
                <w:szCs w:val="22"/>
                <w:color w:val="auto"/>
              </w:rPr>
              <w:t>Anti-Corruption Laws and Sanctions</w:t>
            </w:r>
          </w:p>
        </w:tc>
        <w:tc>
          <w:tcPr>
            <w:tcW w:w="13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0"/>
        </w:trPr>
        <w:tc>
          <w:tcPr>
            <w:tcW w:w="338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3.21.</w:t>
            </w:r>
          </w:p>
        </w:tc>
        <w:tc>
          <w:tcPr>
            <w:tcW w:w="6380" w:type="dxa"/>
            <w:vAlign w:val="bottom"/>
            <w:gridSpan w:val="25"/>
          </w:tcPr>
          <w:p>
            <w:pPr>
              <w:spacing w:after="0"/>
              <w:rPr>
                <w:sz w:val="20"/>
                <w:szCs w:val="20"/>
                <w:color w:val="auto"/>
              </w:rPr>
            </w:pPr>
            <w:r>
              <w:rPr>
                <w:rFonts w:ascii="Arial" w:cs="Arial" w:eastAsia="Arial" w:hAnsi="Arial"/>
                <w:sz w:val="22"/>
                <w:szCs w:val="22"/>
                <w:color w:val="auto"/>
              </w:rPr>
              <w:t>Plan Assets; Prohibited Transactions.</w:t>
            </w:r>
          </w:p>
        </w:tc>
        <w:tc>
          <w:tcPr>
            <w:tcW w:w="1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35"/>
        </w:trPr>
        <w:tc>
          <w:tcPr>
            <w:tcW w:w="3380" w:type="dxa"/>
            <w:vAlign w:val="bottom"/>
          </w:tcPr>
          <w:p>
            <w:pPr>
              <w:spacing w:after="0"/>
              <w:rPr>
                <w:sz w:val="20"/>
                <w:szCs w:val="20"/>
                <w:color w:val="auto"/>
              </w:rPr>
            </w:pPr>
            <w:r>
              <w:rPr>
                <w:rFonts w:ascii="Arial" w:cs="Arial" w:eastAsia="Arial" w:hAnsi="Arial"/>
                <w:sz w:val="22"/>
                <w:szCs w:val="22"/>
                <w:color w:val="auto"/>
              </w:rPr>
              <w:t>ARTICLE IV CONDITIONS</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55"/>
        </w:trPr>
        <w:tc>
          <w:tcPr>
            <w:tcW w:w="3380" w:type="dxa"/>
            <w:vAlign w:val="bottom"/>
          </w:tcPr>
          <w:p>
            <w:pPr>
              <w:ind w:left="900"/>
              <w:spacing w:after="0"/>
              <w:rPr>
                <w:sz w:val="20"/>
                <w:szCs w:val="20"/>
                <w:color w:val="auto"/>
              </w:rPr>
            </w:pPr>
            <w:r>
              <w:rPr>
                <w:rFonts w:ascii="Arial" w:cs="Arial" w:eastAsia="Arial" w:hAnsi="Arial"/>
                <w:sz w:val="22"/>
                <w:szCs w:val="22"/>
                <w:color w:val="auto"/>
              </w:rPr>
              <w:t>SECTION 4.01.</w:t>
            </w:r>
          </w:p>
        </w:tc>
        <w:tc>
          <w:tcPr>
            <w:tcW w:w="126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0"/>
              </w:rPr>
              <w:t>Effective Date</w:t>
            </w:r>
          </w:p>
        </w:tc>
        <w:tc>
          <w:tcPr>
            <w:tcW w:w="5120" w:type="dxa"/>
            <w:vAlign w:val="bottom"/>
            <w:gridSpan w:val="19"/>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4.02.</w:t>
            </w:r>
          </w:p>
        </w:tc>
        <w:tc>
          <w:tcPr>
            <w:tcW w:w="6380" w:type="dxa"/>
            <w:vAlign w:val="bottom"/>
            <w:gridSpan w:val="25"/>
          </w:tcPr>
          <w:p>
            <w:pPr>
              <w:spacing w:after="0"/>
              <w:rPr>
                <w:sz w:val="20"/>
                <w:szCs w:val="20"/>
                <w:color w:val="auto"/>
              </w:rPr>
            </w:pPr>
            <w:r>
              <w:rPr>
                <w:rFonts w:ascii="Arial" w:cs="Arial" w:eastAsia="Arial" w:hAnsi="Arial"/>
                <w:sz w:val="22"/>
                <w:szCs w:val="22"/>
                <w:color w:val="auto"/>
              </w:rPr>
              <w:t>Each Credit Event</w:t>
            </w:r>
          </w:p>
        </w:tc>
        <w:tc>
          <w:tcPr>
            <w:tcW w:w="13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0"/>
        </w:trPr>
        <w:tc>
          <w:tcPr>
            <w:tcW w:w="338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5"/>
        </w:trPr>
        <w:tc>
          <w:tcPr>
            <w:tcW w:w="9760" w:type="dxa"/>
            <w:vAlign w:val="bottom"/>
            <w:gridSpan w:val="26"/>
          </w:tcPr>
          <w:p>
            <w:pPr>
              <w:spacing w:after="0"/>
              <w:rPr>
                <w:sz w:val="20"/>
                <w:szCs w:val="20"/>
                <w:color w:val="auto"/>
              </w:rPr>
            </w:pPr>
            <w:r>
              <w:rPr>
                <w:rFonts w:ascii="Arial" w:cs="Arial" w:eastAsia="Arial" w:hAnsi="Arial"/>
                <w:sz w:val="22"/>
                <w:szCs w:val="22"/>
                <w:color w:val="auto"/>
              </w:rPr>
              <w:t>ARTICLE V AFFIRMATIVE COVENANTS</w:t>
            </w:r>
          </w:p>
        </w:tc>
        <w:tc>
          <w:tcPr>
            <w:tcW w:w="13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5"/>
        </w:trPr>
        <w:tc>
          <w:tcPr>
            <w:tcW w:w="3380" w:type="dxa"/>
            <w:vAlign w:val="bottom"/>
          </w:tcPr>
          <w:p>
            <w:pPr>
              <w:ind w:left="900"/>
              <w:spacing w:after="0"/>
              <w:rPr>
                <w:sz w:val="20"/>
                <w:szCs w:val="20"/>
                <w:color w:val="auto"/>
              </w:rPr>
            </w:pPr>
            <w:r>
              <w:rPr>
                <w:rFonts w:ascii="Arial" w:cs="Arial" w:eastAsia="Arial" w:hAnsi="Arial"/>
                <w:sz w:val="22"/>
                <w:szCs w:val="22"/>
                <w:color w:val="auto"/>
              </w:rPr>
              <w:t>SECTION 5.01.</w:t>
            </w:r>
          </w:p>
        </w:tc>
        <w:tc>
          <w:tcPr>
            <w:tcW w:w="6380" w:type="dxa"/>
            <w:vAlign w:val="bottom"/>
            <w:gridSpan w:val="25"/>
          </w:tcPr>
          <w:p>
            <w:pPr>
              <w:spacing w:after="0"/>
              <w:rPr>
                <w:sz w:val="20"/>
                <w:szCs w:val="20"/>
                <w:color w:val="auto"/>
              </w:rPr>
            </w:pPr>
            <w:r>
              <w:rPr>
                <w:rFonts w:ascii="Arial" w:cs="Arial" w:eastAsia="Arial" w:hAnsi="Arial"/>
                <w:sz w:val="22"/>
                <w:szCs w:val="22"/>
                <w:color w:val="auto"/>
              </w:rPr>
              <w:t>Financial Statements; Other Information</w:t>
            </w:r>
          </w:p>
        </w:tc>
        <w:tc>
          <w:tcPr>
            <w:tcW w:w="13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5.02.</w:t>
            </w:r>
          </w:p>
        </w:tc>
        <w:tc>
          <w:tcPr>
            <w:tcW w:w="3500" w:type="dxa"/>
            <w:vAlign w:val="bottom"/>
            <w:tcBorders>
              <w:top w:val="single" w:sz="8" w:color="auto"/>
            </w:tcBorders>
            <w:gridSpan w:val="22"/>
          </w:tcPr>
          <w:p>
            <w:pPr>
              <w:spacing w:after="0"/>
              <w:rPr>
                <w:sz w:val="20"/>
                <w:szCs w:val="20"/>
                <w:color w:val="auto"/>
              </w:rPr>
            </w:pPr>
            <w:r>
              <w:rPr>
                <w:rFonts w:ascii="Arial" w:cs="Arial" w:eastAsia="Arial" w:hAnsi="Arial"/>
                <w:sz w:val="22"/>
                <w:szCs w:val="22"/>
                <w:color w:val="auto"/>
              </w:rPr>
              <w:t>Notices of Material Events</w:t>
            </w:r>
          </w:p>
        </w:tc>
        <w:tc>
          <w:tcPr>
            <w:tcW w:w="288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0"/>
        </w:trPr>
        <w:tc>
          <w:tcPr>
            <w:tcW w:w="338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5.03.</w:t>
            </w:r>
          </w:p>
        </w:tc>
        <w:tc>
          <w:tcPr>
            <w:tcW w:w="6380" w:type="dxa"/>
            <w:vAlign w:val="bottom"/>
            <w:gridSpan w:val="25"/>
          </w:tcPr>
          <w:p>
            <w:pPr>
              <w:spacing w:after="0"/>
              <w:rPr>
                <w:sz w:val="20"/>
                <w:szCs w:val="20"/>
                <w:color w:val="auto"/>
              </w:rPr>
            </w:pPr>
            <w:r>
              <w:rPr>
                <w:rFonts w:ascii="Arial" w:cs="Arial" w:eastAsia="Arial" w:hAnsi="Arial"/>
                <w:sz w:val="22"/>
                <w:szCs w:val="22"/>
                <w:color w:val="auto"/>
              </w:rPr>
              <w:t>Existence; Conduct of Business</w:t>
            </w:r>
          </w:p>
        </w:tc>
        <w:tc>
          <w:tcPr>
            <w:tcW w:w="13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5.04.</w:t>
            </w:r>
          </w:p>
        </w:tc>
        <w:tc>
          <w:tcPr>
            <w:tcW w:w="206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22"/>
                <w:szCs w:val="22"/>
                <w:color w:val="auto"/>
                <w:w w:val="89"/>
              </w:rPr>
              <w:t>Payment of Obligations</w:t>
            </w:r>
          </w:p>
        </w:tc>
        <w:tc>
          <w:tcPr>
            <w:tcW w:w="680" w:type="dxa"/>
            <w:vAlign w:val="bottom"/>
            <w:tcBorders>
              <w:top w:val="single" w:sz="8" w:color="auto"/>
            </w:tcBorders>
            <w:gridSpan w:val="7"/>
          </w:tcPr>
          <w:p>
            <w:pPr>
              <w:spacing w:after="0"/>
              <w:rPr>
                <w:sz w:val="24"/>
                <w:szCs w:val="24"/>
                <w:color w:val="auto"/>
              </w:rPr>
            </w:pPr>
          </w:p>
        </w:tc>
        <w:tc>
          <w:tcPr>
            <w:tcW w:w="364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5.05.</w:t>
            </w:r>
          </w:p>
        </w:tc>
        <w:tc>
          <w:tcPr>
            <w:tcW w:w="6380" w:type="dxa"/>
            <w:vAlign w:val="bottom"/>
            <w:gridSpan w:val="25"/>
          </w:tcPr>
          <w:p>
            <w:pPr>
              <w:spacing w:after="0"/>
              <w:rPr>
                <w:sz w:val="20"/>
                <w:szCs w:val="20"/>
                <w:color w:val="auto"/>
              </w:rPr>
            </w:pPr>
            <w:r>
              <w:rPr>
                <w:rFonts w:ascii="Arial" w:cs="Arial" w:eastAsia="Arial" w:hAnsi="Arial"/>
                <w:sz w:val="22"/>
                <w:szCs w:val="22"/>
                <w:color w:val="auto"/>
              </w:rPr>
              <w:t>Maintenance of Properties</w:t>
            </w:r>
          </w:p>
        </w:tc>
        <w:tc>
          <w:tcPr>
            <w:tcW w:w="13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0"/>
        </w:trPr>
        <w:tc>
          <w:tcPr>
            <w:tcW w:w="338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5.06.</w:t>
            </w:r>
          </w:p>
        </w:tc>
        <w:tc>
          <w:tcPr>
            <w:tcW w:w="332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8"/>
              </w:rPr>
              <w:t>Books and Records; Inspection Rights</w:t>
            </w:r>
          </w:p>
        </w:tc>
        <w:tc>
          <w:tcPr>
            <w:tcW w:w="306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5.07.</w:t>
            </w:r>
          </w:p>
        </w:tc>
        <w:tc>
          <w:tcPr>
            <w:tcW w:w="6380" w:type="dxa"/>
            <w:vAlign w:val="bottom"/>
            <w:gridSpan w:val="25"/>
          </w:tcPr>
          <w:p>
            <w:pPr>
              <w:spacing w:after="0"/>
              <w:rPr>
                <w:sz w:val="20"/>
                <w:szCs w:val="20"/>
                <w:color w:val="auto"/>
              </w:rPr>
            </w:pPr>
            <w:r>
              <w:rPr>
                <w:rFonts w:ascii="Arial" w:cs="Arial" w:eastAsia="Arial" w:hAnsi="Arial"/>
                <w:sz w:val="22"/>
                <w:szCs w:val="22"/>
                <w:color w:val="auto"/>
              </w:rPr>
              <w:t>Compliance with Laws and Material Contractual Obligations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5.08.</w:t>
            </w:r>
          </w:p>
        </w:tc>
        <w:tc>
          <w:tcPr>
            <w:tcW w:w="5280" w:type="dxa"/>
            <w:vAlign w:val="bottom"/>
            <w:tcBorders>
              <w:top w:val="single" w:sz="8" w:color="auto"/>
            </w:tcBorders>
            <w:gridSpan w:val="24"/>
          </w:tcPr>
          <w:p>
            <w:pPr>
              <w:spacing w:after="0"/>
              <w:rPr>
                <w:sz w:val="20"/>
                <w:szCs w:val="20"/>
                <w:color w:val="auto"/>
              </w:rPr>
            </w:pPr>
            <w:r>
              <w:rPr>
                <w:rFonts w:ascii="Arial" w:cs="Arial" w:eastAsia="Arial" w:hAnsi="Arial"/>
                <w:sz w:val="22"/>
                <w:szCs w:val="22"/>
                <w:color w:val="auto"/>
              </w:rPr>
              <w:t>Use of Proceeds.</w:t>
            </w:r>
          </w:p>
        </w:tc>
        <w:tc>
          <w:tcPr>
            <w:tcW w:w="1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0"/>
        </w:trPr>
        <w:tc>
          <w:tcPr>
            <w:tcW w:w="338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220" w:type="dxa"/>
            <w:vAlign w:val="bottom"/>
            <w:gridSpan w:val="1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85"/>
        </w:trPr>
        <w:tc>
          <w:tcPr>
            <w:tcW w:w="3380" w:type="dxa"/>
            <w:vAlign w:val="bottom"/>
          </w:tcPr>
          <w:p>
            <w:pPr>
              <w:ind w:left="900"/>
              <w:spacing w:after="0"/>
              <w:rPr>
                <w:sz w:val="20"/>
                <w:szCs w:val="20"/>
                <w:color w:val="auto"/>
              </w:rPr>
            </w:pPr>
            <w:r>
              <w:rPr>
                <w:rFonts w:ascii="Arial" w:cs="Arial" w:eastAsia="Arial" w:hAnsi="Arial"/>
                <w:sz w:val="22"/>
                <w:szCs w:val="22"/>
                <w:color w:val="auto"/>
              </w:rPr>
              <w:t>SECTION 5.09.</w:t>
            </w:r>
          </w:p>
        </w:tc>
        <w:tc>
          <w:tcPr>
            <w:tcW w:w="216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2"/>
              </w:rPr>
              <w:t>Accuracy of Information</w:t>
            </w:r>
          </w:p>
        </w:tc>
        <w:tc>
          <w:tcPr>
            <w:tcW w:w="4220" w:type="dxa"/>
            <w:vAlign w:val="bottom"/>
            <w:gridSpan w:val="1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50</w:t>
            </w:r>
          </w:p>
        </w:tc>
      </w:tr>
    </w:tbl>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00"/>
          </w:cols>
          <w:pgMar w:left="360" w:top="724"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3"/>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5.10.</w:t>
            </w:r>
          </w:p>
        </w:tc>
        <w:tc>
          <w:tcPr>
            <w:tcW w:w="6360" w:type="dxa"/>
            <w:vAlign w:val="bottom"/>
            <w:gridSpan w:val="27"/>
          </w:tcPr>
          <w:p>
            <w:pPr>
              <w:spacing w:after="0"/>
              <w:rPr>
                <w:sz w:val="20"/>
                <w:szCs w:val="20"/>
                <w:color w:val="auto"/>
              </w:rPr>
            </w:pPr>
            <w:r>
              <w:rPr>
                <w:rFonts w:ascii="Arial" w:cs="Arial" w:eastAsia="Arial" w:hAnsi="Arial"/>
                <w:sz w:val="22"/>
                <w:szCs w:val="22"/>
                <w:color w:val="auto"/>
              </w:rPr>
              <w:t>Insurance</w:t>
            </w:r>
          </w:p>
        </w:tc>
        <w:tc>
          <w:tcPr>
            <w:tcW w:w="13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0"/>
        </w:trPr>
        <w:tc>
          <w:tcPr>
            <w:tcW w:w="3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92"/>
              <w:spacing w:after="0"/>
              <w:rPr>
                <w:sz w:val="20"/>
                <w:szCs w:val="20"/>
                <w:color w:val="auto"/>
              </w:rPr>
            </w:pPr>
            <w:r>
              <w:rPr>
                <w:rFonts w:ascii="Arial" w:cs="Arial" w:eastAsia="Arial" w:hAnsi="Arial"/>
                <w:sz w:val="22"/>
                <w:szCs w:val="22"/>
                <w:color w:val="auto"/>
                <w:w w:val="90"/>
              </w:rPr>
              <w:t>SECTION 5.11.</w:t>
            </w:r>
          </w:p>
        </w:tc>
        <w:tc>
          <w:tcPr>
            <w:tcW w:w="6360" w:type="dxa"/>
            <w:vAlign w:val="bottom"/>
            <w:gridSpan w:val="27"/>
          </w:tcPr>
          <w:p>
            <w:pPr>
              <w:spacing w:after="0"/>
              <w:rPr>
                <w:sz w:val="20"/>
                <w:szCs w:val="20"/>
                <w:color w:val="auto"/>
              </w:rPr>
            </w:pPr>
            <w:r>
              <w:rPr>
                <w:rFonts w:ascii="Arial" w:cs="Arial" w:eastAsia="Arial" w:hAnsi="Arial"/>
                <w:sz w:val="22"/>
                <w:szCs w:val="22"/>
                <w:color w:val="auto"/>
              </w:rPr>
              <w:t>Material Licenses and Permits</w:t>
            </w:r>
          </w:p>
        </w:tc>
        <w:tc>
          <w:tcPr>
            <w:tcW w:w="13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5.12.</w:t>
            </w:r>
          </w:p>
        </w:tc>
        <w:tc>
          <w:tcPr>
            <w:tcW w:w="156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2"/>
                <w:szCs w:val="22"/>
                <w:color w:val="auto"/>
                <w:w w:val="89"/>
              </w:rPr>
              <w:t>Depository Banks</w:t>
            </w:r>
          </w:p>
        </w:tc>
        <w:tc>
          <w:tcPr>
            <w:tcW w:w="1060" w:type="dxa"/>
            <w:vAlign w:val="bottom"/>
            <w:tcBorders>
              <w:top w:val="single" w:sz="8" w:color="auto"/>
            </w:tcBorders>
            <w:gridSpan w:val="11"/>
          </w:tcPr>
          <w:p>
            <w:pPr>
              <w:spacing w:after="0"/>
              <w:rPr>
                <w:sz w:val="24"/>
                <w:szCs w:val="24"/>
                <w:color w:val="auto"/>
              </w:rPr>
            </w:pPr>
          </w:p>
        </w:tc>
        <w:tc>
          <w:tcPr>
            <w:tcW w:w="3740" w:type="dxa"/>
            <w:vAlign w:val="bottom"/>
            <w:gridSpan w:val="7"/>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5.13.</w:t>
            </w:r>
          </w:p>
        </w:tc>
        <w:tc>
          <w:tcPr>
            <w:tcW w:w="168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6"/>
              </w:rPr>
              <w:t>Further Assurances</w:t>
            </w:r>
          </w:p>
        </w:tc>
        <w:tc>
          <w:tcPr>
            <w:tcW w:w="4680" w:type="dxa"/>
            <w:vAlign w:val="bottom"/>
            <w:gridSpan w:val="16"/>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36"/>
        </w:trPr>
        <w:tc>
          <w:tcPr>
            <w:tcW w:w="9740" w:type="dxa"/>
            <w:vAlign w:val="bottom"/>
            <w:gridSpan w:val="28"/>
          </w:tcPr>
          <w:p>
            <w:pPr>
              <w:spacing w:after="0"/>
              <w:rPr>
                <w:sz w:val="20"/>
                <w:szCs w:val="20"/>
                <w:color w:val="auto"/>
              </w:rPr>
            </w:pPr>
            <w:r>
              <w:rPr>
                <w:rFonts w:ascii="Arial" w:cs="Arial" w:eastAsia="Arial" w:hAnsi="Arial"/>
                <w:sz w:val="22"/>
                <w:szCs w:val="22"/>
                <w:color w:val="auto"/>
              </w:rPr>
              <w:t>ARTICLE VI NEGATIVE COVENANTS</w:t>
            </w:r>
          </w:p>
        </w:tc>
        <w:tc>
          <w:tcPr>
            <w:tcW w:w="13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4"/>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6.01.</w:t>
            </w:r>
          </w:p>
        </w:tc>
        <w:tc>
          <w:tcPr>
            <w:tcW w:w="114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4"/>
              </w:rPr>
              <w:t>Indebtedness</w:t>
            </w:r>
          </w:p>
        </w:tc>
        <w:tc>
          <w:tcPr>
            <w:tcW w:w="5220" w:type="dxa"/>
            <w:vAlign w:val="bottom"/>
            <w:gridSpan w:val="20"/>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6.02.</w:t>
            </w:r>
          </w:p>
        </w:tc>
        <w:tc>
          <w:tcPr>
            <w:tcW w:w="6360" w:type="dxa"/>
            <w:vAlign w:val="bottom"/>
            <w:gridSpan w:val="27"/>
          </w:tcPr>
          <w:p>
            <w:pPr>
              <w:spacing w:after="0"/>
              <w:rPr>
                <w:sz w:val="20"/>
                <w:szCs w:val="20"/>
                <w:color w:val="auto"/>
              </w:rPr>
            </w:pPr>
            <w:r>
              <w:rPr>
                <w:rFonts w:ascii="Arial" w:cs="Arial" w:eastAsia="Arial" w:hAnsi="Arial"/>
                <w:sz w:val="22"/>
                <w:szCs w:val="22"/>
                <w:color w:val="auto"/>
              </w:rPr>
              <w:t>Liens</w:t>
            </w:r>
          </w:p>
        </w:tc>
        <w:tc>
          <w:tcPr>
            <w:tcW w:w="13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0"/>
        </w:trPr>
        <w:tc>
          <w:tcPr>
            <w:tcW w:w="3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6.03.</w:t>
            </w:r>
          </w:p>
        </w:tc>
        <w:tc>
          <w:tcPr>
            <w:tcW w:w="6360" w:type="dxa"/>
            <w:vAlign w:val="bottom"/>
            <w:gridSpan w:val="27"/>
          </w:tcPr>
          <w:p>
            <w:pPr>
              <w:spacing w:after="0"/>
              <w:rPr>
                <w:sz w:val="20"/>
                <w:szCs w:val="20"/>
                <w:color w:val="auto"/>
              </w:rPr>
            </w:pPr>
            <w:r>
              <w:rPr>
                <w:rFonts w:ascii="Arial" w:cs="Arial" w:eastAsia="Arial" w:hAnsi="Arial"/>
                <w:sz w:val="22"/>
                <w:szCs w:val="22"/>
                <w:color w:val="auto"/>
              </w:rPr>
              <w:t>Fundamental Changes.</w:t>
            </w:r>
          </w:p>
        </w:tc>
        <w:tc>
          <w:tcPr>
            <w:tcW w:w="13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0"/>
        </w:trPr>
        <w:tc>
          <w:tcPr>
            <w:tcW w:w="3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6.04.</w:t>
            </w:r>
          </w:p>
        </w:tc>
        <w:tc>
          <w:tcPr>
            <w:tcW w:w="524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8"/>
              </w:rPr>
              <w:t>Investments, Loans, Advances, Guarantees and Acquisitions</w:t>
            </w:r>
          </w:p>
        </w:tc>
        <w:tc>
          <w:tcPr>
            <w:tcW w:w="1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6.05.</w:t>
            </w:r>
          </w:p>
        </w:tc>
        <w:tc>
          <w:tcPr>
            <w:tcW w:w="10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4"/>
              </w:rPr>
              <w:t>Asset Sales</w:t>
            </w:r>
          </w:p>
        </w:tc>
        <w:tc>
          <w:tcPr>
            <w:tcW w:w="5360" w:type="dxa"/>
            <w:vAlign w:val="bottom"/>
            <w:gridSpan w:val="2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6.06.</w:t>
            </w:r>
          </w:p>
        </w:tc>
        <w:tc>
          <w:tcPr>
            <w:tcW w:w="286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5"/>
              </w:rPr>
              <w:t>Sale and Leaseback Transactions</w:t>
            </w:r>
          </w:p>
        </w:tc>
        <w:tc>
          <w:tcPr>
            <w:tcW w:w="3500" w:type="dxa"/>
            <w:vAlign w:val="bottom"/>
            <w:gridSpan w:val="6"/>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6.07.</w:t>
            </w:r>
          </w:p>
        </w:tc>
        <w:tc>
          <w:tcPr>
            <w:tcW w:w="6360" w:type="dxa"/>
            <w:vAlign w:val="bottom"/>
            <w:gridSpan w:val="27"/>
          </w:tcPr>
          <w:p>
            <w:pPr>
              <w:spacing w:after="0"/>
              <w:rPr>
                <w:sz w:val="20"/>
                <w:szCs w:val="20"/>
                <w:color w:val="auto"/>
              </w:rPr>
            </w:pPr>
            <w:r>
              <w:rPr>
                <w:rFonts w:ascii="Arial" w:cs="Arial" w:eastAsia="Arial" w:hAnsi="Arial"/>
                <w:sz w:val="22"/>
                <w:szCs w:val="22"/>
                <w:color w:val="auto"/>
              </w:rPr>
              <w:t>Swap Agreements</w:t>
            </w:r>
          </w:p>
        </w:tc>
        <w:tc>
          <w:tcPr>
            <w:tcW w:w="13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0"/>
        </w:trPr>
        <w:tc>
          <w:tcPr>
            <w:tcW w:w="3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6.08.</w:t>
            </w:r>
          </w:p>
        </w:tc>
        <w:tc>
          <w:tcPr>
            <w:tcW w:w="18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87"/>
              </w:rPr>
              <w:t>Restricted Payments</w:t>
            </w:r>
          </w:p>
        </w:tc>
        <w:tc>
          <w:tcPr>
            <w:tcW w:w="4560" w:type="dxa"/>
            <w:vAlign w:val="bottom"/>
            <w:gridSpan w:val="1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6.09.</w:t>
            </w:r>
          </w:p>
        </w:tc>
        <w:tc>
          <w:tcPr>
            <w:tcW w:w="6360" w:type="dxa"/>
            <w:vAlign w:val="bottom"/>
            <w:gridSpan w:val="27"/>
          </w:tcPr>
          <w:p>
            <w:pPr>
              <w:spacing w:after="0"/>
              <w:rPr>
                <w:sz w:val="20"/>
                <w:szCs w:val="20"/>
                <w:color w:val="auto"/>
              </w:rPr>
            </w:pPr>
            <w:r>
              <w:rPr>
                <w:rFonts w:ascii="Arial" w:cs="Arial" w:eastAsia="Arial" w:hAnsi="Arial"/>
                <w:sz w:val="22"/>
                <w:szCs w:val="22"/>
                <w:color w:val="auto"/>
              </w:rPr>
              <w:t>Transactions with Affiliates</w:t>
            </w:r>
          </w:p>
        </w:tc>
        <w:tc>
          <w:tcPr>
            <w:tcW w:w="13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6.10.</w:t>
            </w:r>
          </w:p>
        </w:tc>
        <w:tc>
          <w:tcPr>
            <w:tcW w:w="2040" w:type="dxa"/>
            <w:vAlign w:val="bottom"/>
            <w:tcBorders>
              <w:top w:val="single" w:sz="8" w:color="auto"/>
              <w:bottom w:val="single" w:sz="8" w:color="auto"/>
            </w:tcBorders>
            <w:gridSpan w:val="16"/>
          </w:tcPr>
          <w:p>
            <w:pPr>
              <w:spacing w:after="0"/>
              <w:rPr>
                <w:sz w:val="20"/>
                <w:szCs w:val="20"/>
                <w:color w:val="auto"/>
              </w:rPr>
            </w:pPr>
            <w:r>
              <w:rPr>
                <w:rFonts w:ascii="Arial" w:cs="Arial" w:eastAsia="Arial" w:hAnsi="Arial"/>
                <w:sz w:val="22"/>
                <w:szCs w:val="22"/>
                <w:color w:val="auto"/>
                <w:w w:val="88"/>
              </w:rPr>
              <w:t>Restrictive Agreements</w:t>
            </w:r>
          </w:p>
        </w:tc>
        <w:tc>
          <w:tcPr>
            <w:tcW w:w="360" w:type="dxa"/>
            <w:vAlign w:val="bottom"/>
            <w:tcBorders>
              <w:top w:val="single" w:sz="8" w:color="auto"/>
            </w:tcBorders>
            <w:gridSpan w:val="2"/>
          </w:tcPr>
          <w:p>
            <w:pPr>
              <w:spacing w:after="0"/>
              <w:rPr>
                <w:sz w:val="24"/>
                <w:szCs w:val="24"/>
                <w:color w:val="auto"/>
              </w:rPr>
            </w:pPr>
          </w:p>
        </w:tc>
        <w:tc>
          <w:tcPr>
            <w:tcW w:w="396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85"/>
        </w:trPr>
        <w:tc>
          <w:tcPr>
            <w:tcW w:w="3380" w:type="dxa"/>
            <w:vAlign w:val="bottom"/>
          </w:tcPr>
          <w:p>
            <w:pPr>
              <w:jc w:val="center"/>
              <w:ind w:right="92"/>
              <w:spacing w:after="0"/>
              <w:rPr>
                <w:sz w:val="20"/>
                <w:szCs w:val="20"/>
                <w:color w:val="auto"/>
              </w:rPr>
            </w:pPr>
            <w:r>
              <w:rPr>
                <w:rFonts w:ascii="Arial" w:cs="Arial" w:eastAsia="Arial" w:hAnsi="Arial"/>
                <w:sz w:val="22"/>
                <w:szCs w:val="22"/>
                <w:color w:val="auto"/>
                <w:w w:val="90"/>
              </w:rPr>
              <w:t>SECTION 6.11.</w:t>
            </w:r>
          </w:p>
        </w:tc>
        <w:tc>
          <w:tcPr>
            <w:tcW w:w="6360" w:type="dxa"/>
            <w:vAlign w:val="bottom"/>
            <w:gridSpan w:val="27"/>
          </w:tcPr>
          <w:p>
            <w:pPr>
              <w:spacing w:after="0"/>
              <w:rPr>
                <w:sz w:val="20"/>
                <w:szCs w:val="20"/>
                <w:color w:val="auto"/>
              </w:rPr>
            </w:pPr>
            <w:r>
              <w:rPr>
                <w:rFonts w:ascii="Arial" w:cs="Arial" w:eastAsia="Arial" w:hAnsi="Arial"/>
                <w:sz w:val="22"/>
                <w:szCs w:val="22"/>
                <w:color w:val="auto"/>
              </w:rPr>
              <w:t>Amendment of Material Documents</w:t>
            </w:r>
          </w:p>
        </w:tc>
        <w:tc>
          <w:tcPr>
            <w:tcW w:w="13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6.12.</w:t>
            </w:r>
          </w:p>
        </w:tc>
        <w:tc>
          <w:tcPr>
            <w:tcW w:w="178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22"/>
                <w:szCs w:val="22"/>
                <w:color w:val="auto"/>
                <w:w w:val="88"/>
              </w:rPr>
              <w:t>Financial Covenants</w:t>
            </w:r>
          </w:p>
        </w:tc>
        <w:tc>
          <w:tcPr>
            <w:tcW w:w="1340" w:type="dxa"/>
            <w:vAlign w:val="bottom"/>
            <w:tcBorders>
              <w:top w:val="single" w:sz="8" w:color="auto"/>
            </w:tcBorders>
            <w:gridSpan w:val="10"/>
          </w:tcPr>
          <w:p>
            <w:pPr>
              <w:spacing w:after="0"/>
              <w:rPr>
                <w:sz w:val="24"/>
                <w:szCs w:val="24"/>
                <w:color w:val="auto"/>
              </w:rPr>
            </w:pPr>
          </w:p>
        </w:tc>
        <w:tc>
          <w:tcPr>
            <w:tcW w:w="324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35"/>
        </w:trPr>
        <w:tc>
          <w:tcPr>
            <w:tcW w:w="9740" w:type="dxa"/>
            <w:vAlign w:val="bottom"/>
            <w:gridSpan w:val="28"/>
          </w:tcPr>
          <w:p>
            <w:pPr>
              <w:spacing w:after="0"/>
              <w:rPr>
                <w:sz w:val="20"/>
                <w:szCs w:val="20"/>
                <w:color w:val="auto"/>
              </w:rPr>
            </w:pPr>
            <w:r>
              <w:rPr>
                <w:rFonts w:ascii="Arial" w:cs="Arial" w:eastAsia="Arial" w:hAnsi="Arial"/>
                <w:sz w:val="22"/>
                <w:szCs w:val="22"/>
                <w:color w:val="auto"/>
              </w:rPr>
              <w:t>ARTICLE VII EVENTS OF DEFAULT</w:t>
            </w:r>
          </w:p>
        </w:tc>
        <w:tc>
          <w:tcPr>
            <w:tcW w:w="13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05"/>
        </w:trPr>
        <w:tc>
          <w:tcPr>
            <w:tcW w:w="3380" w:type="dxa"/>
            <w:vAlign w:val="bottom"/>
          </w:tcPr>
          <w:p>
            <w:pPr>
              <w:jc w:val="center"/>
              <w:ind w:right="92"/>
              <w:spacing w:after="0"/>
              <w:rPr>
                <w:sz w:val="20"/>
                <w:szCs w:val="20"/>
                <w:color w:val="auto"/>
              </w:rPr>
            </w:pPr>
            <w:r>
              <w:rPr>
                <w:rFonts w:ascii="Arial" w:cs="Arial" w:eastAsia="Arial" w:hAnsi="Arial"/>
                <w:sz w:val="22"/>
                <w:szCs w:val="22"/>
                <w:color w:val="auto"/>
                <w:w w:val="97"/>
              </w:rPr>
              <w:t>ARTICLE VIII MISCELLANEOUS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5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8.01.</w:t>
            </w:r>
          </w:p>
        </w:tc>
        <w:tc>
          <w:tcPr>
            <w:tcW w:w="6360" w:type="dxa"/>
            <w:vAlign w:val="bottom"/>
            <w:gridSpan w:val="27"/>
          </w:tcPr>
          <w:p>
            <w:pPr>
              <w:spacing w:after="0"/>
              <w:rPr>
                <w:sz w:val="20"/>
                <w:szCs w:val="20"/>
                <w:color w:val="auto"/>
              </w:rPr>
            </w:pPr>
            <w:r>
              <w:rPr>
                <w:rFonts w:ascii="Arial" w:cs="Arial" w:eastAsia="Arial" w:hAnsi="Arial"/>
                <w:sz w:val="22"/>
                <w:szCs w:val="22"/>
                <w:color w:val="auto"/>
              </w:rPr>
              <w:t>Notices.</w:t>
            </w:r>
          </w:p>
        </w:tc>
        <w:tc>
          <w:tcPr>
            <w:tcW w:w="13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0"/>
        </w:trPr>
        <w:tc>
          <w:tcPr>
            <w:tcW w:w="3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8.02.</w:t>
            </w:r>
          </w:p>
        </w:tc>
        <w:tc>
          <w:tcPr>
            <w:tcW w:w="6360" w:type="dxa"/>
            <w:vAlign w:val="bottom"/>
            <w:gridSpan w:val="27"/>
          </w:tcPr>
          <w:p>
            <w:pPr>
              <w:spacing w:after="0"/>
              <w:rPr>
                <w:sz w:val="20"/>
                <w:szCs w:val="20"/>
                <w:color w:val="auto"/>
              </w:rPr>
            </w:pPr>
            <w:r>
              <w:rPr>
                <w:rFonts w:ascii="Arial" w:cs="Arial" w:eastAsia="Arial" w:hAnsi="Arial"/>
                <w:sz w:val="22"/>
                <w:szCs w:val="22"/>
                <w:color w:val="auto"/>
              </w:rPr>
              <w:t>Waivers; Amendments.</w:t>
            </w:r>
          </w:p>
        </w:tc>
        <w:tc>
          <w:tcPr>
            <w:tcW w:w="13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0"/>
        </w:trPr>
        <w:tc>
          <w:tcPr>
            <w:tcW w:w="338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8.03.</w:t>
            </w:r>
          </w:p>
        </w:tc>
        <w:tc>
          <w:tcPr>
            <w:tcW w:w="6360" w:type="dxa"/>
            <w:vAlign w:val="bottom"/>
            <w:gridSpan w:val="27"/>
          </w:tcPr>
          <w:p>
            <w:pPr>
              <w:spacing w:after="0"/>
              <w:rPr>
                <w:sz w:val="20"/>
                <w:szCs w:val="20"/>
                <w:color w:val="auto"/>
              </w:rPr>
            </w:pPr>
            <w:r>
              <w:rPr>
                <w:rFonts w:ascii="Arial" w:cs="Arial" w:eastAsia="Arial" w:hAnsi="Arial"/>
                <w:sz w:val="22"/>
                <w:szCs w:val="22"/>
                <w:color w:val="auto"/>
              </w:rPr>
              <w:t>Expenses; Indemnity; Damage Waiver.</w:t>
            </w:r>
          </w:p>
        </w:tc>
        <w:tc>
          <w:tcPr>
            <w:tcW w:w="13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8.04.</w:t>
            </w:r>
          </w:p>
        </w:tc>
        <w:tc>
          <w:tcPr>
            <w:tcW w:w="3320" w:type="dxa"/>
            <w:vAlign w:val="bottom"/>
            <w:tcBorders>
              <w:top w:val="single" w:sz="8" w:color="auto"/>
            </w:tcBorders>
            <w:gridSpan w:val="23"/>
          </w:tcPr>
          <w:p>
            <w:pPr>
              <w:spacing w:after="0"/>
              <w:rPr>
                <w:sz w:val="20"/>
                <w:szCs w:val="20"/>
                <w:color w:val="auto"/>
              </w:rPr>
            </w:pPr>
            <w:r>
              <w:rPr>
                <w:rFonts w:ascii="Arial" w:cs="Arial" w:eastAsia="Arial" w:hAnsi="Arial"/>
                <w:sz w:val="22"/>
                <w:szCs w:val="22"/>
                <w:color w:val="auto"/>
              </w:rPr>
              <w:t>Successors and Assigns.</w:t>
            </w:r>
          </w:p>
        </w:tc>
        <w:tc>
          <w:tcPr>
            <w:tcW w:w="304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8.05.</w:t>
            </w:r>
          </w:p>
        </w:tc>
        <w:tc>
          <w:tcPr>
            <w:tcW w:w="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2"/>
                <w:szCs w:val="22"/>
                <w:color w:val="auto"/>
                <w:w w:val="91"/>
              </w:rPr>
              <w:t>Survival</w:t>
            </w:r>
          </w:p>
        </w:tc>
        <w:tc>
          <w:tcPr>
            <w:tcW w:w="1320" w:type="dxa"/>
            <w:vAlign w:val="bottom"/>
            <w:tcBorders>
              <w:top w:val="single" w:sz="8" w:color="auto"/>
            </w:tcBorders>
            <w:gridSpan w:val="14"/>
          </w:tcPr>
          <w:p>
            <w:pPr>
              <w:spacing w:after="0"/>
              <w:rPr>
                <w:sz w:val="24"/>
                <w:szCs w:val="24"/>
                <w:color w:val="auto"/>
              </w:rPr>
            </w:pPr>
          </w:p>
        </w:tc>
        <w:tc>
          <w:tcPr>
            <w:tcW w:w="430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8.06.</w:t>
            </w:r>
          </w:p>
        </w:tc>
        <w:tc>
          <w:tcPr>
            <w:tcW w:w="6360" w:type="dxa"/>
            <w:vAlign w:val="bottom"/>
            <w:gridSpan w:val="27"/>
          </w:tcPr>
          <w:p>
            <w:pPr>
              <w:spacing w:after="0"/>
              <w:rPr>
                <w:sz w:val="20"/>
                <w:szCs w:val="20"/>
                <w:color w:val="auto"/>
              </w:rPr>
            </w:pPr>
            <w:r>
              <w:rPr>
                <w:rFonts w:ascii="Arial" w:cs="Arial" w:eastAsia="Arial" w:hAnsi="Arial"/>
                <w:sz w:val="22"/>
                <w:szCs w:val="22"/>
                <w:color w:val="auto"/>
              </w:rPr>
              <w:t>Counterparts; Integration; Effectiveness.</w:t>
            </w:r>
          </w:p>
        </w:tc>
        <w:tc>
          <w:tcPr>
            <w:tcW w:w="13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8.07.</w:t>
            </w:r>
          </w:p>
        </w:tc>
        <w:tc>
          <w:tcPr>
            <w:tcW w:w="3460" w:type="dxa"/>
            <w:vAlign w:val="bottom"/>
            <w:tcBorders>
              <w:top w:val="single" w:sz="8" w:color="auto"/>
            </w:tcBorders>
            <w:gridSpan w:val="24"/>
          </w:tcPr>
          <w:p>
            <w:pPr>
              <w:spacing w:after="0"/>
              <w:rPr>
                <w:sz w:val="20"/>
                <w:szCs w:val="20"/>
                <w:color w:val="auto"/>
              </w:rPr>
            </w:pPr>
            <w:r>
              <w:rPr>
                <w:rFonts w:ascii="Arial" w:cs="Arial" w:eastAsia="Arial" w:hAnsi="Arial"/>
                <w:sz w:val="22"/>
                <w:szCs w:val="22"/>
                <w:color w:val="auto"/>
              </w:rPr>
              <w:t>Severability</w:t>
            </w:r>
          </w:p>
        </w:tc>
        <w:tc>
          <w:tcPr>
            <w:tcW w:w="290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0"/>
        </w:trPr>
        <w:tc>
          <w:tcPr>
            <w:tcW w:w="3380" w:type="dxa"/>
            <w:vAlign w:val="bottom"/>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8.08.</w:t>
            </w:r>
          </w:p>
        </w:tc>
        <w:tc>
          <w:tcPr>
            <w:tcW w:w="130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91"/>
              </w:rPr>
              <w:t>Right of Setoff</w:t>
            </w:r>
          </w:p>
        </w:tc>
        <w:tc>
          <w:tcPr>
            <w:tcW w:w="5060" w:type="dxa"/>
            <w:vAlign w:val="bottom"/>
            <w:gridSpan w:val="1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8.09.</w:t>
            </w:r>
          </w:p>
        </w:tc>
        <w:tc>
          <w:tcPr>
            <w:tcW w:w="6360" w:type="dxa"/>
            <w:vAlign w:val="bottom"/>
            <w:gridSpan w:val="27"/>
          </w:tcPr>
          <w:p>
            <w:pPr>
              <w:spacing w:after="0"/>
              <w:rPr>
                <w:sz w:val="20"/>
                <w:szCs w:val="20"/>
                <w:color w:val="auto"/>
              </w:rPr>
            </w:pPr>
            <w:r>
              <w:rPr>
                <w:rFonts w:ascii="Arial" w:cs="Arial" w:eastAsia="Arial" w:hAnsi="Arial"/>
                <w:sz w:val="22"/>
                <w:szCs w:val="22"/>
                <w:color w:val="auto"/>
              </w:rPr>
              <w:t>Governing Law; Jurisdiction; Consent to Service of Process.</w:t>
            </w:r>
          </w:p>
        </w:tc>
        <w:tc>
          <w:tcPr>
            <w:tcW w:w="13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85"/>
        </w:trPr>
        <w:tc>
          <w:tcPr>
            <w:tcW w:w="3380" w:type="dxa"/>
            <w:vAlign w:val="bottom"/>
          </w:tcPr>
          <w:p>
            <w:pPr>
              <w:jc w:val="center"/>
              <w:ind w:right="72"/>
              <w:spacing w:after="0"/>
              <w:rPr>
                <w:sz w:val="20"/>
                <w:szCs w:val="20"/>
                <w:color w:val="auto"/>
              </w:rPr>
            </w:pPr>
            <w:r>
              <w:rPr>
                <w:rFonts w:ascii="Arial" w:cs="Arial" w:eastAsia="Arial" w:hAnsi="Arial"/>
                <w:sz w:val="22"/>
                <w:szCs w:val="22"/>
                <w:color w:val="auto"/>
                <w:w w:val="91"/>
              </w:rPr>
              <w:t>SECTION 8.10.</w:t>
            </w:r>
          </w:p>
        </w:tc>
        <w:tc>
          <w:tcPr>
            <w:tcW w:w="5180" w:type="dxa"/>
            <w:vAlign w:val="bottom"/>
            <w:tcBorders>
              <w:top w:val="single" w:sz="8" w:color="auto"/>
            </w:tcBorders>
            <w:gridSpan w:val="25"/>
          </w:tcPr>
          <w:p>
            <w:pPr>
              <w:spacing w:after="0"/>
              <w:rPr>
                <w:sz w:val="20"/>
                <w:szCs w:val="20"/>
                <w:color w:val="auto"/>
              </w:rPr>
            </w:pPr>
            <w:r>
              <w:rPr>
                <w:rFonts w:ascii="Arial" w:cs="Arial" w:eastAsia="Arial" w:hAnsi="Arial"/>
                <w:sz w:val="22"/>
                <w:szCs w:val="22"/>
                <w:color w:val="auto"/>
              </w:rPr>
              <w:t>WAIVER OF JURY TRIAL</w:t>
            </w:r>
          </w:p>
        </w:tc>
        <w:tc>
          <w:tcPr>
            <w:tcW w:w="118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85"/>
        </w:trPr>
        <w:tc>
          <w:tcPr>
            <w:tcW w:w="3380" w:type="dxa"/>
            <w:vAlign w:val="bottom"/>
          </w:tcPr>
          <w:p>
            <w:pPr>
              <w:jc w:val="center"/>
              <w:ind w:right="92"/>
              <w:spacing w:after="0"/>
              <w:rPr>
                <w:sz w:val="20"/>
                <w:szCs w:val="20"/>
                <w:color w:val="auto"/>
              </w:rPr>
            </w:pPr>
            <w:r>
              <w:rPr>
                <w:rFonts w:ascii="Arial" w:cs="Arial" w:eastAsia="Arial" w:hAnsi="Arial"/>
                <w:sz w:val="22"/>
                <w:szCs w:val="22"/>
                <w:color w:val="auto"/>
                <w:w w:val="90"/>
              </w:rPr>
              <w:t>SECTION 8.11.</w:t>
            </w:r>
          </w:p>
        </w:tc>
        <w:tc>
          <w:tcPr>
            <w:tcW w:w="8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2"/>
                <w:szCs w:val="22"/>
                <w:color w:val="auto"/>
                <w:w w:val="86"/>
              </w:rPr>
              <w:t>Headings</w:t>
            </w:r>
          </w:p>
        </w:tc>
        <w:tc>
          <w:tcPr>
            <w:tcW w:w="1600" w:type="dxa"/>
            <w:vAlign w:val="bottom"/>
            <w:tcBorders>
              <w:top w:val="single" w:sz="8" w:color="auto"/>
            </w:tcBorders>
            <w:gridSpan w:val="15"/>
          </w:tcPr>
          <w:p>
            <w:pPr>
              <w:spacing w:after="0"/>
              <w:rPr>
                <w:sz w:val="24"/>
                <w:szCs w:val="24"/>
                <w:color w:val="auto"/>
              </w:rPr>
            </w:pPr>
          </w:p>
        </w:tc>
        <w:tc>
          <w:tcPr>
            <w:tcW w:w="3920" w:type="dxa"/>
            <w:vAlign w:val="bottom"/>
            <w:gridSpan w:val="8"/>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72</w:t>
            </w:r>
          </w:p>
        </w:tc>
      </w:tr>
    </w:tbl>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00"/>
          </w:cols>
          <w:pgMar w:left="360" w:top="724" w:right="439" w:bottom="1440" w:gutter="0" w:footer="0" w:header="0"/>
        </w:sectPr>
      </w:pPr>
    </w:p>
    <w:bookmarkStart w:id="37" w:name="page38"/>
    <w:bookmarkEnd w:id="37"/>
    <w:tbl>
      <w:tblPr>
        <w:tblLayout w:type="fixed"/>
        <w:tblInd w:w="940" w:type="dxa"/>
        <w:tblCellMar>
          <w:top w:w="0" w:type="dxa"/>
          <w:left w:w="0" w:type="dxa"/>
          <w:bottom w:w="0" w:type="dxa"/>
          <w:right w:w="0" w:type="dxa"/>
        </w:tblCellMar>
      </w:tblPr>
      <w:tr>
        <w:trPr>
          <w:trHeight w:val="253"/>
        </w:trPr>
        <w:tc>
          <w:tcPr>
            <w:tcW w:w="2480" w:type="dxa"/>
            <w:vAlign w:val="bottom"/>
          </w:tcPr>
          <w:p>
            <w:pPr>
              <w:spacing w:after="0"/>
              <w:rPr>
                <w:sz w:val="20"/>
                <w:szCs w:val="20"/>
                <w:color w:val="auto"/>
              </w:rPr>
            </w:pPr>
            <w:r>
              <w:rPr>
                <w:rFonts w:ascii="Arial" w:cs="Arial" w:eastAsia="Arial" w:hAnsi="Arial"/>
                <w:sz w:val="22"/>
                <w:szCs w:val="22"/>
                <w:color w:val="auto"/>
              </w:rPr>
              <w:t>SECTION 8.12.</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4"/>
              </w:rPr>
              <w:t>Confidentiality</w:t>
            </w:r>
          </w:p>
        </w:tc>
        <w:tc>
          <w:tcPr>
            <w:tcW w:w="3160" w:type="dxa"/>
            <w:vAlign w:val="bottom"/>
            <w:gridSpan w:val="5"/>
          </w:tcPr>
          <w:p>
            <w:pPr>
              <w:spacing w:after="0"/>
              <w:rPr>
                <w:sz w:val="21"/>
                <w:szCs w:val="21"/>
                <w:color w:val="auto"/>
              </w:rPr>
            </w:pPr>
          </w:p>
        </w:tc>
        <w:tc>
          <w:tcPr>
            <w:tcW w:w="32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8.13.</w:t>
            </w:r>
          </w:p>
        </w:tc>
        <w:tc>
          <w:tcPr>
            <w:tcW w:w="4480" w:type="dxa"/>
            <w:vAlign w:val="bottom"/>
            <w:gridSpan w:val="7"/>
          </w:tcPr>
          <w:p>
            <w:pPr>
              <w:spacing w:after="0"/>
              <w:rPr>
                <w:sz w:val="20"/>
                <w:szCs w:val="20"/>
                <w:color w:val="auto"/>
              </w:rPr>
            </w:pPr>
            <w:r>
              <w:rPr>
                <w:rFonts w:ascii="Arial" w:cs="Arial" w:eastAsia="Arial" w:hAnsi="Arial"/>
                <w:sz w:val="22"/>
                <w:szCs w:val="22"/>
                <w:color w:val="auto"/>
              </w:rPr>
              <w:t>Nonreliance; Violation of Law</w:t>
            </w:r>
          </w:p>
        </w:tc>
        <w:tc>
          <w:tcPr>
            <w:tcW w:w="32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8.14.</w:t>
            </w:r>
          </w:p>
        </w:tc>
        <w:tc>
          <w:tcPr>
            <w:tcW w:w="26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USA PATRIOT Act</w:t>
            </w:r>
          </w:p>
        </w:tc>
        <w:tc>
          <w:tcPr>
            <w:tcW w:w="1840" w:type="dxa"/>
            <w:vAlign w:val="bottom"/>
            <w:gridSpan w:val="2"/>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8.15.</w:t>
            </w: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Disclosure</w:t>
            </w:r>
          </w:p>
        </w:tc>
        <w:tc>
          <w:tcPr>
            <w:tcW w:w="2760" w:type="dxa"/>
            <w:vAlign w:val="bottom"/>
            <w:gridSpan w:val="4"/>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0"/>
        </w:trPr>
        <w:tc>
          <w:tcPr>
            <w:tcW w:w="2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8.16.</w:t>
            </w:r>
          </w:p>
        </w:tc>
        <w:tc>
          <w:tcPr>
            <w:tcW w:w="4480" w:type="dxa"/>
            <w:vAlign w:val="bottom"/>
            <w:gridSpan w:val="7"/>
          </w:tcPr>
          <w:p>
            <w:pPr>
              <w:spacing w:after="0"/>
              <w:rPr>
                <w:sz w:val="20"/>
                <w:szCs w:val="20"/>
                <w:color w:val="auto"/>
              </w:rPr>
            </w:pPr>
            <w:r>
              <w:rPr>
                <w:rFonts w:ascii="Arial" w:cs="Arial" w:eastAsia="Arial" w:hAnsi="Arial"/>
                <w:sz w:val="22"/>
                <w:szCs w:val="22"/>
                <w:color w:val="auto"/>
              </w:rPr>
              <w:t>Interest Rate Limitation</w:t>
            </w:r>
          </w:p>
        </w:tc>
        <w:tc>
          <w:tcPr>
            <w:tcW w:w="32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0"/>
        </w:trPr>
        <w:tc>
          <w:tcPr>
            <w:tcW w:w="2480" w:type="dxa"/>
            <w:vAlign w:val="bottom"/>
          </w:tcPr>
          <w:p>
            <w:pPr>
              <w:spacing w:after="0" w:line="20" w:lineRule="exact"/>
              <w:rPr>
                <w:sz w:val="1"/>
                <w:szCs w:val="1"/>
                <w:color w:val="auto"/>
              </w:rPr>
            </w:pPr>
          </w:p>
        </w:tc>
        <w:tc>
          <w:tcPr>
            <w:tcW w:w="2060" w:type="dxa"/>
            <w:vAlign w:val="bottom"/>
            <w:gridSpan w:val="4"/>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8.17.</w:t>
            </w:r>
          </w:p>
        </w:tc>
        <w:tc>
          <w:tcPr>
            <w:tcW w:w="4480" w:type="dxa"/>
            <w:vAlign w:val="bottom"/>
            <w:gridSpan w:val="7"/>
          </w:tcPr>
          <w:p>
            <w:pPr>
              <w:spacing w:after="0"/>
              <w:rPr>
                <w:sz w:val="20"/>
                <w:szCs w:val="20"/>
                <w:color w:val="auto"/>
              </w:rPr>
            </w:pPr>
            <w:r>
              <w:rPr>
                <w:rFonts w:ascii="Arial" w:cs="Arial" w:eastAsia="Arial" w:hAnsi="Arial"/>
                <w:sz w:val="22"/>
                <w:szCs w:val="22"/>
                <w:color w:val="auto"/>
              </w:rPr>
              <w:t>No Advisory or Fiduciary Responsibility</w:t>
            </w:r>
          </w:p>
        </w:tc>
        <w:tc>
          <w:tcPr>
            <w:tcW w:w="32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0"/>
        </w:trPr>
        <w:tc>
          <w:tcPr>
            <w:tcW w:w="2480" w:type="dxa"/>
            <w:vAlign w:val="bottom"/>
          </w:tcPr>
          <w:p>
            <w:pPr>
              <w:spacing w:after="0" w:line="20" w:lineRule="exact"/>
              <w:rPr>
                <w:sz w:val="1"/>
                <w:szCs w:val="1"/>
                <w:color w:val="auto"/>
              </w:rPr>
            </w:pPr>
          </w:p>
        </w:tc>
        <w:tc>
          <w:tcPr>
            <w:tcW w:w="3540" w:type="dxa"/>
            <w:vAlign w:val="bottom"/>
            <w:gridSpan w:val="6"/>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85"/>
        </w:trPr>
        <w:tc>
          <w:tcPr>
            <w:tcW w:w="2480" w:type="dxa"/>
            <w:vAlign w:val="bottom"/>
          </w:tcPr>
          <w:p>
            <w:pPr>
              <w:spacing w:after="0"/>
              <w:rPr>
                <w:sz w:val="20"/>
                <w:szCs w:val="20"/>
                <w:color w:val="auto"/>
              </w:rPr>
            </w:pPr>
            <w:r>
              <w:rPr>
                <w:rFonts w:ascii="Arial" w:cs="Arial" w:eastAsia="Arial" w:hAnsi="Arial"/>
                <w:sz w:val="22"/>
                <w:szCs w:val="22"/>
                <w:color w:val="auto"/>
              </w:rPr>
              <w:t>SECTION 8.18.</w:t>
            </w:r>
          </w:p>
        </w:tc>
        <w:tc>
          <w:tcPr>
            <w:tcW w:w="448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9"/>
              </w:rPr>
              <w:t>Acknowledgment Regarding Any Supported QFCs.</w:t>
            </w:r>
          </w:p>
        </w:tc>
        <w:tc>
          <w:tcPr>
            <w:tcW w:w="3240" w:type="dxa"/>
            <w:vAlign w:val="bottom"/>
          </w:tcPr>
          <w:p>
            <w:pPr>
              <w:jc w:val="right"/>
              <w:spacing w:after="0"/>
              <w:rPr>
                <w:sz w:val="20"/>
                <w:szCs w:val="20"/>
                <w:color w:val="auto"/>
              </w:rPr>
            </w:pPr>
            <w:r>
              <w:rPr>
                <w:rFonts w:ascii="Arial" w:cs="Arial" w:eastAsia="Arial" w:hAnsi="Arial"/>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Schedule 3.06 – Disclosed Matters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3.12 – Material Agreements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3.15 – Capitalization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6.01 – Existing Indebtedness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6.02 – Existing Liens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6.04 – Existing 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6.10 – Existing Restrictions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 Borrowing Request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B - Compliance Certificate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140"/>
          </w:cols>
          <w:pgMar w:left="320" w:top="724" w:right="439" w:bottom="1440" w:gutter="0" w:footer="0" w:header="0"/>
        </w:sectPr>
      </w:pPr>
    </w:p>
    <w:bookmarkStart w:id="38" w:name="page39"/>
    <w:bookmarkEnd w:id="38"/>
    <w:p>
      <w:pPr>
        <w:jc w:val="both"/>
        <w:ind w:right="20" w:firstLine="648"/>
        <w:spacing w:after="0" w:line="287" w:lineRule="auto"/>
        <w:rPr>
          <w:sz w:val="20"/>
          <w:szCs w:val="20"/>
          <w:color w:val="auto"/>
        </w:rPr>
      </w:pPr>
      <w:r>
        <w:rPr>
          <w:rFonts w:ascii="Arial" w:cs="Arial" w:eastAsia="Arial" w:hAnsi="Arial"/>
          <w:sz w:val="21"/>
          <w:szCs w:val="21"/>
          <w:color w:val="auto"/>
        </w:rPr>
        <w:t>CREDIT AGREEMENT dated as of May 11, 2020 (as it may be amended or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between SAN JOSE WATER COMPANY, as Borrower, and JPMORGAN CHASE BANK, N.A., as Lender.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27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xml:space="preserve">” means Indebtedness of a Person whose assets or Equity Interests are acquired by Borrower or any of its Subsidiaries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Indebtedness (a) is either purchase money Indebtedness or a Capital Lease Obligation with respect to equipment or mortgage financing with respect to real property and any Lien related thereto does not secure any other assets, (b) was in existence prior to the date of such Permitted Acquisition, and (c) was not incurred in connection with, or in contemplation of, such Permitted Acquisition.</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any series of related transactions, consummated on or after the Effective Date, by which the Borrower (a) acquires any ongoing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4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specified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Base Rate</w:t>
      </w:r>
      <w:r>
        <w:rPr>
          <w:rFonts w:ascii="Arial" w:cs="Arial" w:eastAsia="Arial" w:hAnsi="Arial"/>
          <w:sz w:val="22"/>
          <w:szCs w:val="22"/>
          <w:color w:val="auto"/>
        </w:rPr>
        <w:t>” means, for any day, a rate per annum equal to the greatest of (a) the Prime Rate in effect on such day, (b) the NYFRB Rate in effect on such day plus ½ of 1%, and (c)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604"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21"/>
          <w:szCs w:val="21"/>
          <w:color w:val="auto"/>
        </w:rPr>
        <w:t>the Adjusted LIBO Rate for a one-month Interest Period on such day (or if such day is not a Business Day, the immediately preceding Business Day) plus 1%, provided that, the Adjusted LIBO Rate for any day shall be based on the LIBO Rate at approximately 11:00 a.m. London time on such day, subject to the interest rate floors set forth therein.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hereof, then the Alternate Base Rate shall be the greater of clause (a) and (b) above and shall be determined without reference to clause (c) above. For the avoidance of doubt, if the Alternate Base Rate as determined pursuant to the foregoing would be less than 1.50%, such rate shall be deemed to be 1.50% for purposes of this Agreement.</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 or its Affiliates from time to time concerning or relating to bribery or corruption.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Loan, or with respect to the commitment fees payable hereunder, as the case may be, the applicable rate per annum set forth below under the caption “Eurodollar Rate Spread”, “ABR Rate Spread” or “Commitment Fee Rate,” as the case may be, based upon the Credit Rating as set forth below:</w:t>
      </w:r>
    </w:p>
    <w:p>
      <w:pPr>
        <w:spacing w:after="0" w:line="256" w:lineRule="exact"/>
        <w:rPr>
          <w:sz w:val="20"/>
          <w:szCs w:val="20"/>
          <w:color w:val="auto"/>
        </w:rPr>
      </w:pPr>
    </w:p>
    <w:tbl>
      <w:tblPr>
        <w:tblLayout w:type="fixed"/>
        <w:tblInd w:w="970" w:type="dxa"/>
        <w:tblCellMar>
          <w:top w:w="0" w:type="dxa"/>
          <w:left w:w="0" w:type="dxa"/>
          <w:bottom w:w="0" w:type="dxa"/>
          <w:right w:w="0" w:type="dxa"/>
        </w:tblCellMar>
      </w:tblPr>
      <w:tr>
        <w:trPr>
          <w:trHeight w:val="262"/>
        </w:trPr>
        <w:tc>
          <w:tcPr>
            <w:tcW w:w="188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3"/>
              </w:rPr>
              <w:t>Pricing Level</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Credit Rating</w:t>
            </w:r>
          </w:p>
        </w:tc>
        <w:tc>
          <w:tcPr>
            <w:tcW w:w="18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Eurodollar Rate</w:t>
            </w:r>
          </w:p>
        </w:tc>
        <w:tc>
          <w:tcPr>
            <w:tcW w:w="186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ABR Rate Spread</w:t>
            </w:r>
          </w:p>
        </w:tc>
        <w:tc>
          <w:tcPr>
            <w:tcW w:w="1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Commitment Fee</w:t>
            </w:r>
          </w:p>
        </w:tc>
        <w:tc>
          <w:tcPr>
            <w:tcW w:w="0" w:type="dxa"/>
            <w:vAlign w:val="bottom"/>
          </w:tcPr>
          <w:p>
            <w:pPr>
              <w:spacing w:after="0"/>
              <w:rPr>
                <w:sz w:val="1"/>
                <w:szCs w:val="1"/>
                <w:color w:val="auto"/>
              </w:rPr>
            </w:pPr>
          </w:p>
        </w:tc>
      </w:tr>
      <w:tr>
        <w:trPr>
          <w:trHeight w:val="153"/>
        </w:trPr>
        <w:tc>
          <w:tcPr>
            <w:tcW w:w="1880" w:type="dxa"/>
            <w:vAlign w:val="bottom"/>
            <w:tcBorders>
              <w:left w:val="single" w:sz="8" w:color="00000A"/>
              <w:right w:val="single" w:sz="8" w:color="00000A"/>
            </w:tcBorders>
            <w:vMerge w:val="continue"/>
          </w:tcPr>
          <w:p>
            <w:pPr>
              <w:spacing w:after="0"/>
              <w:rPr>
                <w:sz w:val="13"/>
                <w:szCs w:val="13"/>
                <w:color w:val="auto"/>
              </w:rPr>
            </w:pPr>
          </w:p>
        </w:tc>
        <w:tc>
          <w:tcPr>
            <w:tcW w:w="1880" w:type="dxa"/>
            <w:vAlign w:val="bottom"/>
            <w:tcBorders>
              <w:right w:val="single" w:sz="8" w:color="00000A"/>
            </w:tcBorders>
            <w:vMerge w:val="continue"/>
          </w:tcPr>
          <w:p>
            <w:pPr>
              <w:spacing w:after="0"/>
              <w:rPr>
                <w:sz w:val="13"/>
                <w:szCs w:val="13"/>
                <w:color w:val="auto"/>
              </w:rPr>
            </w:pPr>
          </w:p>
        </w:tc>
        <w:tc>
          <w:tcPr>
            <w:tcW w:w="18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4"/>
              </w:rPr>
              <w:t>Spread</w:t>
            </w:r>
          </w:p>
        </w:tc>
        <w:tc>
          <w:tcPr>
            <w:tcW w:w="1860" w:type="dxa"/>
            <w:vAlign w:val="bottom"/>
            <w:tcBorders>
              <w:right w:val="single" w:sz="8" w:color="00000A"/>
            </w:tcBorders>
            <w:vMerge w:val="continue"/>
          </w:tcPr>
          <w:p>
            <w:pPr>
              <w:spacing w:after="0"/>
              <w:rPr>
                <w:sz w:val="13"/>
                <w:szCs w:val="13"/>
                <w:color w:val="auto"/>
              </w:rPr>
            </w:pPr>
          </w:p>
        </w:tc>
        <w:tc>
          <w:tcPr>
            <w:tcW w:w="18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5"/>
              </w:rPr>
              <w:t>Rate</w:t>
            </w:r>
          </w:p>
        </w:tc>
        <w:tc>
          <w:tcPr>
            <w:tcW w:w="0" w:type="dxa"/>
            <w:vAlign w:val="bottom"/>
          </w:tcPr>
          <w:p>
            <w:pPr>
              <w:spacing w:after="0"/>
              <w:rPr>
                <w:sz w:val="1"/>
                <w:szCs w:val="1"/>
                <w:color w:val="auto"/>
              </w:rPr>
            </w:pPr>
          </w:p>
        </w:tc>
      </w:tr>
      <w:tr>
        <w:trPr>
          <w:trHeight w:val="132"/>
        </w:trPr>
        <w:tc>
          <w:tcPr>
            <w:tcW w:w="1880" w:type="dxa"/>
            <w:vAlign w:val="bottom"/>
            <w:tcBorders>
              <w:left w:val="single" w:sz="8" w:color="00000A"/>
              <w:bottom w:val="single" w:sz="8" w:color="00000A"/>
              <w:right w:val="single" w:sz="8" w:color="00000A"/>
            </w:tcBorders>
          </w:tcPr>
          <w:p>
            <w:pPr>
              <w:spacing w:after="0"/>
              <w:rPr>
                <w:sz w:val="11"/>
                <w:szCs w:val="11"/>
                <w:color w:val="auto"/>
              </w:rPr>
            </w:pPr>
          </w:p>
        </w:tc>
        <w:tc>
          <w:tcPr>
            <w:tcW w:w="1880" w:type="dxa"/>
            <w:vAlign w:val="bottom"/>
            <w:tcBorders>
              <w:bottom w:val="single" w:sz="8" w:color="00000A"/>
              <w:right w:val="single" w:sz="8" w:color="00000A"/>
            </w:tcBorders>
          </w:tcPr>
          <w:p>
            <w:pPr>
              <w:spacing w:after="0"/>
              <w:rPr>
                <w:sz w:val="11"/>
                <w:szCs w:val="11"/>
                <w:color w:val="auto"/>
              </w:rPr>
            </w:pPr>
          </w:p>
        </w:tc>
        <w:tc>
          <w:tcPr>
            <w:tcW w:w="1880" w:type="dxa"/>
            <w:vAlign w:val="bottom"/>
            <w:tcBorders>
              <w:bottom w:val="single" w:sz="8" w:color="00000A"/>
              <w:right w:val="single" w:sz="8" w:color="00000A"/>
            </w:tcBorders>
            <w:vMerge w:val="continue"/>
          </w:tcPr>
          <w:p>
            <w:pPr>
              <w:spacing w:after="0"/>
              <w:rPr>
                <w:sz w:val="11"/>
                <w:szCs w:val="11"/>
                <w:color w:val="auto"/>
              </w:rPr>
            </w:pPr>
          </w:p>
        </w:tc>
        <w:tc>
          <w:tcPr>
            <w:tcW w:w="1860" w:type="dxa"/>
            <w:vAlign w:val="bottom"/>
            <w:tcBorders>
              <w:bottom w:val="single" w:sz="8" w:color="00000A"/>
              <w:right w:val="single" w:sz="8" w:color="00000A"/>
            </w:tcBorders>
          </w:tcPr>
          <w:p>
            <w:pPr>
              <w:spacing w:after="0"/>
              <w:rPr>
                <w:sz w:val="11"/>
                <w:szCs w:val="11"/>
                <w:color w:val="auto"/>
              </w:rPr>
            </w:pPr>
          </w:p>
        </w:tc>
        <w:tc>
          <w:tcPr>
            <w:tcW w:w="1860" w:type="dxa"/>
            <w:vAlign w:val="bottom"/>
            <w:tcBorders>
              <w:bottom w:val="single" w:sz="8" w:color="00000A"/>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8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I</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A1/A+</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1.625%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0.625%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0.525%</w:t>
            </w:r>
          </w:p>
        </w:tc>
        <w:tc>
          <w:tcPr>
            <w:tcW w:w="0" w:type="dxa"/>
            <w:vAlign w:val="bottom"/>
          </w:tcPr>
          <w:p>
            <w:pPr>
              <w:spacing w:after="0"/>
              <w:rPr>
                <w:sz w:val="1"/>
                <w:szCs w:val="1"/>
                <w:color w:val="auto"/>
              </w:rPr>
            </w:pPr>
          </w:p>
        </w:tc>
      </w:tr>
      <w:tr>
        <w:trPr>
          <w:trHeight w:val="290"/>
        </w:trPr>
        <w:tc>
          <w:tcPr>
            <w:tcW w:w="18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II</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A2/A</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1.750%</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0.750%</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0.550%</w:t>
            </w:r>
          </w:p>
        </w:tc>
        <w:tc>
          <w:tcPr>
            <w:tcW w:w="0" w:type="dxa"/>
            <w:vAlign w:val="bottom"/>
          </w:tcPr>
          <w:p>
            <w:pPr>
              <w:spacing w:after="0"/>
              <w:rPr>
                <w:sz w:val="1"/>
                <w:szCs w:val="1"/>
                <w:color w:val="auto"/>
              </w:rPr>
            </w:pPr>
          </w:p>
        </w:tc>
      </w:tr>
      <w:tr>
        <w:trPr>
          <w:trHeight w:val="291"/>
        </w:trPr>
        <w:tc>
          <w:tcPr>
            <w:tcW w:w="18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III</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A3/A-</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1.875%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0.875%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0.575%</w:t>
            </w:r>
          </w:p>
        </w:tc>
        <w:tc>
          <w:tcPr>
            <w:tcW w:w="0" w:type="dxa"/>
            <w:vAlign w:val="bottom"/>
          </w:tcPr>
          <w:p>
            <w:pPr>
              <w:spacing w:after="0"/>
              <w:rPr>
                <w:sz w:val="1"/>
                <w:szCs w:val="1"/>
                <w:color w:val="auto"/>
              </w:rPr>
            </w:pPr>
          </w:p>
        </w:tc>
      </w:tr>
      <w:tr>
        <w:trPr>
          <w:trHeight w:val="290"/>
        </w:trPr>
        <w:tc>
          <w:tcPr>
            <w:tcW w:w="18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IV</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Baa1/BBB+</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2.000%</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1.000%</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0.600%</w:t>
            </w:r>
          </w:p>
        </w:tc>
        <w:tc>
          <w:tcPr>
            <w:tcW w:w="0" w:type="dxa"/>
            <w:vAlign w:val="bottom"/>
          </w:tcPr>
          <w:p>
            <w:pPr>
              <w:spacing w:after="0"/>
              <w:rPr>
                <w:sz w:val="1"/>
                <w:szCs w:val="1"/>
                <w:color w:val="auto"/>
              </w:rPr>
            </w:pPr>
          </w:p>
        </w:tc>
      </w:tr>
      <w:tr>
        <w:trPr>
          <w:trHeight w:val="290"/>
        </w:trPr>
        <w:tc>
          <w:tcPr>
            <w:tcW w:w="18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V</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Baa2/BBB or lower</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2.125%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1.125%</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Rating</w:t>
      </w:r>
      <w:r>
        <w:rPr>
          <w:rFonts w:ascii="Arial" w:cs="Arial" w:eastAsia="Arial" w:hAnsi="Arial"/>
          <w:sz w:val="22"/>
          <w:szCs w:val="22"/>
          <w:color w:val="auto"/>
        </w:rPr>
        <w:t>” means, as of any date of determination, the Borrower’s issuer rating as determined by either S&amp;P or Moody’s (collectively, the “</w:t>
      </w:r>
      <w:r>
        <w:rPr>
          <w:rFonts w:ascii="Arial" w:cs="Arial" w:eastAsia="Arial" w:hAnsi="Arial"/>
          <w:sz w:val="22"/>
          <w:szCs w:val="22"/>
          <w:u w:val="single" w:color="auto"/>
          <w:color w:val="auto"/>
        </w:rPr>
        <w:t>Credit Ratings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if the respective Credit Ratings issued by the foregoing rating agencies differ by one level, then the Pricing Level for the higher of such Credit Ratings shall apply; (b) if there is a split in Credit Ratings of more than one level, then the Pricing Level that is one level lower than the Pricing Level of the higher Credit Rating shall apply; and (c) if the Borrower does not have any Credit Rating, the highest Pricing Level shall apply.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Initially, the Applicable Rate shall be determined based upon the Credit Rating specified in the certificate delivered pursuant to </w:t>
      </w:r>
      <w:r>
        <w:rPr>
          <w:rFonts w:ascii="Arial" w:cs="Arial" w:eastAsia="Arial" w:hAnsi="Arial"/>
          <w:sz w:val="22"/>
          <w:szCs w:val="22"/>
          <w:u w:val="single" w:color="auto"/>
          <w:color w:val="auto"/>
        </w:rPr>
        <w:t>Section 4.01(d)</w:t>
      </w:r>
      <w:r>
        <w:rPr>
          <w:rFonts w:ascii="Arial" w:cs="Arial" w:eastAsia="Arial" w:hAnsi="Arial"/>
          <w:sz w:val="22"/>
          <w:szCs w:val="22"/>
          <w:color w:val="auto"/>
        </w:rPr>
        <w:t>. Thereafter, each change in the Applicable Rate resulting from a publicly announced change in the Credit Rating shall be effective, in the case of an upgrade, during the period commencing on the date of delivery by the Borrower to the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meaning assigned to such term in Section 8.04(b).</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the Commitment.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Products</w:t>
      </w:r>
      <w:r>
        <w:rPr>
          <w:rFonts w:ascii="Arial" w:cs="Arial" w:eastAsia="Arial" w:hAnsi="Arial"/>
          <w:sz w:val="19"/>
          <w:szCs w:val="19"/>
          <w:color w:val="auto"/>
        </w:rPr>
        <w:t>” means any one or more of the following financial products or accommodations extended to Borrower or any of its Subsidiaries by a Bank Product Provider: (a) commercial credit cards, (b) commercial credit card processing services,</w:t>
      </w:r>
    </w:p>
    <w:p>
      <w:pPr>
        <w:spacing w:after="0" w:line="1" w:lineRule="exact"/>
        <w:rPr>
          <w:sz w:val="20"/>
          <w:szCs w:val="20"/>
          <w:color w:val="auto"/>
        </w:rPr>
      </w:pPr>
    </w:p>
    <w:p>
      <w:pPr>
        <w:ind w:firstLine="8"/>
        <w:spacing w:after="0" w:line="246" w:lineRule="auto"/>
        <w:tabs>
          <w:tab w:leader="none" w:pos="3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debit cards, (d) stored value cards, (e) purchase cards (including so-called “procurement cards” or “P-cards”), (f) cash management services, or (g) transactions under Swap Agreements.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Provider</w:t>
      </w:r>
      <w:r>
        <w:rPr>
          <w:rFonts w:ascii="Arial" w:cs="Arial" w:eastAsia="Arial" w:hAnsi="Arial"/>
          <w:sz w:val="22"/>
          <w:szCs w:val="22"/>
          <w:color w:val="auto"/>
        </w:rPr>
        <w:t>” means Lender or any of its Affiliates that provide Bank Products to Borrower or any of its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LIBO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42" w:lineRule="exact"/>
        <w:rPr>
          <w:sz w:val="20"/>
          <w:szCs w:val="20"/>
          <w:color w:val="auto"/>
        </w:rPr>
      </w:pPr>
    </w:p>
    <w:p>
      <w:pPr>
        <w:jc w:val="both"/>
        <w:ind w:firstLine="656"/>
        <w:spacing w:after="0" w:line="250" w:lineRule="auto"/>
        <w:tabs>
          <w:tab w:leader="none" w:pos="9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the LIBO Screen Rate announcing that such administrator has ceased or will cease to provide the LIBO Screen Rate, permanently or indefinitely, provided that, at the time of such statement or publication, there is no successor administrator that will continue to provide the LIBO Screen Rate;</w:t>
      </w:r>
    </w:p>
    <w:p>
      <w:pPr>
        <w:spacing w:after="0" w:line="228" w:lineRule="exact"/>
        <w:rPr>
          <w:rFonts w:ascii="Arial" w:cs="Arial" w:eastAsia="Arial" w:hAnsi="Arial"/>
          <w:sz w:val="22"/>
          <w:szCs w:val="22"/>
          <w:color w:val="auto"/>
        </w:rPr>
      </w:pPr>
    </w:p>
    <w:p>
      <w:pPr>
        <w:jc w:val="both"/>
        <w:ind w:firstLine="656"/>
        <w:spacing w:after="0" w:line="294" w:lineRule="auto"/>
        <w:tabs>
          <w:tab w:leader="none" w:pos="958" w:val="left"/>
        </w:tabs>
        <w:numPr>
          <w:ilvl w:val="0"/>
          <w:numId w:val="1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the LIBO Screen Rate, the U.S. Federal Reserve System, an insolvency official with jurisdiction over the administrator for the LIBO Screen Rate, a resolution authority with jurisdiction over the administrator for the LIBO Screen Rate or a court or an entity with similar insolvency or resolution authority over the administrator for the LIBO Screen Rate, which states that the administrator of the LIBO Screen Rate has ceased or will cease to provide the LIBO Screen Rate permanently or indefinitely, provided that, at the time of such statement or publication, there is no successor administrator that will continue to provide the LIBO Screen Rate; or</w:t>
      </w:r>
    </w:p>
    <w:p>
      <w:pPr>
        <w:spacing w:after="0" w:line="189" w:lineRule="exact"/>
        <w:rPr>
          <w:rFonts w:ascii="Arial" w:cs="Arial" w:eastAsia="Arial" w:hAnsi="Arial"/>
          <w:sz w:val="19"/>
          <w:szCs w:val="19"/>
          <w:color w:val="auto"/>
        </w:rPr>
      </w:pPr>
    </w:p>
    <w:p>
      <w:pPr>
        <w:ind w:firstLine="656"/>
        <w:spacing w:after="0" w:line="263" w:lineRule="auto"/>
        <w:tabs>
          <w:tab w:leader="none" w:pos="958"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LIBO Screen Rate announcing that the LIBO Screen Rate is no longer representative.</w:t>
      </w:r>
    </w:p>
    <w:p>
      <w:pPr>
        <w:spacing w:after="0" w:line="21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or control as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xml:space="preserve"> means any of (a) an “employee benefit plan” (as defined in ERISA) that is subject to Title I of ERISA,</w:t>
      </w:r>
    </w:p>
    <w:p>
      <w:pPr>
        <w:spacing w:after="0" w:line="56" w:lineRule="exact"/>
        <w:rPr>
          <w:sz w:val="20"/>
          <w:szCs w:val="20"/>
          <w:color w:val="auto"/>
        </w:rPr>
      </w:pPr>
    </w:p>
    <w:p>
      <w:pPr>
        <w:jc w:val="both"/>
        <w:ind w:firstLine="8"/>
        <w:spacing w:after="0" w:line="245"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San Jose Water Company, a California corporation.</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Type, made, converted or continued on the same date and, in the case of Eurodollar Loans, as to which a single Interest Period is in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means a request by the Borrower for a Borrowing in accordance with Section 2.03.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Burdensome Restrictions</w:t>
      </w:r>
      <w:r>
        <w:rPr>
          <w:rFonts w:ascii="Arial" w:cs="Arial" w:eastAsia="Arial" w:hAnsi="Arial"/>
          <w:sz w:val="22"/>
          <w:szCs w:val="22"/>
          <w:color w:val="auto"/>
        </w:rPr>
        <w:t>” means any restriction of the type described in Section 6.10.</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that is not a Saturday, Sunday or other day on which commercial banks in San Francisco, California or New York City, New York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“Business Day” shall also exclude any day on which banks are not open for general business in London.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25% of the aggregate ordinary voting power represented by the issued and outstanding Equity Interests of Holdco; (b) occupation of a majority of the seats (other than vacant seats) on the board of directors of Holdco by Persons who were neither (i) nominated by the board of directors of Holdco nor (ii) appointed by directors so nominated; or (c) Holdco ceases to own 100% of the voting and non-voting Equity Interests of the Borrower.</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means the occurrence after the date of this Agreement of any of the following: (a) the adoption or taking effect of any law, rule, regulation or treaty, (b) any change 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04" w:right="339" w:bottom="1440" w:gutter="0" w:footer="0" w:header="0"/>
        </w:sectPr>
      </w:pPr>
    </w:p>
    <w:bookmarkStart w:id="42" w:name="page43"/>
    <w:bookmarkEnd w:id="42"/>
    <w:p>
      <w:pPr>
        <w:jc w:val="both"/>
        <w:spacing w:after="0" w:line="258" w:lineRule="auto"/>
        <w:rPr>
          <w:sz w:val="20"/>
          <w:szCs w:val="20"/>
          <w:color w:val="auto"/>
        </w:rPr>
      </w:pPr>
      <w:r>
        <w:rPr>
          <w:rFonts w:ascii="Arial" w:cs="Arial" w:eastAsia="Arial" w:hAnsi="Arial"/>
          <w:sz w:val="21"/>
          <w:szCs w:val="21"/>
          <w:color w:val="auto"/>
        </w:rPr>
        <w:t>any law, rule, regulation or treaty or in the administration, interpretation, implementation or application thereof by any Governmental Authority or (c) compliance by the Lender (or, for purposes of Section 2.13(b), by any lending office of the Lender or by the Lender’s holding company, if any) with any request, guideline, rule,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the commitment of the Lender to make revolving Loans and issue Letters of Credit hereunder, as such commitment may be reduced from time to time pursuant to Section 2.07. The initial amount of the Lender’s Commitment is $50,000,000.</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Cash Balance</w:t>
      </w:r>
      <w:r>
        <w:rPr>
          <w:rFonts w:ascii="Arial" w:cs="Arial" w:eastAsia="Arial" w:hAnsi="Arial"/>
          <w:sz w:val="22"/>
          <w:szCs w:val="22"/>
          <w:color w:val="auto"/>
        </w:rPr>
        <w:t>” means, as of any date of determination, cash and Permitted Investments of the Borrower and its domestic Subsidiaries on a consolidated basis that are free and clear of all Liens (other than Liens permitted pursuant to Section 6.02(e) and Section 6.02(i)) and not subject to any restrictions on the use thereof to pay Indebtedness and other obligations of the Borrower and its domestic Subsidiaries.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Debt</w:t>
      </w:r>
      <w:r>
        <w:rPr>
          <w:rFonts w:ascii="Arial" w:cs="Arial" w:eastAsia="Arial" w:hAnsi="Arial"/>
          <w:sz w:val="19"/>
          <w:szCs w:val="19"/>
          <w:color w:val="auto"/>
        </w:rPr>
        <w:t xml:space="preserve">” means, as of any date of measurement, all Indebtedness as of the date of measurement (other than Indebtedness of the type described in </w:t>
      </w:r>
      <w:r>
        <w:rPr>
          <w:rFonts w:ascii="Arial" w:cs="Arial" w:eastAsia="Arial" w:hAnsi="Arial"/>
          <w:sz w:val="19"/>
          <w:szCs w:val="19"/>
          <w:u w:val="single" w:color="auto"/>
          <w:color w:val="auto"/>
        </w:rPr>
        <w:t>clauses (h)</w:t>
      </w:r>
      <w:r>
        <w:rPr>
          <w:rFonts w:ascii="Arial" w:cs="Arial" w:eastAsia="Arial" w:hAnsi="Arial"/>
          <w:sz w:val="19"/>
          <w:szCs w:val="19"/>
          <w:color w:val="auto"/>
        </w:rPr>
        <w:t xml:space="preserve"> through (l) of the definition of Indebtedness (other than with respect to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guarantees of Indebtedness of others of the type not described in </w:t>
      </w:r>
      <w:r>
        <w:rPr>
          <w:rFonts w:ascii="Arial" w:cs="Arial" w:eastAsia="Arial" w:hAnsi="Arial"/>
          <w:sz w:val="19"/>
          <w:szCs w:val="19"/>
          <w:u w:val="single" w:color="auto"/>
          <w:color w:val="auto"/>
        </w:rPr>
        <w:t>clauses (h)</w:t>
      </w:r>
      <w:r>
        <w:rPr>
          <w:rFonts w:ascii="Arial" w:cs="Arial" w:eastAsia="Arial" w:hAnsi="Arial"/>
          <w:sz w:val="19"/>
          <w:szCs w:val="19"/>
          <w:color w:val="auto"/>
        </w:rPr>
        <w:t xml:space="preserve"> through (l) of the definition of Indebtedness)), determined for the Borrower and its Subsidiaries on a consolidated basis at such date, in accordance with GAAP.</w:t>
      </w:r>
    </w:p>
    <w:p>
      <w:pPr>
        <w:spacing w:after="0" w:line="142"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Worth</w:t>
      </w:r>
      <w:r>
        <w:rPr>
          <w:rFonts w:ascii="Arial" w:cs="Arial" w:eastAsia="Arial" w:hAnsi="Arial"/>
          <w:sz w:val="22"/>
          <w:szCs w:val="22"/>
          <w:color w:val="auto"/>
        </w:rPr>
        <w:t>” means, as of any date of determination, for the Borrower and its Subsidiaries on a consolidated basis, consolidated total assets minus total liabilities.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4" w:right="339" w:bottom="1440" w:gutter="0" w:footer="0" w:header="0"/>
        </w:sectPr>
      </w:pPr>
    </w:p>
    <w:bookmarkStart w:id="43" w:name="page44"/>
    <w:bookmarkEnd w:id="43"/>
    <w:p>
      <w:pPr>
        <w:ind w:left="1140" w:hanging="484"/>
        <w:spacing w:after="0"/>
        <w:tabs>
          <w:tab w:leader="none" w:pos="1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260" w:lineRule="exact"/>
        <w:rPr>
          <w:rFonts w:ascii="Arial" w:cs="Arial" w:eastAsia="Arial" w:hAnsi="Arial"/>
          <w:sz w:val="22"/>
          <w:szCs w:val="22"/>
          <w:color w:val="auto"/>
        </w:rPr>
      </w:pPr>
    </w:p>
    <w:p>
      <w:pPr>
        <w:ind w:left="1140" w:hanging="484"/>
        <w:spacing w:after="0"/>
        <w:tabs>
          <w:tab w:leader="none" w:pos="1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has the meaning assigned to it in Section 8.18.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Rating</w:t>
      </w:r>
      <w:r>
        <w:rPr>
          <w:rFonts w:ascii="Arial" w:cs="Arial" w:eastAsia="Arial" w:hAnsi="Arial"/>
          <w:sz w:val="22"/>
          <w:szCs w:val="22"/>
          <w:color w:val="auto"/>
        </w:rPr>
        <w:t>” has the meaning set forth in the definition of “Applicable Rate”.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assigned to that term in, and shall be interpreted in accordance with, 12 C.F.R.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252.81, 47.2 or 382.1,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xml:space="preserve">” means the actions, suits, proceedings and environmental matters disclosed in </w:t>
      </w:r>
      <w:r>
        <w:rPr>
          <w:rFonts w:ascii="Arial" w:cs="Arial" w:eastAsia="Arial" w:hAnsi="Arial"/>
          <w:sz w:val="21"/>
          <w:szCs w:val="21"/>
          <w:u w:val="single" w:color="auto"/>
          <w:color w:val="auto"/>
        </w:rPr>
        <w:t>Schedule 3.06</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w:t>
      </w:r>
      <w:r>
        <w:rPr>
          <w:rFonts w:ascii="Arial" w:cs="Arial" w:eastAsia="Arial" w:hAnsi="Arial"/>
          <w:sz w:val="22"/>
          <w:szCs w:val="22"/>
          <w:color w:val="auto"/>
        </w:rPr>
        <w:t xml:space="preserve">” means, for any period, (a) Net Income for such period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without duplication and to the extent deducted in determining Net Income for such period, the sum of (i) Interest Expense for such period and (ii) income tax expense for such period, all calculated for the Borrower and its Subsidiaries on a consolidated basis.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conditions specified in Section 4.01 are satisfied (or waived in accordance with Section 8.02).</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Liability</w:t>
      </w:r>
      <w:r>
        <w:rPr>
          <w:rFonts w:ascii="Arial" w:cs="Arial" w:eastAsia="Arial" w:hAnsi="Arial"/>
          <w:sz w:val="22"/>
          <w:szCs w:val="22"/>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04"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22"/>
          <w:szCs w:val="22"/>
          <w:color w:val="auto"/>
        </w:rPr>
        <w:t>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5"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9"/>
          <w:szCs w:val="19"/>
          <w:color w:val="auto"/>
        </w:rPr>
        <w:t>‑</w:t>
      </w:r>
      <w:r>
        <w:rPr>
          <w:rFonts w:ascii="Arial" w:cs="Arial" w:eastAsia="Arial" w:hAnsi="Arial"/>
          <w:sz w:val="19"/>
          <w:szCs w:val="19"/>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within the meaning of Title IV of ERISA.</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refers to whether such Loan, or the Loans comprising such Borrowing, bear interest at a rate determined by reference to the Adjusted LIBO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Article VII.</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its applicable lending office located in, the jurisdiction imposing such Tax (or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4" w:right="339" w:bottom="1440" w:gutter="0" w:footer="0" w:header="0"/>
        </w:sectPr>
      </w:pPr>
    </w:p>
    <w:bookmarkStart w:id="45" w:name="page46"/>
    <w:bookmarkEnd w:id="45"/>
    <w:p>
      <w:pPr>
        <w:jc w:val="both"/>
        <w:spacing w:after="0" w:line="292" w:lineRule="auto"/>
        <w:rPr>
          <w:sz w:val="20"/>
          <w:szCs w:val="20"/>
          <w:color w:val="auto"/>
        </w:rPr>
      </w:pPr>
      <w:r>
        <w:rPr>
          <w:rFonts w:ascii="Arial" w:cs="Arial" w:eastAsia="Arial" w:hAnsi="Arial"/>
          <w:sz w:val="19"/>
          <w:szCs w:val="19"/>
          <w:color w:val="auto"/>
        </w:rPr>
        <w:t>any political subdivision thereof) or (ii) that are Other Connection Taxes, (b) U.S. federal withholding Taxes imposed on amounts payable to or for the account of the Lender with respect to an applicable interest in a Loan, Letter of Credit or Commitment pursuant to a law in effect on the date on which (i) the Lender acquires such interest in the Loan, Letter of Credit or Commitment or (ii) the Lender changes its lending office, except in each case to the extent that, pursuant to Section 2.15, amounts with respect to such Taxes were payable either to the Lender’s assignor immediately before the Lender acquired the applicable interest in such Loan, Letter of Credit or Commitment or to the Lender immediately before it changed its lending office and (c) Taxes attributable to a Lender’s failure to comply with Section 2.15(g) and (d) any U.S. federal withholding Taxes imposed under FATCA.</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SJWC Credit Agreement</w:t>
      </w:r>
      <w:r>
        <w:rPr>
          <w:rFonts w:ascii="Arial" w:cs="Arial" w:eastAsia="Arial" w:hAnsi="Arial"/>
          <w:sz w:val="22"/>
          <w:szCs w:val="22"/>
          <w:color w:val="auto"/>
        </w:rPr>
        <w:t>” means that certain Credit Agreement dated as of June 1, 2016 between the Borrower and Lender.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Exposure</w:t>
      </w:r>
      <w:r>
        <w:rPr>
          <w:rFonts w:ascii="Arial" w:cs="Arial" w:eastAsia="Arial" w:hAnsi="Arial"/>
          <w:sz w:val="22"/>
          <w:szCs w:val="22"/>
          <w:color w:val="auto"/>
        </w:rPr>
        <w:t>” means, at any time, the sum of the aggregate outstanding principal amount of the Lender’s Loans and its LC Exposure at such time.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be zero for the purposes of this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Borrower.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has the meaning assigned to such term in Section 5.01.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 to Capitalization Ratio</w:t>
      </w:r>
      <w:r>
        <w:rPr>
          <w:rFonts w:ascii="Arial" w:cs="Arial" w:eastAsia="Arial" w:hAnsi="Arial"/>
          <w:sz w:val="22"/>
          <w:szCs w:val="22"/>
          <w:color w:val="auto"/>
        </w:rPr>
        <w:t>” means, at any date, the ratio of (a) Consolidated Funded Debt for such date to (b) the sum of Consolidated Net Worth plus Consolidated Funded Debt as of such date.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Account</w:t>
      </w:r>
      <w:r>
        <w:rPr>
          <w:rFonts w:ascii="Arial" w:cs="Arial" w:eastAsia="Arial" w:hAnsi="Arial"/>
          <w:sz w:val="19"/>
          <w:szCs w:val="19"/>
          <w:color w:val="auto"/>
        </w:rPr>
        <w:t>” means the previously identified deposit account of the Borrower to which the Lender is authorized by the Borrower to transfer the proceeds of any Borrowings requested or authorized pursuant to this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04" w:right="339" w:bottom="1440" w:gutter="0" w:footer="0" w:header="0"/>
        </w:sectPr>
      </w:pPr>
    </w:p>
    <w:bookmarkStart w:id="46" w:name="page47"/>
    <w:bookmarkEnd w:id="46"/>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88" w:lineRule="auto"/>
        <w:tabs>
          <w:tab w:leader="none" w:pos="31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w:t>
      </w:r>
      <w:r>
        <w:rPr>
          <w:rFonts w:ascii="Arial" w:cs="Arial" w:eastAsia="Arial" w:hAnsi="Arial"/>
          <w:sz w:val="22"/>
          <w:szCs w:val="22"/>
          <w:color w:val="auto"/>
        </w:rPr>
        <w:t>” means SJW Group, a Delaware corporation, and successor in interest to SJW Corp., a California corporation (“SJW Corp.”) pursuant to the consummation of the reincorporation of SJW Corp. from California by means of a merger with and into SJW Group as described in the proxy statement of SJW Corp. on Schedule 14A that was filed with the Securities and Exchange Commission on March 17, 2015.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Impairment</w:t>
      </w:r>
      <w:r>
        <w:rPr>
          <w:rFonts w:ascii="Arial" w:cs="Arial" w:eastAsia="Arial" w:hAnsi="Arial"/>
          <w:sz w:val="19"/>
          <w:szCs w:val="19"/>
          <w:color w:val="auto"/>
        </w:rPr>
        <w:t>” shall mean, with respect to any Loan Document or governmental approval or Regulatory Approval, (a) the rescission, early termination, cancellation, repeal or invalidity thereof, (b) the suspension or injunction thereof, (c) the inability to satisfy in a timely manner stated conditions to effectiveness of such Loan Document, governmental approval or Regulatory Approval in whole or in part or (d) in the case of any governmental approval or Regulatory Approval only,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04"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the amendment, modification or supplementation thereof. The verb “</w:t>
      </w:r>
      <w:r>
        <w:rPr>
          <w:rFonts w:ascii="Arial" w:cs="Arial" w:eastAsia="Arial" w:hAnsi="Arial"/>
          <w:sz w:val="22"/>
          <w:szCs w:val="22"/>
          <w:u w:val="single" w:color="auto"/>
          <w:color w:val="auto"/>
        </w:rPr>
        <w:t>Impair</w:t>
      </w:r>
      <w:r>
        <w:rPr>
          <w:rFonts w:ascii="Arial" w:cs="Arial" w:eastAsia="Arial" w:hAnsi="Arial"/>
          <w:sz w:val="22"/>
          <w:szCs w:val="22"/>
          <w:color w:val="auto"/>
        </w:rPr>
        <w:t>” shall have a correlative meaning.</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in respect of the deferred purchase price of property or services (excluding accounts payable not more than 90 days past due incurred in the ordinary course of business), (e) all Capital Lease Obligations of such Person, (f) all obligations, contingent or otherwise, of such Person as an account party in respect of letters of credit and letters of guaranty, (g) all obligations, contingent or otherwise, of such Person in respect of bankers’ acceptances, (h) all obligations of such Person under conditional sale or other title retention agreements relating to property acquired by such Person, (i) all Indebtedness of others secured by (or for which the holder of such Indebtedness has an existing right, contingent or otherwise, to be secured by) any Lien on property owned or acquired by such Person, whether or not the Indebtedness secured thereby has been assumed, (j) all Guarantees by such Person of Indebtedness of others, (k) obligations under any liquidated earn-out and (l)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the Borrower under any Loan Document and (b) to the extent not otherwise described in the foregoing clause (a), Other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assigned to such term in Section 8.03(b).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assigned to such term in Section 8.12.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means, for any period, the ratio of (a) EBIT for such period to (b) Interest Expense for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means a request by the Borrower to convert or continue a Borrowing in accordance with Section 2.06.</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Expense</w:t>
      </w:r>
      <w:r>
        <w:rPr>
          <w:rFonts w:ascii="Arial" w:cs="Arial" w:eastAsia="Arial" w:hAnsi="Arial"/>
          <w:sz w:val="21"/>
          <w:szCs w:val="21"/>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04"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for the Borrower and its Subsidiaries on a consolidated basis for such period in accordance with GAAP.</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first Business Day of each calendar quarter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with respect to any Eurodollar Borrowing, the period commencing on the date of such Eurodollar Borrowing and ending on the numerically corresponding day in the calendar month that is one week or one, three or six months thereafter, as the Borrower may elect; provided that (i) if any Interest Period would end on a day other than a Business Day, such Interest Period shall be extended to the next succeeding Business Day unless, in the case of any Interest Period other than a week, such next succeeding Business Day would fall in the next calendar month, in which case such Interest Period shall end on the next preceding Business Day and (ii) any Interest Period that is longer than one week and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5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Interest Period, the rate per annum (rounded upward to four decimal places) determined by the Lender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any payment made by the Lender pursuant to a Letter of Credit.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xml:space="preserve">” means, at any time, the sum of (a) the aggregate undrawn amount of all Letters of Credit outstanding at such time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the aggregate amount of all LC Disbursements relating to Letters of Credit that have not yet been reimbursed by or on behalf of the Borrower at such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means JPMorgan Chase Bank, N.A., its successors and assigns.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means the standby letters of credit issued pursuant to this Agreement, and the term “</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one of them or each of them singularly, as the context may require.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4"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 Rate</w:t>
      </w:r>
      <w:r>
        <w:rPr>
          <w:rFonts w:ascii="Arial" w:cs="Arial" w:eastAsia="Arial" w:hAnsi="Arial"/>
          <w:sz w:val="22"/>
          <w:szCs w:val="22"/>
          <w:color w:val="auto"/>
        </w:rPr>
        <w:t>” means the Adjusted LIBO Rate plus 0.875%.</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Lender in its reasonable discretion (in each case, the “</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at approximately 11:00 a.m., London time, two (2)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LIBO Screen Rate shall be less than 0.50%, such rate shall be deemed to be 0.50% for the purposes of this Agreement and (y) if the LIBO Screen Rate shall not be available at such time for a period equal in length to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xml:space="preserve">”), then the LIBO Rate shall be the Interpolated Rate at such time, subject to Section 2.12 in the event that the Lender shall conclude that it shall not be possible to determine such Interpolated Rate (which conclusion shall be conclusive and binding absent manifest error);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Interpolated Rate shall be less than 0.50%, such rate shall be deemed to be 0.50% for purposes of this Agreement. Notwithstanding the above, to the extent that “LIBO Rate” or “Adjusted LIBO Rate” is used in connection with an ABR Borrowing, such rate shall be determined as modified by the definition of Alternate Base Rate.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Screen Rate</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each promissory note issued pursuant to this Agreement, any Letter of Credit application, the fee letter described in Section 2.10(c), and each other agreement, instrument, document and certificate identified in Section 4.01 executed and delivered to, or in favor of, the Lender and including each other consent, assignment, contract, notice, letter of credit agreement and each other written matter whether heretofore, now or hereafter executed by or on behalf of the Borrower, or any employee of the Borrower, and delivered to the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pursuant to Section 2.01.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04" w:right="339" w:bottom="1440" w:gutter="0" w:footer="0" w:header="0"/>
        </w:sectPr>
      </w:pPr>
    </w:p>
    <w:bookmarkStart w:id="50" w:name="page51"/>
    <w:bookmarkEnd w:id="50"/>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operations, or condition, financial or otherwise, of the Borrower and its Subsidiaries taken as a whole, (b) the ability of the Borrower to perform any of its obligations under the Loan Documents to which it is a party, or (c) the rights of or benefits available to the Lender under any of the Loan Documents.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Agreement</w:t>
      </w:r>
      <w:r>
        <w:rPr>
          <w:rFonts w:ascii="Arial" w:cs="Arial" w:eastAsia="Arial" w:hAnsi="Arial"/>
          <w:sz w:val="19"/>
          <w:szCs w:val="19"/>
          <w:color w:val="auto"/>
        </w:rPr>
        <w:t>” means, with respect to any Person, (i) all Material Indebtedness, (ii) each contract, agreement or other instrument to which such Person or any of its Subsidiaries is a party involving aggregate consideration payable by or to such Person or by or to such Subsidiary of $5,000,000 or more during any consecutive twelve-month period (other than purchase orders in the ordinary course of the business of such Person or such Subsidiary), and (iii) all other contracts or agreements, the loss of which would reasonably be expected to have a Material Adverse Effect.</w:t>
      </w:r>
    </w:p>
    <w:p>
      <w:pPr>
        <w:spacing w:after="0" w:line="1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Indebtedness (other than the Loans and Letters of Credit), or obligations in respect of one or more Swap Agreements, of any one or more of the Borrower and its Subsidiaries in an aggregate principal amount exceeding $5,000,000.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earlier of (a) November 11, 2020 (if the same is a Business Day, or if not, then the immediately next succeeding Business Day) or (b) any earlier date on which the Commitment is reduced to zero or otherwise terminated pursuant to the terms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xml:space="preserve">” means, for any period, the consolidated net income (or loss) determined for the Borrower and its Subsidiaries,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income (or deficit) of any Person accrued prior to the date it becomes a Subsidiary or is merged into or consolidated with the Borrower or any Subsidiary, and (b) the income (or deficit) of any Person (other than a Subsidiary) in which the Borrower or any Subsidiary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Date</w:t>
      </w:r>
      <w:r>
        <w:rPr>
          <w:rFonts w:ascii="Arial" w:cs="Arial" w:eastAsia="Arial" w:hAnsi="Arial"/>
          <w:sz w:val="22"/>
          <w:szCs w:val="22"/>
          <w:color w:val="auto"/>
        </w:rPr>
        <w:t>” has the meaning assigned to such term in Section 2.12(c).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4" w:right="339" w:bottom="1440" w:gutter="0" w:footer="0" w:header="0"/>
        </w:sectPr>
      </w:pPr>
    </w:p>
    <w:bookmarkStart w:id="51" w:name="page52"/>
    <w:bookmarkEnd w:id="51"/>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to the Lender from a Federal funds broker of recognized standing selected by it; provided, further, that if any of the aforesaid rates shall be less than zero, such rate shall be deemed to be zero for purposes of this Agreement.</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the Borrower and its Subsidiaries to the Lender or any indemnified party under the Loan Documents,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the Lender, Taxes imposed as a result of a present or former connection between the Lender and the jurisdiction imposing such Taxes (other than a connection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Section 8.04(c).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Section 8.04(c).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604" w:right="339" w:bottom="1440" w:gutter="0" w:footer="0" w:header="0"/>
        </w:sectPr>
      </w:pPr>
    </w:p>
    <w:bookmarkStart w:id="52" w:name="page53"/>
    <w:bookmarkEnd w:id="52"/>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by the Borrower in a transaction that satisfies each of the following requirements:</w:t>
      </w:r>
    </w:p>
    <w:p>
      <w:pPr>
        <w:spacing w:after="0" w:line="175" w:lineRule="exact"/>
        <w:rPr>
          <w:sz w:val="20"/>
          <w:szCs w:val="20"/>
          <w:color w:val="auto"/>
        </w:rPr>
      </w:pPr>
    </w:p>
    <w:p>
      <w:pPr>
        <w:ind w:left="1720" w:hanging="416"/>
        <w:spacing w:after="0"/>
        <w:tabs>
          <w:tab w:leader="none" w:pos="1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such Acquisition is not a hostile or contested acquisition;</w:t>
      </w:r>
    </w:p>
    <w:p>
      <w:pPr>
        <w:spacing w:after="0" w:line="233" w:lineRule="exact"/>
        <w:rPr>
          <w:rFonts w:ascii="Arial" w:cs="Arial" w:eastAsia="Arial" w:hAnsi="Arial"/>
          <w:sz w:val="22"/>
          <w:szCs w:val="22"/>
          <w:color w:val="auto"/>
        </w:rPr>
      </w:pPr>
    </w:p>
    <w:p>
      <w:pPr>
        <w:jc w:val="both"/>
        <w:ind w:firstLine="1304"/>
        <w:spacing w:after="0" w:line="254" w:lineRule="auto"/>
        <w:tabs>
          <w:tab w:leader="none" w:pos="18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business acquired in connection with such Acquisition is (i) located in the U.S., (ii) organized under applicable U.S. and state laws, and (iii) not engaged, directly or indirectly, in any line of business other than the businesses in which the Borrower is engaged on the Effective Date and any business activities that are substantially similar, related, or incidental thereto;</w:t>
      </w:r>
    </w:p>
    <w:p>
      <w:pPr>
        <w:spacing w:after="0" w:line="184" w:lineRule="exact"/>
        <w:rPr>
          <w:rFonts w:ascii="Arial" w:cs="Arial" w:eastAsia="Arial" w:hAnsi="Arial"/>
          <w:sz w:val="22"/>
          <w:szCs w:val="22"/>
          <w:color w:val="auto"/>
        </w:rPr>
      </w:pPr>
    </w:p>
    <w:p>
      <w:pPr>
        <w:ind w:left="1900" w:hanging="596"/>
        <w:spacing w:after="0"/>
        <w:tabs>
          <w:tab w:leader="none" w:pos="19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both before and after giving effect to such Acquisition, no Default exists, will exist, or would result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therefrom;</w:t>
      </w:r>
    </w:p>
    <w:p>
      <w:pPr>
        <w:spacing w:after="0" w:line="215" w:lineRule="exact"/>
        <w:rPr>
          <w:rFonts w:ascii="Arial" w:cs="Arial" w:eastAsia="Arial" w:hAnsi="Arial"/>
          <w:sz w:val="21"/>
          <w:szCs w:val="21"/>
          <w:color w:val="auto"/>
        </w:rPr>
      </w:pPr>
    </w:p>
    <w:p>
      <w:pPr>
        <w:jc w:val="both"/>
        <w:ind w:firstLine="1304"/>
        <w:spacing w:after="0" w:line="307" w:lineRule="auto"/>
        <w:tabs>
          <w:tab w:leader="none" w:pos="17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for any Acquisition that involves aggregate consideration of $5,000,000 or more, as soon as available, but not less than ten days (or such shorter time as agreed to by the Lender) prior to such Acquisition, the Borrower has provided the Lender (i) notice of such Acquisition and (ii) upon the reasonable request of the Lender, a copy of the material business and financial information related to such Acquisition including pro forma financial statements and statements of cash flow;</w:t>
      </w:r>
    </w:p>
    <w:p>
      <w:pPr>
        <w:spacing w:after="0" w:line="137" w:lineRule="exact"/>
        <w:rPr>
          <w:rFonts w:ascii="Arial" w:cs="Arial" w:eastAsia="Arial" w:hAnsi="Arial"/>
          <w:sz w:val="19"/>
          <w:szCs w:val="19"/>
          <w:color w:val="auto"/>
        </w:rPr>
      </w:pPr>
    </w:p>
    <w:p>
      <w:pPr>
        <w:jc w:val="both"/>
        <w:ind w:firstLine="1304"/>
        <w:spacing w:after="0" w:line="248" w:lineRule="auto"/>
        <w:tabs>
          <w:tab w:leader="none" w:pos="1716" w:val="left"/>
        </w:tabs>
        <w:numPr>
          <w:ilvl w:val="0"/>
          <w:numId w:val="18"/>
        </w:numPr>
        <w:rPr>
          <w:rFonts w:ascii="Arial" w:cs="Arial" w:eastAsia="Arial" w:hAnsi="Arial"/>
          <w:sz w:val="22"/>
          <w:szCs w:val="22"/>
          <w:color w:val="auto"/>
        </w:rPr>
      </w:pPr>
      <w:r>
        <w:rPr>
          <w:rFonts w:ascii="Arial" w:cs="Arial" w:eastAsia="Arial" w:hAnsi="Arial"/>
          <w:sz w:val="22"/>
          <w:szCs w:val="22"/>
          <w:color w:val="auto"/>
        </w:rPr>
        <w:t>(i) the total consideration of any Acquisition (including all Indebtedness and liabilities incurred or assumed in connection therewith) does not exceed $20,000,000, (ii) the aggregate total consideration of Acquisitions (including all Indebtedness and liabilities incurred or assumed in connection therewith) (together with any Acquisitions consummated by Holdco and its other Subsidiaries) in any year does not exceed $20,000,000, and (iii) the aggregate total consideration for all Acquisitions (including all Indebtedness and liabilities incurred or assumed in connection therewith) (together with any Acquisitions consummated by Holdco and its other Subsidiaries) made during the term of this Agreement shall not exceed $60,000,000;</w:t>
      </w:r>
    </w:p>
    <w:p>
      <w:pPr>
        <w:spacing w:after="0" w:line="195" w:lineRule="exact"/>
        <w:rPr>
          <w:rFonts w:ascii="Arial" w:cs="Arial" w:eastAsia="Arial" w:hAnsi="Arial"/>
          <w:sz w:val="22"/>
          <w:szCs w:val="22"/>
          <w:color w:val="auto"/>
        </w:rPr>
      </w:pPr>
    </w:p>
    <w:p>
      <w:pPr>
        <w:ind w:firstLine="1304"/>
        <w:spacing w:after="0" w:line="358" w:lineRule="auto"/>
        <w:tabs>
          <w:tab w:leader="none" w:pos="1705"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such Acquisition is an acquisition of the Equity Interests of a Person, such Acquisition is structured so that the acquired Person shall become a wholly-owned Subsidiary of the Borrower pursuant to the terms of this Agreement;</w:t>
      </w:r>
    </w:p>
    <w:p>
      <w:pPr>
        <w:spacing w:after="0" w:line="90" w:lineRule="exact"/>
        <w:rPr>
          <w:rFonts w:ascii="Arial" w:cs="Arial" w:eastAsia="Arial" w:hAnsi="Arial"/>
          <w:sz w:val="19"/>
          <w:szCs w:val="19"/>
          <w:color w:val="auto"/>
        </w:rPr>
      </w:pPr>
    </w:p>
    <w:p>
      <w:pPr>
        <w:ind w:left="1860" w:hanging="556"/>
        <w:spacing w:after="0"/>
        <w:tabs>
          <w:tab w:leader="none" w:pos="18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such Acquisition is an acquisition of assets, such Acquisition is structured so that the Borrower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acquire such assets;</w:t>
      </w:r>
    </w:p>
    <w:p>
      <w:pPr>
        <w:spacing w:after="0" w:line="215" w:lineRule="exact"/>
        <w:rPr>
          <w:rFonts w:ascii="Arial" w:cs="Arial" w:eastAsia="Arial" w:hAnsi="Arial"/>
          <w:sz w:val="19"/>
          <w:szCs w:val="19"/>
          <w:color w:val="auto"/>
        </w:rPr>
      </w:pPr>
    </w:p>
    <w:p>
      <w:pPr>
        <w:ind w:left="1780" w:hanging="476"/>
        <w:spacing w:after="0"/>
        <w:tabs>
          <w:tab w:leader="none" w:pos="1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such Acquisition is an acquisition of Equity Interests, such Acquisition will not result in any violation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Regulation U;</w:t>
      </w:r>
    </w:p>
    <w:p>
      <w:pPr>
        <w:spacing w:after="0" w:line="215" w:lineRule="exact"/>
        <w:rPr>
          <w:rFonts w:ascii="Arial" w:cs="Arial" w:eastAsia="Arial" w:hAnsi="Arial"/>
          <w:sz w:val="19"/>
          <w:szCs w:val="19"/>
          <w:color w:val="auto"/>
        </w:rPr>
      </w:pPr>
    </w:p>
    <w:p>
      <w:pPr>
        <w:ind w:firstLine="1304"/>
        <w:spacing w:after="0" w:line="276" w:lineRule="auto"/>
        <w:tabs>
          <w:tab w:leader="none" w:pos="1747"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such Acquisition involves a merger or a consolidation involving the Borrower, the Borrower shall be the surviving entity;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04" w:right="339" w:bottom="1440" w:gutter="0" w:footer="0" w:header="0"/>
        </w:sectPr>
      </w:pPr>
    </w:p>
    <w:bookmarkStart w:id="53" w:name="page54"/>
    <w:bookmarkEnd w:id="53"/>
    <w:p>
      <w:pPr>
        <w:jc w:val="both"/>
        <w:ind w:firstLine="1304"/>
        <w:spacing w:after="0" w:line="259" w:lineRule="auto"/>
        <w:tabs>
          <w:tab w:leader="none" w:pos="16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Borrower shall not, as a result of or in connection with any such Acquisition, assume or incur any direct or contingent liabilities (whether relating to environmental, tax, litigation, or other matters) that could reasonably be expected to have a Material Adverse Effect.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ind w:left="1720" w:hanging="416"/>
        <w:spacing w:after="0"/>
        <w:tabs>
          <w:tab w:leader="none" w:pos="1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Liens imposed by law for Taxes that are not yet due or are being contested in compliance with Section 5.04;</w:t>
      </w:r>
    </w:p>
    <w:p>
      <w:pPr>
        <w:spacing w:after="0" w:line="267" w:lineRule="exact"/>
        <w:rPr>
          <w:rFonts w:ascii="Arial" w:cs="Arial" w:eastAsia="Arial" w:hAnsi="Arial"/>
          <w:sz w:val="19"/>
          <w:szCs w:val="19"/>
          <w:color w:val="auto"/>
        </w:rPr>
      </w:pPr>
    </w:p>
    <w:p>
      <w:pPr>
        <w:jc w:val="both"/>
        <w:ind w:firstLine="1304"/>
        <w:spacing w:after="0" w:line="259" w:lineRule="auto"/>
        <w:tabs>
          <w:tab w:leader="none" w:pos="1836"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80" w:lineRule="exact"/>
        <w:rPr>
          <w:rFonts w:ascii="Arial" w:cs="Arial" w:eastAsia="Arial" w:hAnsi="Arial"/>
          <w:sz w:val="22"/>
          <w:szCs w:val="22"/>
          <w:color w:val="auto"/>
        </w:rPr>
      </w:pPr>
    </w:p>
    <w:p>
      <w:pPr>
        <w:ind w:right="20" w:firstLine="1304"/>
        <w:spacing w:after="0" w:line="276" w:lineRule="auto"/>
        <w:tabs>
          <w:tab w:leader="none" w:pos="1797" w:val="left"/>
        </w:tabs>
        <w:numPr>
          <w:ilvl w:val="0"/>
          <w:numId w:val="20"/>
        </w:numPr>
        <w:rPr>
          <w:rFonts w:ascii="Arial" w:cs="Arial" w:eastAsia="Arial" w:hAnsi="Arial"/>
          <w:sz w:val="22"/>
          <w:szCs w:val="22"/>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w:t>
      </w:r>
    </w:p>
    <w:p>
      <w:pPr>
        <w:spacing w:after="0" w:line="160" w:lineRule="exact"/>
        <w:rPr>
          <w:rFonts w:ascii="Arial" w:cs="Arial" w:eastAsia="Arial" w:hAnsi="Arial"/>
          <w:sz w:val="22"/>
          <w:szCs w:val="22"/>
          <w:color w:val="auto"/>
        </w:rPr>
      </w:pPr>
    </w:p>
    <w:p>
      <w:pPr>
        <w:ind w:right="20" w:firstLine="1304"/>
        <w:spacing w:after="0" w:line="301" w:lineRule="auto"/>
        <w:tabs>
          <w:tab w:leader="none" w:pos="1795" w:val="left"/>
        </w:tabs>
        <w:numPr>
          <w:ilvl w:val="0"/>
          <w:numId w:val="20"/>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36" w:lineRule="exact"/>
        <w:rPr>
          <w:rFonts w:ascii="Arial" w:cs="Arial" w:eastAsia="Arial" w:hAnsi="Arial"/>
          <w:sz w:val="21"/>
          <w:szCs w:val="21"/>
          <w:color w:val="auto"/>
        </w:rPr>
      </w:pPr>
    </w:p>
    <w:p>
      <w:pPr>
        <w:ind w:left="1740" w:hanging="436"/>
        <w:spacing w:after="0"/>
        <w:tabs>
          <w:tab w:leader="none" w:pos="17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judgment Liens in respect of judgments that do not constitute an Event of Default under clause (k) of Article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VII;</w:t>
      </w:r>
    </w:p>
    <w:p>
      <w:pPr>
        <w:spacing w:after="0" w:line="215" w:lineRule="exact"/>
        <w:rPr>
          <w:rFonts w:ascii="Arial" w:cs="Arial" w:eastAsia="Arial" w:hAnsi="Arial"/>
          <w:sz w:val="19"/>
          <w:szCs w:val="19"/>
          <w:color w:val="auto"/>
        </w:rPr>
      </w:pPr>
    </w:p>
    <w:p>
      <w:pPr>
        <w:jc w:val="both"/>
        <w:ind w:firstLine="1304"/>
        <w:spacing w:after="0" w:line="319" w:lineRule="auto"/>
        <w:tabs>
          <w:tab w:leader="none" w:pos="1746" w:val="left"/>
        </w:tabs>
        <w:numPr>
          <w:ilvl w:val="0"/>
          <w:numId w:val="20"/>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127" w:lineRule="exact"/>
        <w:rPr>
          <w:rFonts w:ascii="Arial" w:cs="Arial" w:eastAsia="Arial" w:hAnsi="Arial"/>
          <w:sz w:val="19"/>
          <w:szCs w:val="19"/>
          <w:color w:val="auto"/>
        </w:rPr>
      </w:pPr>
    </w:p>
    <w:p>
      <w:pPr>
        <w:ind w:left="1840" w:hanging="536"/>
        <w:spacing w:after="0"/>
        <w:tabs>
          <w:tab w:leader="none" w:pos="18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interests of lessors and sublessors under operating leases and licensors or sub-licensors under license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provided that the term “Permitted Encumbrances” shall not include any Lien securing Indebtedness, except with respect to clause (e) above.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Intercompany Advances</w:t>
      </w:r>
      <w:r>
        <w:rPr>
          <w:rFonts w:ascii="Arial" w:cs="Arial" w:eastAsia="Arial" w:hAnsi="Arial"/>
          <w:sz w:val="22"/>
          <w:szCs w:val="22"/>
          <w:color w:val="auto"/>
        </w:rPr>
        <w:t>” means loans made by (a) Borrower to Holdco or to any Subsidiary of Holdco, (b) Holdco to any Subsidiary of Holdco, or (c) a Subsidiary of Holdco to Holdco or to any other Subsidiary of Holdco (including Borrower).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jc w:val="both"/>
        <w:ind w:firstLine="1304"/>
        <w:spacing w:after="0" w:line="259" w:lineRule="auto"/>
        <w:tabs>
          <w:tab w:leader="none" w:pos="1743"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604" w:right="339" w:bottom="1440" w:gutter="0" w:footer="0" w:header="0"/>
        </w:sectPr>
      </w:pPr>
    </w:p>
    <w:bookmarkStart w:id="54" w:name="page55"/>
    <w:bookmarkEnd w:id="54"/>
    <w:p>
      <w:pPr>
        <w:ind w:firstLine="1304"/>
        <w:spacing w:after="0" w:line="276" w:lineRule="auto"/>
        <w:tabs>
          <w:tab w:leader="none" w:pos="1768"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60" w:lineRule="exact"/>
        <w:rPr>
          <w:rFonts w:ascii="Arial" w:cs="Arial" w:eastAsia="Arial" w:hAnsi="Arial"/>
          <w:sz w:val="22"/>
          <w:szCs w:val="22"/>
          <w:color w:val="auto"/>
        </w:rPr>
      </w:pPr>
    </w:p>
    <w:p>
      <w:pPr>
        <w:jc w:val="both"/>
        <w:ind w:firstLine="1304"/>
        <w:spacing w:after="0" w:line="254" w:lineRule="auto"/>
        <w:tabs>
          <w:tab w:leader="none" w:pos="1729"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84" w:lineRule="exact"/>
        <w:rPr>
          <w:rFonts w:ascii="Arial" w:cs="Arial" w:eastAsia="Arial" w:hAnsi="Arial"/>
          <w:sz w:val="22"/>
          <w:szCs w:val="22"/>
          <w:color w:val="auto"/>
        </w:rPr>
      </w:pPr>
    </w:p>
    <w:p>
      <w:pPr>
        <w:ind w:firstLine="1304"/>
        <w:spacing w:after="0" w:line="358" w:lineRule="auto"/>
        <w:tabs>
          <w:tab w:leader="none" w:pos="1782" w:val="left"/>
        </w:tabs>
        <w:numPr>
          <w:ilvl w:val="0"/>
          <w:numId w:val="22"/>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90" w:lineRule="exact"/>
        <w:rPr>
          <w:rFonts w:ascii="Arial" w:cs="Arial" w:eastAsia="Arial" w:hAnsi="Arial"/>
          <w:sz w:val="19"/>
          <w:szCs w:val="19"/>
          <w:color w:val="auto"/>
        </w:rPr>
      </w:pPr>
    </w:p>
    <w:p>
      <w:pPr>
        <w:jc w:val="both"/>
        <w:ind w:firstLine="1304"/>
        <w:spacing w:after="0" w:line="259" w:lineRule="auto"/>
        <w:tabs>
          <w:tab w:leader="none" w:pos="1756"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the rate of interest per annum publicly announced from time to time by the Lender as its prime rate in effect at its principal offices in New York City. Each change in the Prime Rate shall be effective from and including the date such change is publicly announced as being effective.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has the meaning assigned to such term in Section 5.01(d).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 Indebtedness</w:t>
      </w:r>
      <w:r>
        <w:rPr>
          <w:rFonts w:ascii="Arial" w:cs="Arial" w:eastAsia="Arial" w:hAnsi="Arial"/>
          <w:sz w:val="22"/>
          <w:szCs w:val="22"/>
          <w:color w:val="auto"/>
        </w:rPr>
        <w:t>” has the meaning assigned to such term in Section 6.01(f).</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(a) any authorization, consent, approval, license, lease, ruling, permit, tariff, rate, certification, waiver, exemption, filing, variance, claim, order, judgment or decree of, by or with, (b) any required notice to, (c) any declaration of or with or (d) any registration by or with, any Governmental Authority.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604" w:right="339" w:bottom="1440" w:gutter="0" w:footer="0" w:header="0"/>
        </w:sectPr>
      </w:pPr>
    </w:p>
    <w:bookmarkStart w:id="55" w:name="page56"/>
    <w:bookmarkEnd w:id="55"/>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releasing, spilling, leaking, pumping, pouring, emitting, emptying, discharging, injecting, escaping, leaching, migrating, disposing, or dumping of any substance into the environment.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has the meaning assigned to it in Section 8.18.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Services, a Standard &amp; Poor’s Financial Services LLC 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has the meaning assigned to such term in Section 6.06.</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itself the subject or target of any Sanctions (at the time of this Agreement, Crimea, Cuba, Iran, North Korea and Syria).</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or trade embargoes imposed, administered or enforced from time to time by (a) the U.S. government, including those administered by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604"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SJWTX Credit Agreement</w:t>
      </w:r>
      <w:r>
        <w:rPr>
          <w:rFonts w:ascii="Arial" w:cs="Arial" w:eastAsia="Arial" w:hAnsi="Arial"/>
          <w:sz w:val="22"/>
          <w:szCs w:val="22"/>
          <w:color w:val="auto"/>
        </w:rPr>
        <w:t>” means that certain Credit Agreement dated as of June 1, 2016 among SJWTX, Inc., as borrower, SJW Group, as guarantor, and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Statement</w:t>
      </w:r>
      <w:r>
        <w:rPr>
          <w:rFonts w:ascii="Arial" w:cs="Arial" w:eastAsia="Arial" w:hAnsi="Arial"/>
          <w:sz w:val="22"/>
          <w:szCs w:val="22"/>
          <w:color w:val="auto"/>
        </w:rPr>
        <w:t>” has the meaning assigned to such term in Section 2.16(c).</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Board to which the Lender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the Lender under such Regulation D of the Board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direct or indirect subsidiary of the Borrower or Holdco, as the context requires.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has the meaning assigned to it in Section 8.18.</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Agreement</w:t>
      </w:r>
      <w:r>
        <w:rPr>
          <w:rFonts w:ascii="Arial" w:cs="Arial" w:eastAsia="Arial" w:hAnsi="Arial"/>
          <w:sz w:val="21"/>
          <w:szCs w:val="21"/>
          <w:color w:val="auto"/>
        </w:rPr>
        <w:t xml:space="preserve">” means any agreement with respect to any swap, forward, spot, future, credit default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604" w:right="339" w:bottom="1440" w:gutter="0" w:footer="0" w:header="0"/>
        </w:sectPr>
      </w:pPr>
    </w:p>
    <w:bookmarkStart w:id="57" w:name="page58"/>
    <w:bookmarkEnd w:id="57"/>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“United States Person” as defined in Section 7701(a)(30) of the Code.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has the meaning assigned to it in Section 8.18.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has the meaning assigned to such term in Section in Section 2.15(g).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“Eurodollar Loan”). Borrowings also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“Eurodollar Borrowing”).</w:t>
      </w:r>
    </w:p>
    <w:p>
      <w:pPr>
        <w:spacing w:after="0" w:line="18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604" w:right="339" w:bottom="1440" w:gutter="0" w:footer="0" w:header="0"/>
        </w:sectPr>
      </w:pPr>
    </w:p>
    <w:bookmarkStart w:id="58" w:name="page59"/>
    <w:bookmarkEnd w:id="58"/>
    <w:p>
      <w:pPr>
        <w:jc w:val="both"/>
        <w:spacing w:after="0" w:line="284" w:lineRule="auto"/>
        <w:rPr>
          <w:sz w:val="20"/>
          <w:szCs w:val="20"/>
          <w:color w:val="auto"/>
        </w:rPr>
      </w:pPr>
      <w:r>
        <w:rPr>
          <w:rFonts w:ascii="Arial" w:cs="Arial" w:eastAsia="Arial" w:hAnsi="Arial"/>
          <w:sz w:val="19"/>
          <w:szCs w:val="19"/>
          <w:color w:val="auto"/>
        </w:rPr>
        <w:t>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w:t>
      </w:r>
    </w:p>
    <w:p>
      <w:pPr>
        <w:spacing w:after="0" w:line="2" w:lineRule="exact"/>
        <w:rPr>
          <w:sz w:val="20"/>
          <w:szCs w:val="20"/>
          <w:color w:val="auto"/>
        </w:rPr>
      </w:pPr>
    </w:p>
    <w:p>
      <w:pPr>
        <w:ind w:firstLine="8"/>
        <w:spacing w:after="0" w:line="246" w:lineRule="auto"/>
        <w:tabs>
          <w:tab w:leader="none" w:pos="31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the date hereof there occurs any change in GAAP or in the application thereof on the operation of any provision hereof and the Borrower notifies the Lender that the Borrower requests an amendment to any provision hereof to eliminate the effect of change in GAAP or in the application thereof (or if the Lender notifies the Borrower that the Lender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Borrower, Holdco or any Subsidiary of Holdco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Interest Rates; LIBOR Notification</w:t>
      </w:r>
      <w:r>
        <w:rPr>
          <w:rFonts w:ascii="Arial" w:cs="Arial" w:eastAsia="Arial" w:hAnsi="Arial"/>
          <w:sz w:val="22"/>
          <w:szCs w:val="22"/>
          <w:color w:val="auto"/>
        </w:rPr>
        <w:t>. The interest rate on Eurodollar Loans is determined by reference to the LIBO Rate, which is derived from the London interbank offered rate (“</w:t>
      </w:r>
      <w:r>
        <w:rPr>
          <w:rFonts w:ascii="Arial" w:cs="Arial" w:eastAsia="Arial" w:hAnsi="Arial"/>
          <w:sz w:val="22"/>
          <w:szCs w:val="22"/>
          <w:u w:val="single" w:color="auto"/>
          <w:color w:val="auto"/>
        </w:rPr>
        <w:t>LIBOR</w:t>
      </w:r>
      <w:r>
        <w:rPr>
          <w:rFonts w:ascii="Arial" w:cs="Arial" w:eastAsia="Arial" w:hAnsi="Arial"/>
          <w:sz w:val="22"/>
          <w:szCs w:val="22"/>
          <w:color w:val="auto"/>
        </w:rPr>
        <w:t>”). LIBOR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22"/>
          <w:szCs w:val="22"/>
          <w:u w:val="single" w:color="auto"/>
          <w:color w:val="auto"/>
        </w:rPr>
        <w:t>IBA</w:t>
      </w:r>
      <w:r>
        <w:rPr>
          <w:rFonts w:ascii="Arial" w:cs="Arial" w:eastAsia="Arial" w:hAnsi="Arial"/>
          <w:sz w:val="22"/>
          <w:szCs w:val="22"/>
          <w:color w:val="auto"/>
        </w:rPr>
        <w:t>”) for purposes of the IBA setting LIBOR. As a result, it is possible that commencing in 2022, LIBOR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604" w:right="339" w:bottom="1440" w:gutter="0" w:footer="0" w:header="0"/>
        </w:sectPr>
      </w:pPr>
    </w:p>
    <w:bookmarkStart w:id="59" w:name="page60"/>
    <w:bookmarkEnd w:id="59"/>
    <w:p>
      <w:pPr>
        <w:jc w:val="both"/>
        <w:spacing w:after="0" w:line="288" w:lineRule="auto"/>
        <w:rPr>
          <w:sz w:val="20"/>
          <w:szCs w:val="20"/>
          <w:color w:val="auto"/>
        </w:rPr>
      </w:pPr>
      <w:r>
        <w:rPr>
          <w:rFonts w:ascii="Arial" w:cs="Arial" w:eastAsia="Arial" w:hAnsi="Arial"/>
          <w:sz w:val="19"/>
          <w:szCs w:val="19"/>
          <w:color w:val="auto"/>
        </w:rPr>
        <w:t>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LIBOR. In the event a Benchmark Transition Event occurs, Section 2.12(c) of this Agreement provides a mechanism for determining an alternative rate of interest. The Lender will notify the Borrower, pursuant to Section 2.12(c), in advance of any change to the reference rate upon which the interest rate of Eurodollar Loans is based. However, the Lender does not warrant or accept any responsibility for, and shall not have any liability with respect to, the administration, submission or any other matter related to LIBOR or other rates in the definition of “LIBO Rate” or with respect to any alternative, successor rate thereto, or replacement rate thereof, including without limitation, whether the composition or characteristics of any such alternative, successor or replacement reference rate will be similar to, or produce the same value or economic equivalence of the LIBO Rate or have the same volume or liquidity as did LIBOR prior to its discontinuance or unavailability.</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CREDITS</w:t>
      </w:r>
    </w:p>
    <w:p>
      <w:pPr>
        <w:spacing w:after="0" w:line="22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Subject to the terms and conditions set forth herein, the Lender agrees to make Loans in dollars to the Borrower from time to time during the Availability Period in an aggregate principal amount that will not result in the Exposure exceeding the Commitment. Within the foregoing limits and subject to the terms and conditions set forth herein, the Borrower may borrow, prepay and reborrow Loans.</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Each Loan shall be made as part of a Borrowing consisting of Loans of the same Type.</w:t>
      </w:r>
    </w:p>
    <w:p>
      <w:pPr>
        <w:spacing w:after="0" w:line="233" w:lineRule="exact"/>
        <w:rPr>
          <w:rFonts w:ascii="Arial" w:cs="Arial" w:eastAsia="Arial" w:hAnsi="Arial"/>
          <w:sz w:val="22"/>
          <w:szCs w:val="22"/>
          <w:color w:val="auto"/>
        </w:rPr>
      </w:pPr>
    </w:p>
    <w:p>
      <w:pPr>
        <w:jc w:val="both"/>
        <w:ind w:firstLine="1304"/>
        <w:spacing w:after="0" w:line="266" w:lineRule="auto"/>
        <w:tabs>
          <w:tab w:leader="none" w:pos="1782"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Subject to Section 2.12, each Borrowing shall be comprised entirely of ABR Loans or Eurodollar Loans as the Borrower may request in accordance 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Borrowings made on the Effective Date must be made as ABR Borrowings but may be converted into Eurodollar Borrowings in accordance with Section 2.06. The Lender at its option may make any Eurodollar Loan by causing any domestic or foreign branch or Affiliate of the Lender to make such Loan (and in the case of an Affiliate, the provisions of Sections 2.12, 2.13, 2.14 and 2.15 shall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604" w:right="339" w:bottom="1440" w:gutter="0" w:footer="0" w:header="0"/>
        </w:sectPr>
      </w:pPr>
    </w:p>
    <w:bookmarkStart w:id="60" w:name="page61"/>
    <w:bookmarkEnd w:id="60"/>
    <w:p>
      <w:pPr>
        <w:spacing w:after="0" w:line="263" w:lineRule="auto"/>
        <w:rPr>
          <w:sz w:val="20"/>
          <w:szCs w:val="20"/>
          <w:color w:val="auto"/>
        </w:rPr>
      </w:pPr>
      <w:r>
        <w:rPr>
          <w:rFonts w:ascii="Arial" w:cs="Arial" w:eastAsia="Arial" w:hAnsi="Arial"/>
          <w:sz w:val="22"/>
          <w:szCs w:val="22"/>
          <w:color w:val="auto"/>
        </w:rPr>
        <w:t xml:space="preserve">apply to such Affiliate to the same extent as to the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w:t>
      </w:r>
    </w:p>
    <w:p>
      <w:pPr>
        <w:spacing w:after="0" w:line="175" w:lineRule="exact"/>
        <w:rPr>
          <w:sz w:val="20"/>
          <w:szCs w:val="20"/>
          <w:color w:val="auto"/>
        </w:rPr>
      </w:pPr>
    </w:p>
    <w:p>
      <w:pPr>
        <w:jc w:val="both"/>
        <w:ind w:firstLine="1304"/>
        <w:spacing w:after="0" w:line="254" w:lineRule="auto"/>
        <w:tabs>
          <w:tab w:leader="none" w:pos="17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At the commencement of each Interest Period for any Eurodollar Borrowing, such Borrowing shall be in an aggregate amount that is an integral multiple of $1,000,000 and not less than $5,000,000. ABR Borrowings may be in any amount. Borrowings of more than one Type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shall not at any time be more than a total of ten Eurodollar Borrowings outstanding.</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782"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Borrowing Procedures; Requests for Borrowings</w:t>
      </w:r>
      <w:r>
        <w:rPr>
          <w:rFonts w:ascii="Arial" w:cs="Arial" w:eastAsia="Arial" w:hAnsi="Arial"/>
          <w:sz w:val="21"/>
          <w:szCs w:val="21"/>
          <w:color w:val="auto"/>
        </w:rPr>
        <w:t xml:space="preserve">. To request a Borrowing, the Borrower shall notify the Lender of such request either in writing (delivered by hand, fax or electronic email)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signed by the Borrower or by telephone (a) in the case of a Eurodollar Borrowing, not later than 10:00 a.m., Pacific time, three (3) Business Days before the date of the proposed Borrowing or (b) in the case of an ABR Borrowing, not later than noon, Pacific time, on the date of the proposed Borrowing;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of a an ABR Borrowing to finance the reimbursement of an LC Disbursement as contemplated by Section 2.04(d) may be given not later than 10:00 a.m., Pacific time, on the date of the proposed Borrowing. Each such telephonic Borrowing Request shall be irrevocable and shall be confirmed promptly by hand delivery, fax or electronic mail to the Lender of a written Borrowing Request in a form approved by the Lender and signed by the Borrower. Each such telephonic and written Borrowing Request shall specify the following information in compliance with Section 2.01:</w:t>
      </w:r>
    </w:p>
    <w:p>
      <w:pPr>
        <w:spacing w:after="0" w:line="178" w:lineRule="exact"/>
        <w:rPr>
          <w:sz w:val="20"/>
          <w:szCs w:val="20"/>
          <w:color w:val="auto"/>
        </w:rPr>
      </w:pPr>
    </w:p>
    <w:p>
      <w:pPr>
        <w:ind w:left="2360" w:hanging="408"/>
        <w:spacing w:after="0"/>
        <w:tabs>
          <w:tab w:leader="none" w:pos="2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aggregate amount of the requested Borrowing, and a breakdown of the separate wires comprising</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such Borrowing;</w:t>
      </w:r>
    </w:p>
    <w:p>
      <w:pPr>
        <w:spacing w:after="0" w:line="215" w:lineRule="exact"/>
        <w:rPr>
          <w:rFonts w:ascii="Arial" w:cs="Arial" w:eastAsia="Arial" w:hAnsi="Arial"/>
          <w:sz w:val="19"/>
          <w:szCs w:val="19"/>
          <w:color w:val="auto"/>
        </w:rPr>
      </w:pPr>
    </w:p>
    <w:p>
      <w:pPr>
        <w:ind w:left="2400" w:hanging="448"/>
        <w:spacing w:after="0"/>
        <w:tabs>
          <w:tab w:leader="none" w:pos="24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33" w:lineRule="exact"/>
        <w:rPr>
          <w:rFonts w:ascii="Arial" w:cs="Arial" w:eastAsia="Arial" w:hAnsi="Arial"/>
          <w:sz w:val="22"/>
          <w:szCs w:val="22"/>
          <w:color w:val="auto"/>
        </w:rPr>
      </w:pPr>
    </w:p>
    <w:p>
      <w:pPr>
        <w:ind w:left="2460" w:hanging="508"/>
        <w:spacing w:after="0"/>
        <w:tabs>
          <w:tab w:leader="none" w:pos="24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Eurodollar Borrowing; and</w:t>
      </w:r>
    </w:p>
    <w:p>
      <w:pPr>
        <w:spacing w:after="0" w:line="233" w:lineRule="exact"/>
        <w:rPr>
          <w:rFonts w:ascii="Arial" w:cs="Arial" w:eastAsia="Arial" w:hAnsi="Arial"/>
          <w:sz w:val="22"/>
          <w:szCs w:val="22"/>
          <w:color w:val="auto"/>
        </w:rPr>
      </w:pPr>
    </w:p>
    <w:p>
      <w:pPr>
        <w:ind w:left="660" w:firstLine="1292"/>
        <w:spacing w:after="0" w:line="276" w:lineRule="auto"/>
        <w:tabs>
          <w:tab w:leader="none" w:pos="2461"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604" w:right="339" w:bottom="1440" w:gutter="0" w:footer="0" w:header="0"/>
        </w:sectPr>
      </w:pPr>
    </w:p>
    <w:bookmarkStart w:id="61" w:name="page62"/>
    <w:bookmarkEnd w:id="61"/>
    <w:p>
      <w:pPr>
        <w:jc w:val="both"/>
        <w:ind w:firstLine="1304"/>
        <w:spacing w:after="0" w:line="287" w:lineRule="auto"/>
        <w:tabs>
          <w:tab w:leader="none" w:pos="183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the Borrower may request the issuance of Letters of Credit denominated in dollars as the applicant thereof for the support of its or its Subsidiaries’ obligations, in a form reasonably acceptable to the Lender,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Lender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2.10(b)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For the avoidance of doubt and notwithstanding anything herein or in any other Loan Document to the contrary, it is agreed by the parties hereto that, unless and until the Lender expressly agrees otherwise in writing, no Letters of Credit are expected to be issued hereunder.</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4"/>
        <w:spacing w:after="0" w:line="288" w:lineRule="auto"/>
        <w:tabs>
          <w:tab w:leader="none" w:pos="174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To request the issuance of a Letter of Credit (or the amendment, renewal or extension of an outstanding Letter of Credit), the Borrower shall hand deliver or fax (or transmit by electronic communication, if arrangements for doing so have been approved by the Lender) to the Lender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Lender, the Borrower also shall submit a letter of credit application on the Lender’s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$0.00 and (ii) the Exposure shall not exceed the Commitment.</w:t>
      </w:r>
    </w:p>
    <w:p>
      <w:pPr>
        <w:spacing w:after="0" w:line="155" w:lineRule="exact"/>
        <w:rPr>
          <w:rFonts w:ascii="Arial" w:cs="Arial" w:eastAsia="Arial" w:hAnsi="Arial"/>
          <w:sz w:val="19"/>
          <w:szCs w:val="19"/>
          <w:color w:val="auto"/>
        </w:rPr>
      </w:pPr>
    </w:p>
    <w:p>
      <w:pPr>
        <w:jc w:val="both"/>
        <w:ind w:firstLine="1304"/>
        <w:spacing w:after="0" w:line="251" w:lineRule="auto"/>
        <w:tabs>
          <w:tab w:leader="none" w:pos="1797"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Each Letter of Credit shall expire (or be subject to termination or non-renewal by notice from the Lender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Maturity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604" w:right="339" w:bottom="1440" w:gutter="0" w:footer="0" w:header="0"/>
        </w:sectPr>
      </w:pPr>
    </w:p>
    <w:bookmarkStart w:id="62" w:name="page63"/>
    <w:bookmarkEnd w:id="62"/>
    <w:p>
      <w:pPr>
        <w:jc w:val="both"/>
        <w:ind w:firstLine="1304"/>
        <w:spacing w:after="0" w:line="260" w:lineRule="auto"/>
        <w:tabs>
          <w:tab w:leader="none" w:pos="1728"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Reimbursement</w:t>
      </w:r>
      <w:r>
        <w:rPr>
          <w:rFonts w:ascii="Arial" w:cs="Arial" w:eastAsia="Arial" w:hAnsi="Arial"/>
          <w:sz w:val="21"/>
          <w:szCs w:val="21"/>
          <w:color w:val="auto"/>
        </w:rPr>
        <w:t xml:space="preserve">. If the Lender shall make any LC Disbursement in respect of a Letter of Credit, the Borrower shall reimburse such LC Disbursement by paying to the Lender an amount equal to such LC Disbursement not later than 11:00 a.m., Pacific time, on (i) the Business Day that the Borrower receives notice of such LC Disbursement, if such notice is received prior to 9:00 a.m., Pacific time, on the day of receipt, or (ii) the Business Day immediately following the day that the Borrower receives such notice, if such notice is received after 9:00 a.m., Pacific time, on the day of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LC Disbursement is greater than or equal to $3,000,000, the Borrower may, subject to the conditions to borrowing set forth herein, request in accordance with Section 2.03 or 2.05 that such payment be financed initially with an ABR Borrowing in an equivalent amount and, to the extent so financed, the Borrower’s obligation to make such payment shall be discharged and replaced by the resulting ABR Borrowing.</w:t>
      </w:r>
    </w:p>
    <w:p>
      <w:pPr>
        <w:spacing w:after="0" w:line="183" w:lineRule="exact"/>
        <w:rPr>
          <w:rFonts w:ascii="Arial" w:cs="Arial" w:eastAsia="Arial" w:hAnsi="Arial"/>
          <w:sz w:val="21"/>
          <w:szCs w:val="21"/>
          <w:color w:val="auto"/>
        </w:rPr>
      </w:pPr>
    </w:p>
    <w:p>
      <w:pPr>
        <w:jc w:val="both"/>
        <w:ind w:firstLine="1304"/>
        <w:spacing w:after="0" w:line="285" w:lineRule="auto"/>
        <w:tabs>
          <w:tab w:leader="none" w:pos="202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paragraph (d) of this Section shall be absolute, unconditional and irrevocable, and shall be performed strictly in accordance with the terms of this Agreement under any and all circumstances whatsoever and irrespective of any (i) lack of validity or enforceability of any Letter of Credit or this Agreement, or any term or provision therein or herein, (ii) draft or other document presented under a Letter of Credit proving to be forged, fraudulent or invalid in any respect or any statement therein being untrue or inaccurate in any respect, (iii) payment by the Lender under a Letter of Credit against presentation of a draft or other document that does not comply with the terms of such Letter of Credit, or (iv) other event or circumstance whatsoever, whether or not similar to any of the foregoing, that might, but for the provisions of this Section, constitute a legal or equitable discharge of, or provide a right of setoff against, the Borrower’s obligations hereunder. Neither the Lender nor any of its Related Parties, shall have any liability or responsibility by reason of or in connection with the issuance or transfer of any Letter of Credit,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Lender’s failure to exercise care when determining whether drafts and other documents presented under a Letter of Credit comply with the terms thereof. The parties hereto expressly agree that, in the absence of gross negligence or willful misconduct on the part of the Lender (as finally determined by a court of competent jurisdiction), the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604" w:right="339" w:bottom="1440" w:gutter="0" w:footer="0" w:header="0"/>
        </w:sectPr>
      </w:pPr>
    </w:p>
    <w:bookmarkStart w:id="63" w:name="page64"/>
    <w:bookmarkEnd w:id="63"/>
    <w:p>
      <w:pPr>
        <w:jc w:val="both"/>
        <w:ind w:firstLine="1304"/>
        <w:spacing w:after="0" w:line="266" w:lineRule="auto"/>
        <w:tabs>
          <w:tab w:leader="none" w:pos="1759"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The Lender shall, promptly following its receipt thereof, examine all documents purporting to represent a demand for payment under a Letter of Credit. The Lender shall promptly notify the Borrower by telephone (confirmed by fax or electronic mail) of such demand for payment and whether the Lender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 of its obligation to reimburse the Lender with respect to any such LC Disbursement.</w:t>
      </w:r>
    </w:p>
    <w:p>
      <w:pPr>
        <w:spacing w:after="0" w:line="173" w:lineRule="exact"/>
        <w:rPr>
          <w:rFonts w:ascii="Arial" w:cs="Arial" w:eastAsia="Arial" w:hAnsi="Arial"/>
          <w:sz w:val="21"/>
          <w:szCs w:val="21"/>
          <w:color w:val="auto"/>
        </w:rPr>
      </w:pPr>
    </w:p>
    <w:p>
      <w:pPr>
        <w:jc w:val="both"/>
        <w:ind w:firstLine="1304"/>
        <w:spacing w:after="0" w:line="248" w:lineRule="auto"/>
        <w:tabs>
          <w:tab w:leader="none" w:pos="178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Interim Interest</w:t>
      </w:r>
      <w:r>
        <w:rPr>
          <w:rFonts w:ascii="Arial" w:cs="Arial" w:eastAsia="Arial" w:hAnsi="Arial"/>
          <w:sz w:val="22"/>
          <w:szCs w:val="22"/>
          <w:color w:val="auto"/>
        </w:rPr>
        <w:t xml:space="preserve">. If the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due and payable on the date when such reimbursement is due;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Borrower fails to reimburse such LC Disbursement when due pursuant to paragraph (d) of this Section, then Section 2.11(c) shall apply. Interest accrued pursuant to this paragraph shall be for the account of the Lender.</w:t>
      </w:r>
    </w:p>
    <w:p>
      <w:pPr>
        <w:spacing w:after="0" w:line="195" w:lineRule="exact"/>
        <w:rPr>
          <w:rFonts w:ascii="Arial" w:cs="Arial" w:eastAsia="Arial" w:hAnsi="Arial"/>
          <w:sz w:val="22"/>
          <w:szCs w:val="22"/>
          <w:color w:val="auto"/>
        </w:rPr>
      </w:pPr>
    </w:p>
    <w:p>
      <w:pPr>
        <w:jc w:val="both"/>
        <w:ind w:firstLine="1304"/>
        <w:spacing w:after="0" w:line="286" w:lineRule="auto"/>
        <w:tabs>
          <w:tab w:leader="none" w:pos="176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any Default shall occur and be continuing, on the Business Day that the Borrower receives notice from the Lender demanding the deposit of cash collateral pursuant to this paragraph, the Borrower shall deposit in an account with the Lender, in the name and for the benefit of the Lender (the “</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xml:space="preserve">”), an amount in cash equal to 105% of the amount of the LC Exposure as of such date plus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(i) or (j) of Article VII. The Borrower also shall deposit cash collateral in accordance with this paragraph as and to the extent required by Section 2.09(b). Each such deposit shall be held by the Lender as collateral for the payment and performance of the Obligations. The Lender shall have exclusive dominion and control, including the exclusive right of withdrawal, over the LC Collateral Account and the Borrower hereby grants the Lender a security interest in the LC Collateral Account and all moneys or other assets on deposit therein or credited thereto. Other than any interest earned on the investment of such deposits, which investments shall be made at the option and sole discretion of the Lender and at the Borrower’s risk and expense, such deposits shall not bear interest. Interest or profits, if any, on such investments shall accumulate in such account. Moneys in such account shall be applied by the Lender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If the Borrower is required to provide an amount of cash collateral hereunder as a result of the occurrence of a Default, such amount (to the extent not applied as aforesaid) shall be returned to the Borrower within three (3) Business Days after all such Defaults have been cured or waived as confirmed in writing by the Lender.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59" w:lineRule="auto"/>
        <w:tabs>
          <w:tab w:leader="none" w:pos="1707"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LC Exposure Determination</w:t>
      </w:r>
      <w:r>
        <w:rPr>
          <w:rFonts w:ascii="Arial" w:cs="Arial" w:eastAsia="Arial" w:hAnsi="Arial"/>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604" w:right="339" w:bottom="1440" w:gutter="0" w:footer="0" w:header="0"/>
        </w:sectPr>
      </w:pPr>
    </w:p>
    <w:bookmarkStart w:id="64" w:name="page65"/>
    <w:bookmarkEnd w:id="64"/>
    <w:p>
      <w:pPr>
        <w:jc w:val="both"/>
        <w:ind w:right="20"/>
        <w:spacing w:after="0" w:line="263" w:lineRule="auto"/>
        <w:rPr>
          <w:sz w:val="20"/>
          <w:szCs w:val="20"/>
          <w:color w:val="auto"/>
        </w:rPr>
      </w:pPr>
      <w:r>
        <w:rPr>
          <w:rFonts w:ascii="Arial" w:cs="Arial" w:eastAsia="Arial" w:hAnsi="Arial"/>
          <w:sz w:val="22"/>
          <w:szCs w:val="22"/>
          <w:color w:val="auto"/>
        </w:rPr>
        <w:t>stated amount of such Letter of Credit after giving effect to all such increases, whether or not such maximum stated amount is in effect at the time of determination.</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 xml:space="preserve">. The Lender shall make each Loan to be made by it hereunder on the proposed date thereof available to the Borrower by promptly crediting the amounts in immediately available funds, to the Funding Account;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ABR Loans made to finance the reimbursement of an LC Disbursement as provided in Section 2.04(d) shall be remitted to the Lender.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9" w:lineRule="auto"/>
        <w:tabs>
          <w:tab w:leader="none" w:pos="1743"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and the Loans comprising each such portion shall be considered a separate Borrowing.</w:t>
      </w:r>
    </w:p>
    <w:p>
      <w:pPr>
        <w:spacing w:after="0" w:line="193" w:lineRule="exact"/>
        <w:rPr>
          <w:rFonts w:ascii="Arial" w:cs="Arial" w:eastAsia="Arial" w:hAnsi="Arial"/>
          <w:sz w:val="22"/>
          <w:szCs w:val="22"/>
          <w:color w:val="auto"/>
        </w:rPr>
      </w:pPr>
    </w:p>
    <w:p>
      <w:pPr>
        <w:jc w:val="both"/>
        <w:ind w:firstLine="1304"/>
        <w:spacing w:after="0" w:line="300" w:lineRule="auto"/>
        <w:tabs>
          <w:tab w:leader="none" w:pos="1863"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Lender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fax or electronic mail to the Lender of a written Interest Election Request in a form approved by the Lender and signed by the Borrower.</w:t>
      </w:r>
    </w:p>
    <w:p>
      <w:pPr>
        <w:spacing w:after="0" w:line="146" w:lineRule="exact"/>
        <w:rPr>
          <w:rFonts w:ascii="Arial" w:cs="Arial" w:eastAsia="Arial" w:hAnsi="Arial"/>
          <w:sz w:val="19"/>
          <w:szCs w:val="19"/>
          <w:color w:val="auto"/>
        </w:rPr>
      </w:pPr>
    </w:p>
    <w:p>
      <w:pPr>
        <w:ind w:left="1760" w:hanging="456"/>
        <w:spacing w:after="0"/>
        <w:tabs>
          <w:tab w:leader="none" w:pos="17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2.02:</w:t>
      </w:r>
    </w:p>
    <w:p>
      <w:pPr>
        <w:spacing w:after="0" w:line="215" w:lineRule="exact"/>
        <w:rPr>
          <w:rFonts w:ascii="Arial" w:cs="Arial" w:eastAsia="Arial" w:hAnsi="Arial"/>
          <w:sz w:val="19"/>
          <w:szCs w:val="19"/>
          <w:color w:val="auto"/>
        </w:rPr>
      </w:pPr>
    </w:p>
    <w:p>
      <w:pPr>
        <w:jc w:val="both"/>
        <w:ind w:left="660" w:firstLine="1292"/>
        <w:spacing w:after="0" w:line="254" w:lineRule="auto"/>
        <w:tabs>
          <w:tab w:leader="none" w:pos="2461"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 and (iii) below shall be specified for each resulting Borrowing);</w:t>
      </w:r>
    </w:p>
    <w:p>
      <w:pPr>
        <w:spacing w:after="0" w:line="184" w:lineRule="exact"/>
        <w:rPr>
          <w:rFonts w:ascii="Arial" w:cs="Arial" w:eastAsia="Arial" w:hAnsi="Arial"/>
          <w:sz w:val="22"/>
          <w:szCs w:val="22"/>
          <w:color w:val="auto"/>
        </w:rPr>
      </w:pPr>
    </w:p>
    <w:p>
      <w:pPr>
        <w:ind w:left="2460" w:hanging="508"/>
        <w:spacing w:after="0"/>
        <w:tabs>
          <w:tab w:leader="none" w:pos="24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215" w:lineRule="exact"/>
        <w:rPr>
          <w:rFonts w:ascii="Arial" w:cs="Arial" w:eastAsia="Arial" w:hAnsi="Arial"/>
          <w:sz w:val="19"/>
          <w:szCs w:val="19"/>
          <w:color w:val="auto"/>
        </w:rPr>
      </w:pPr>
    </w:p>
    <w:p>
      <w:pPr>
        <w:ind w:left="2460" w:hanging="508"/>
        <w:spacing w:after="0"/>
        <w:tabs>
          <w:tab w:leader="none" w:pos="24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Eurodollar Borrowing; and</w:t>
      </w:r>
    </w:p>
    <w:p>
      <w:pPr>
        <w:spacing w:after="0" w:line="233" w:lineRule="exact"/>
        <w:rPr>
          <w:rFonts w:ascii="Arial" w:cs="Arial" w:eastAsia="Arial" w:hAnsi="Arial"/>
          <w:sz w:val="22"/>
          <w:szCs w:val="22"/>
          <w:color w:val="auto"/>
        </w:rPr>
      </w:pPr>
    </w:p>
    <w:p>
      <w:pPr>
        <w:ind w:left="660" w:firstLine="1292"/>
        <w:spacing w:after="0" w:line="358" w:lineRule="auto"/>
        <w:tabs>
          <w:tab w:leader="none" w:pos="2448"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604" w:right="3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75" w:lineRule="exact"/>
        <w:rPr>
          <w:sz w:val="20"/>
          <w:szCs w:val="20"/>
          <w:color w:val="auto"/>
        </w:rPr>
      </w:pPr>
    </w:p>
    <w:p>
      <w:pPr>
        <w:jc w:val="both"/>
        <w:ind w:firstLine="1304"/>
        <w:spacing w:after="0" w:line="297" w:lineRule="auto"/>
        <w:tabs>
          <w:tab w:leader="none" w:pos="180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Lender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46"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Termination and Reduction of Commitment</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Unless previously terminated, the Commitment shall terminate on the Maturity Date.</w:t>
      </w:r>
    </w:p>
    <w:p>
      <w:pPr>
        <w:spacing w:after="0" w:line="233" w:lineRule="exact"/>
        <w:rPr>
          <w:rFonts w:ascii="Arial" w:cs="Arial" w:eastAsia="Arial" w:hAnsi="Arial"/>
          <w:sz w:val="22"/>
          <w:szCs w:val="22"/>
          <w:color w:val="auto"/>
        </w:rPr>
      </w:pPr>
    </w:p>
    <w:p>
      <w:pPr>
        <w:jc w:val="both"/>
        <w:ind w:firstLine="1304"/>
        <w:spacing w:after="0" w:line="297" w:lineRule="auto"/>
        <w:tabs>
          <w:tab w:leader="none" w:pos="1809"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Borrower may at any time terminate the Commitment upon (i) the payment in full of all outstanding Loans and LC Disbursements, together with accrued and unpaid interest thereon, (ii) the cancellation and return of all outstanding Letters of Credit (or alternatively, with respect to each such Letter of Credit, the furnishing to the Lender of a cash deposit (or at the discretion of the Lender a backup standby letter of credit satisfactory to the Lender)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46" w:lineRule="exact"/>
        <w:rPr>
          <w:rFonts w:ascii="Arial" w:cs="Arial" w:eastAsia="Arial" w:hAnsi="Arial"/>
          <w:sz w:val="19"/>
          <w:szCs w:val="19"/>
          <w:color w:val="auto"/>
        </w:rPr>
      </w:pPr>
    </w:p>
    <w:p>
      <w:pPr>
        <w:jc w:val="both"/>
        <w:ind w:firstLine="1304"/>
        <w:spacing w:after="0" w:line="254" w:lineRule="auto"/>
        <w:tabs>
          <w:tab w:leader="none" w:pos="1864"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Borrower may from time to time reduce the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Commitment shall be in an amount that is an integral multiple of $1,000,000 and not less than $5,000,000 and (ii) the Borrower shall not terminate or reduce the Commitment if, after giving effect to any concurrent prepayment of the Loans in accordance with Section 2.09, the Exposure would exceed the Commitment.</w:t>
      </w:r>
    </w:p>
    <w:p>
      <w:pPr>
        <w:spacing w:after="0" w:line="184" w:lineRule="exact"/>
        <w:rPr>
          <w:rFonts w:ascii="Arial" w:cs="Arial" w:eastAsia="Arial" w:hAnsi="Arial"/>
          <w:sz w:val="22"/>
          <w:szCs w:val="22"/>
          <w:color w:val="auto"/>
        </w:rPr>
      </w:pPr>
    </w:p>
    <w:p>
      <w:pPr>
        <w:jc w:val="both"/>
        <w:ind w:firstLine="1304"/>
        <w:spacing w:after="0" w:line="248" w:lineRule="auto"/>
        <w:tabs>
          <w:tab w:leader="none" w:pos="1917"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Borrower shall notify the Lender of any election to terminate or reduce the Commitment under paragraphs (b) or (c) of this Section at least three (3) Business Days prior to the effective date of such termination, specifying such election and the effective date thereof. Each notice delivered by the Borrower pursuant to this Section shall be irrevocable;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notice of termination or reduction of the Commitment delivered by the Borrower may state that such notice is conditioned upon the effectiveness of other credit facilities, in which case such notice may be revoked by the Borrower (by notice to the Lender on or prior to the specified effective date) if such condition is not satisfied. Any termination or reduction of the Commitment shall be permanent.</w:t>
      </w:r>
    </w:p>
    <w:p>
      <w:pPr>
        <w:spacing w:after="0" w:line="19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Repayment and Amortization of Loans; Evidence of Debt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604" w:right="339" w:bottom="1440" w:gutter="0" w:footer="0" w:header="0"/>
        </w:sectPr>
      </w:pPr>
    </w:p>
    <w:bookmarkStart w:id="66" w:name="page67"/>
    <w:bookmarkEnd w:id="66"/>
    <w:p>
      <w:pPr>
        <w:ind w:firstLine="1304"/>
        <w:spacing w:after="0" w:line="276" w:lineRule="auto"/>
        <w:tabs>
          <w:tab w:leader="none" w:pos="17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the Lender the then unpaid principal amount of each Loan on the Maturity Date.</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863"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Lender shall maintain in accordance with its usual practice an account or accounts evidencing the Indebtedness of the Borrower to the Lender resulting from each Loan made by the Lender, including the amounts of principal and interest payable and paid to the Lender from time to time hereunder.</w:t>
      </w:r>
    </w:p>
    <w:p>
      <w:pPr>
        <w:spacing w:after="0" w:line="180" w:lineRule="exact"/>
        <w:rPr>
          <w:rFonts w:ascii="Arial" w:cs="Arial" w:eastAsia="Arial" w:hAnsi="Arial"/>
          <w:sz w:val="22"/>
          <w:szCs w:val="22"/>
          <w:color w:val="auto"/>
        </w:rPr>
      </w:pPr>
    </w:p>
    <w:p>
      <w:pPr>
        <w:jc w:val="both"/>
        <w:ind w:firstLine="1304"/>
        <w:spacing w:after="0" w:line="254" w:lineRule="auto"/>
        <w:tabs>
          <w:tab w:leader="none" w:pos="17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Lender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Lender hereunder.</w:t>
      </w:r>
    </w:p>
    <w:p>
      <w:pPr>
        <w:spacing w:after="0" w:line="184" w:lineRule="exact"/>
        <w:rPr>
          <w:rFonts w:ascii="Arial" w:cs="Arial" w:eastAsia="Arial" w:hAnsi="Arial"/>
          <w:sz w:val="22"/>
          <w:szCs w:val="22"/>
          <w:color w:val="auto"/>
        </w:rPr>
      </w:pPr>
    </w:p>
    <w:p>
      <w:pPr>
        <w:jc w:val="both"/>
        <w:ind w:firstLine="1304"/>
        <w:spacing w:after="0" w:line="254" w:lineRule="auto"/>
        <w:tabs>
          <w:tab w:leader="none" w:pos="1782"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(b) or (c) of this Section shall be </w:t>
      </w:r>
      <w:r>
        <w:rPr>
          <w:rFonts w:ascii="Arial" w:cs="Arial" w:eastAsia="Arial" w:hAnsi="Arial"/>
          <w:sz w:val="22"/>
          <w:szCs w:val="22"/>
          <w:u w:val="single" w:color="auto"/>
          <w:color w:val="auto"/>
        </w:rPr>
        <w:t>prima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Lender to maintain such accounts or any error therein shall not in any manner affect the obligation of the Borrower to repay the Loans in accordance with the terms of this Agreement.</w:t>
      </w:r>
    </w:p>
    <w:p>
      <w:pPr>
        <w:spacing w:after="0" w:line="184" w:lineRule="exact"/>
        <w:rPr>
          <w:rFonts w:ascii="Arial" w:cs="Arial" w:eastAsia="Arial" w:hAnsi="Arial"/>
          <w:sz w:val="22"/>
          <w:szCs w:val="22"/>
          <w:color w:val="auto"/>
        </w:rPr>
      </w:pPr>
    </w:p>
    <w:p>
      <w:pPr>
        <w:jc w:val="both"/>
        <w:ind w:firstLine="1304"/>
        <w:spacing w:after="0" w:line="264" w:lineRule="auto"/>
        <w:tabs>
          <w:tab w:leader="none" w:pos="1851"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Lender may request that Loans made by it be evidenced by a promissory note. In such event, the Borrower shall prepare, execute and deliver to the Lender a promissory note payable to the order of the Lender (or, if requested by the Lender, to the Lender and its registered assigns) and in a form approved by the Lender. Thereafter, the Loans evidenced by such promissory note and interest thereon shall at all times (including after assignment pursuant to Section 8.04) be represented by one or more promissory notes in such form payable to the order of the payee named therein (or, if such promissory note is a registered note, to such payee and its registered assigns).</w:t>
      </w:r>
    </w:p>
    <w:p>
      <w:pPr>
        <w:spacing w:after="0" w:line="17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729"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Borrower shall have the right at any time and from time to time to prepay any Borrowing in whole or in part, subject to prior notice in accordance with paragraph (e) of this Section and, if applicable, payment of any break funding expenses under Section 2.14.</w:t>
      </w:r>
    </w:p>
    <w:p>
      <w:pPr>
        <w:spacing w:after="0" w:line="180" w:lineRule="exact"/>
        <w:rPr>
          <w:rFonts w:ascii="Arial" w:cs="Arial" w:eastAsia="Arial" w:hAnsi="Arial"/>
          <w:sz w:val="22"/>
          <w:szCs w:val="22"/>
          <w:color w:val="auto"/>
        </w:rPr>
      </w:pPr>
    </w:p>
    <w:p>
      <w:pPr>
        <w:ind w:firstLine="1304"/>
        <w:spacing w:after="0" w:line="276" w:lineRule="auto"/>
        <w:tabs>
          <w:tab w:leader="none" w:pos="1741"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the event and on such occasion that the Exposure exceeds the Commitment, the Borrower shall prepay the Loans and LC Exposure.</w:t>
      </w:r>
    </w:p>
    <w:p>
      <w:pPr>
        <w:spacing w:after="0" w:line="160" w:lineRule="exact"/>
        <w:rPr>
          <w:rFonts w:ascii="Arial" w:cs="Arial" w:eastAsia="Arial" w:hAnsi="Arial"/>
          <w:sz w:val="22"/>
          <w:szCs w:val="22"/>
          <w:color w:val="auto"/>
        </w:rPr>
      </w:pPr>
    </w:p>
    <w:p>
      <w:pPr>
        <w:ind w:left="1760" w:hanging="456"/>
        <w:spacing w:after="0"/>
        <w:tabs>
          <w:tab w:leader="none" w:pos="17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Borrower shall notify the Lender by telephone (confirmed by fax or electronic mail) of any prepayment</w:t>
      </w:r>
    </w:p>
    <w:p>
      <w:pPr>
        <w:spacing w:after="0" w:line="55" w:lineRule="exact"/>
        <w:rPr>
          <w:rFonts w:ascii="Arial" w:cs="Arial" w:eastAsia="Arial" w:hAnsi="Arial"/>
          <w:sz w:val="19"/>
          <w:szCs w:val="19"/>
          <w:color w:val="auto"/>
        </w:rPr>
      </w:pPr>
    </w:p>
    <w:p>
      <w:pPr>
        <w:jc w:val="both"/>
        <w:spacing w:after="0" w:line="293" w:lineRule="auto"/>
        <w:rPr>
          <w:rFonts w:ascii="Arial" w:cs="Arial" w:eastAsia="Arial" w:hAnsi="Arial"/>
          <w:sz w:val="19"/>
          <w:szCs w:val="19"/>
          <w:color w:val="auto"/>
        </w:rPr>
      </w:pPr>
      <w:r>
        <w:rPr>
          <w:rFonts w:ascii="Arial" w:cs="Arial" w:eastAsia="Arial" w:hAnsi="Arial"/>
          <w:sz w:val="19"/>
          <w:szCs w:val="19"/>
          <w:color w:val="auto"/>
        </w:rPr>
        <w:t xml:space="preserve">under this Section: (i) in the case of prepayment of a Eurodollar Borrowing, not later than 10:00 a.m., Pacific time, three (3) Business Days before the date of prepayment, or (ii) in the case of prepayment of an ABR Borrowing, not later than 10:00 a.m., Pacific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 as contemplated by Section 2.07, then such notice of prepayment may be revoked if such notice of termination is revoked in accordance with Section 2.07. Each partial prepayment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604" w:right="339" w:bottom="1440" w:gutter="0" w:footer="0" w:header="0"/>
        </w:sectPr>
      </w:pPr>
    </w:p>
    <w:bookmarkStart w:id="67" w:name="page68"/>
    <w:bookmarkEnd w:id="67"/>
    <w:p>
      <w:pPr>
        <w:jc w:val="both"/>
        <w:spacing w:after="0" w:line="302" w:lineRule="auto"/>
        <w:rPr>
          <w:sz w:val="20"/>
          <w:szCs w:val="20"/>
          <w:color w:val="auto"/>
        </w:rPr>
      </w:pPr>
      <w:r>
        <w:rPr>
          <w:rFonts w:ascii="Arial" w:cs="Arial" w:eastAsia="Arial" w:hAnsi="Arial"/>
          <w:sz w:val="19"/>
          <w:szCs w:val="19"/>
          <w:color w:val="auto"/>
        </w:rPr>
        <w:t>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2.11 and (ii) break funding payments pursuant to Section 2.14.</w:t>
      </w:r>
    </w:p>
    <w:p>
      <w:pPr>
        <w:spacing w:after="0" w:line="142" w:lineRule="exact"/>
        <w:rPr>
          <w:sz w:val="20"/>
          <w:szCs w:val="20"/>
          <w:color w:val="auto"/>
        </w:rPr>
      </w:pPr>
    </w:p>
    <w:p>
      <w:pPr>
        <w:ind w:firstLine="1304"/>
        <w:spacing w:after="0" w:line="276" w:lineRule="auto"/>
        <w:tabs>
          <w:tab w:leader="none" w:pos="176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At least one time during each two-year period of this Agreement, the Loans outstanding shall be reduced to zero for a period of at least 30 consecutive days.</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61" w:lineRule="auto"/>
        <w:tabs>
          <w:tab w:leader="none" w:pos="17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Borrower agrees to pay to the Lender a commitment fee, which shall accrue at the Applicable Rate on the daily amount of the undrawn portion of the Commitment of the Lender during the period from and including the Effective Date to but excluding the date on which the Lender’s Commitment terminates; it being understood that the LC Exposure shall be included in the drawn portion of the Commitment for purposes of calculating the commitment fee. Accrued commitment fees shall be payable in arrears on the last day of March, June, September and December of each year and on the date on which the Commitment terminates,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0" w:lineRule="exact"/>
        <w:rPr>
          <w:rFonts w:ascii="Arial" w:cs="Arial" w:eastAsia="Arial" w:hAnsi="Arial"/>
          <w:sz w:val="21"/>
          <w:szCs w:val="21"/>
          <w:color w:val="auto"/>
        </w:rPr>
      </w:pPr>
    </w:p>
    <w:p>
      <w:pPr>
        <w:jc w:val="both"/>
        <w:ind w:firstLine="1304"/>
        <w:spacing w:after="0" w:line="289" w:lineRule="auto"/>
        <w:tabs>
          <w:tab w:leader="none" w:pos="179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Borrower agrees to pay (i) to the Lender a letter of credit fee with respect to Letters of Credit, which shall accrue at the Letter of Credit Fee Rate on the daily amount of the Lender’s LC Exposure during the period from and including the Effective Date to but excluding the later of the date on which the Lender’s Commitment terminates and the date on which the Lender ceases to have any LC Exposure, and (ii) the Lender’s standard fees and commissions with respect to the issuance, amendment, cancellation, negotiation, transfer, presentment, renewal or extension of any Letter of Credit or processing of drawings thereunder. Letter of credit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Commitment terminates and any such fees accruing after the date on which the Commitment terminates shall be payable on demand. Any other fees payable to the Lender pursuant to this paragraph shall be payable within ten (10) days after demand. All letter of credit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firstLine="1304"/>
        <w:spacing w:after="0" w:line="276" w:lineRule="auto"/>
        <w:tabs>
          <w:tab w:leader="none" w:pos="17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Borrower agrees to pay to the Lender the fees in the amounts set forth in the fee letter dated as of June 1, 2016 between the Borrower and Lender on the terms set forth in such fee letter.</w:t>
      </w:r>
    </w:p>
    <w:p>
      <w:pPr>
        <w:spacing w:after="0" w:line="160" w:lineRule="exact"/>
        <w:rPr>
          <w:rFonts w:ascii="Arial" w:cs="Arial" w:eastAsia="Arial" w:hAnsi="Arial"/>
          <w:sz w:val="22"/>
          <w:szCs w:val="22"/>
          <w:color w:val="auto"/>
        </w:rPr>
      </w:pPr>
    </w:p>
    <w:p>
      <w:pPr>
        <w:ind w:firstLine="1304"/>
        <w:spacing w:after="0" w:line="276" w:lineRule="auto"/>
        <w:tabs>
          <w:tab w:leader="none" w:pos="1728"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Lender. Fees paid shall not be refundable under any circumstances.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604" w:right="339" w:bottom="1440" w:gutter="0" w:footer="0" w:header="0"/>
        </w:sectPr>
      </w:pPr>
    </w:p>
    <w:bookmarkStart w:id="68" w:name="page69"/>
    <w:bookmarkEnd w:id="68"/>
    <w:p>
      <w:pPr>
        <w:ind w:left="1300"/>
        <w:spacing w:after="0"/>
        <w:tabs>
          <w:tab w:leader="none" w:pos="2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Loans comprising each ABR Borrowing shall bear interest at the Alternate Base Rate plus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15" w:lineRule="exact"/>
        <w:rPr>
          <w:sz w:val="20"/>
          <w:szCs w:val="20"/>
          <w:color w:val="auto"/>
        </w:rPr>
      </w:pPr>
    </w:p>
    <w:p>
      <w:pPr>
        <w:ind w:firstLine="1304"/>
        <w:spacing w:after="0" w:line="276" w:lineRule="auto"/>
        <w:tabs>
          <w:tab w:leader="none" w:pos="183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Loans comprising each Eurodollar Borrowing shall bear interest at the Adjusted LIBO Rate for the Interest Period in effect for such Borrowing plus the Applicable Rate.</w:t>
      </w:r>
    </w:p>
    <w:p>
      <w:pPr>
        <w:spacing w:after="0" w:line="160" w:lineRule="exact"/>
        <w:rPr>
          <w:rFonts w:ascii="Arial" w:cs="Arial" w:eastAsia="Arial" w:hAnsi="Arial"/>
          <w:sz w:val="22"/>
          <w:szCs w:val="22"/>
          <w:color w:val="auto"/>
        </w:rPr>
      </w:pPr>
    </w:p>
    <w:p>
      <w:pPr>
        <w:jc w:val="both"/>
        <w:ind w:firstLine="1304"/>
        <w:spacing w:after="0" w:line="307" w:lineRule="auto"/>
        <w:tabs>
          <w:tab w:leader="none" w:pos="1797"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Notwithstanding the foregoing, during the occurrence and continuance of an Event of Default, the Lender may, at its option, by notice to the Borrower,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37" w:lineRule="exact"/>
        <w:rPr>
          <w:rFonts w:ascii="Arial" w:cs="Arial" w:eastAsia="Arial" w:hAnsi="Arial"/>
          <w:sz w:val="19"/>
          <w:szCs w:val="19"/>
          <w:color w:val="auto"/>
        </w:rPr>
      </w:pPr>
    </w:p>
    <w:p>
      <w:pPr>
        <w:jc w:val="both"/>
        <w:ind w:firstLine="1304"/>
        <w:spacing w:after="0" w:line="294" w:lineRule="auto"/>
        <w:tabs>
          <w:tab w:leader="none" w:pos="179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Accrued interest on each Loan (for ABR Loans, accrued through the last day of the prior calendar month) shall be payable in arrears on each Interest Payment Date for such Loan and, in the case of Loans, upon termination of the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51" w:lineRule="exact"/>
        <w:rPr>
          <w:rFonts w:ascii="Arial" w:cs="Arial" w:eastAsia="Arial" w:hAnsi="Arial"/>
          <w:sz w:val="19"/>
          <w:szCs w:val="19"/>
          <w:color w:val="auto"/>
        </w:rPr>
      </w:pPr>
    </w:p>
    <w:p>
      <w:pPr>
        <w:jc w:val="both"/>
        <w:ind w:firstLine="1304"/>
        <w:spacing w:after="0" w:line="300" w:lineRule="auto"/>
        <w:tabs>
          <w:tab w:leader="none" w:pos="172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Lender, and such determination shall be conclusive absent manifest error.</w:t>
      </w:r>
    </w:p>
    <w:p>
      <w:pPr>
        <w:spacing w:after="0" w:line="146"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Alternate Rate of Interest; Illegality</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prior to the commencement of any Interest Period for a Eurodollar Borrowing:</w:t>
      </w:r>
    </w:p>
    <w:p>
      <w:pPr>
        <w:spacing w:after="0" w:line="233" w:lineRule="exact"/>
        <w:rPr>
          <w:rFonts w:ascii="Arial" w:cs="Arial" w:eastAsia="Arial" w:hAnsi="Arial"/>
          <w:sz w:val="22"/>
          <w:szCs w:val="22"/>
          <w:color w:val="auto"/>
        </w:rPr>
      </w:pPr>
    </w:p>
    <w:p>
      <w:pPr>
        <w:jc w:val="both"/>
        <w:ind w:left="660" w:firstLine="1292"/>
        <w:spacing w:after="0" w:line="251" w:lineRule="auto"/>
        <w:tabs>
          <w:tab w:leader="none" w:pos="2421"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Lender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provided that no Benchmark Transition Event shall have occurred at such time; or</w:t>
      </w:r>
    </w:p>
    <w:p>
      <w:pPr>
        <w:spacing w:after="0" w:line="189" w:lineRule="exact"/>
        <w:rPr>
          <w:rFonts w:ascii="Arial" w:cs="Arial" w:eastAsia="Arial" w:hAnsi="Arial"/>
          <w:sz w:val="22"/>
          <w:szCs w:val="22"/>
          <w:color w:val="auto"/>
        </w:rPr>
      </w:pPr>
    </w:p>
    <w:p>
      <w:pPr>
        <w:ind w:left="660" w:firstLine="1292"/>
        <w:spacing w:after="0" w:line="276" w:lineRule="auto"/>
        <w:tabs>
          <w:tab w:leader="none" w:pos="249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Lender determines the Adjusted LIBO Rate or the LIBO Rate, as applicable, for such Interest Period will not adequately and fairly reflect the cost to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604" w:right="339" w:bottom="1440" w:gutter="0" w:footer="0" w:header="0"/>
        </w:sectPr>
      </w:pPr>
    </w:p>
    <w:bookmarkStart w:id="69" w:name="page70"/>
    <w:bookmarkEnd w:id="69"/>
    <w:p>
      <w:pPr>
        <w:ind w:left="660"/>
        <w:spacing w:after="0" w:line="263" w:lineRule="auto"/>
        <w:rPr>
          <w:sz w:val="20"/>
          <w:szCs w:val="20"/>
          <w:color w:val="auto"/>
        </w:rPr>
      </w:pPr>
      <w:r>
        <w:rPr>
          <w:rFonts w:ascii="Arial" w:cs="Arial" w:eastAsia="Arial" w:hAnsi="Arial"/>
          <w:sz w:val="22"/>
          <w:szCs w:val="22"/>
          <w:color w:val="auto"/>
        </w:rPr>
        <w:t>Lender of making or maintaining its Loans (or Loan) included in such Borrowing for such Interest Period; provided that no Benchmark Transition Event shall have occurred at such time;</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then the Lender shall give notice thereof to the Borrower by telephone, fax or electronic communication as provided in Section 8.01 as promptly as practicable thereafter and, until the Lender notifies the Borrower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(B) if any Borrowing Request requests a Eurodollar Borrowing, such Borrowing shall be made as an ABR Borrowing.</w:t>
      </w:r>
    </w:p>
    <w:p>
      <w:pPr>
        <w:spacing w:after="0" w:line="149" w:lineRule="exact"/>
        <w:rPr>
          <w:sz w:val="20"/>
          <w:szCs w:val="20"/>
          <w:color w:val="auto"/>
        </w:rPr>
      </w:pPr>
    </w:p>
    <w:p>
      <w:pPr>
        <w:jc w:val="both"/>
        <w:ind w:firstLine="1304"/>
        <w:spacing w:after="0" w:line="259" w:lineRule="auto"/>
        <w:tabs>
          <w:tab w:leader="none" w:pos="1876"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the Lender determines that any Requirement of Law has made it unlawful, or if any Governmental Authority has asserted that it is unlawful, for the Lender or its applicable lending office to make, maintain, fund or continue any Eurodollar Borrowing, or any Governmental Authority has imposed material restrictions on the authority of the Lender to purchase or sell, or to take deposits of, dollars in the London interbank market, then, on notice thereof by the Lender to the Borrower, any obligations of the Lender to make, maintain, fund or continue Eurodollar Loans or to convert ABR Borrowings to Eurodollar Borrowings will be suspended until the Lender notifies the Borrower that the circumstances giving rise to such determination no longer exist. Upon receipt of such notice, the Borrower will upon demand from the Lender, either prepay or convert all Eurodollar Borrowings of the Lender to ABR Borrowings, either on the last day of the Interest Period therefor, if the Lender may lawfully continue to maintain such Eurodollar Borrowings to such day, or immediately, if the Lender may not lawfully continue to maintain such Loans. Upon any such prepayment or conversion, the Borrower will also pay accrued interest on the amount so prepaid or converted.</w:t>
      </w:r>
    </w:p>
    <w:p>
      <w:pPr>
        <w:spacing w:after="0" w:line="184" w:lineRule="exact"/>
        <w:rPr>
          <w:rFonts w:ascii="Arial" w:cs="Arial" w:eastAsia="Arial" w:hAnsi="Arial"/>
          <w:sz w:val="21"/>
          <w:szCs w:val="21"/>
          <w:color w:val="auto"/>
        </w:rPr>
      </w:pPr>
    </w:p>
    <w:p>
      <w:pPr>
        <w:jc w:val="both"/>
        <w:ind w:firstLine="1304"/>
        <w:spacing w:after="0" w:line="287" w:lineRule="auto"/>
        <w:tabs>
          <w:tab w:leader="none" w:pos="1743"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a Benchmark Transition Event occurs, then the Lender may, by notice to Borrower, select an alternate rate of interest for the LIBO Rate that gives due consideration to the then-evolving or prevailing market convention for determining a rate of interest for loans in US Dollars at such time (the “</w:t>
      </w:r>
      <w:r>
        <w:rPr>
          <w:rFonts w:ascii="Arial" w:cs="Arial" w:eastAsia="Arial" w:hAnsi="Arial"/>
          <w:sz w:val="19"/>
          <w:szCs w:val="19"/>
          <w:u w:val="single" w:color="auto"/>
          <w:color w:val="auto"/>
        </w:rPr>
        <w:t>Alternate Rate</w:t>
      </w:r>
      <w:r>
        <w:rPr>
          <w:rFonts w:ascii="Arial" w:cs="Arial" w:eastAsia="Arial" w:hAnsi="Arial"/>
          <w:sz w:val="19"/>
          <w:szCs w:val="19"/>
          <w:color w:val="auto"/>
        </w:rPr>
        <w:t>”); Borrower acknowledges that the Alternate Rate may include a mathematical adjustment using any then-evolving or prevailing market convention or method for determining a spread adjustment for the replacement of the LIBO Rate. For avoidance of doubt, all references to the LIBO Rate shall be deemed to be references to the Alternate Rate when the Alternate Rate becomes effective in accordance with this section. In addition, the Lender will have the right, from time to time by notice to Borrower to make technical, administrative or operational changes (including, without limitation, changes to the definition of “Interest Period”, timing and frequency of determining rates and making payments of interest and other administrative matters) that the Lender decides in its reasonable discretion may be appropriate to reflect the adoption and implementation of the Alternate Rate. The Alternate Rate, together with all such technical, administrative and operational changes as specified in any notice, shall become effective at the later of (i) the fifth (5th) Business Day after the Lender has provided notice to the Borrower (the “</w:t>
      </w:r>
      <w:r>
        <w:rPr>
          <w:rFonts w:ascii="Arial" w:cs="Arial" w:eastAsia="Arial" w:hAnsi="Arial"/>
          <w:sz w:val="19"/>
          <w:szCs w:val="19"/>
          <w:u w:val="single" w:color="auto"/>
          <w:color w:val="auto"/>
        </w:rPr>
        <w:t>Notice Date</w:t>
      </w:r>
      <w:r>
        <w:rPr>
          <w:rFonts w:ascii="Arial" w:cs="Arial" w:eastAsia="Arial" w:hAnsi="Arial"/>
          <w:sz w:val="19"/>
          <w:szCs w:val="19"/>
          <w:color w:val="auto"/>
        </w:rPr>
        <w:t>”) and (ii) a date specified by the Lender in the notice, without any further action or consent of the Borrower, so long as Lender has not received, by 5:00pm Eastern time on the Notice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604" w:right="339" w:bottom="1440" w:gutter="0" w:footer="0" w:header="0"/>
        </w:sectPr>
      </w:pPr>
    </w:p>
    <w:bookmarkStart w:id="70" w:name="page71"/>
    <w:bookmarkEnd w:id="70"/>
    <w:p>
      <w:pPr>
        <w:jc w:val="both"/>
        <w:spacing w:after="0" w:line="292" w:lineRule="auto"/>
        <w:rPr>
          <w:sz w:val="20"/>
          <w:szCs w:val="20"/>
          <w:color w:val="auto"/>
        </w:rPr>
      </w:pPr>
      <w:r>
        <w:rPr>
          <w:rFonts w:ascii="Arial" w:cs="Arial" w:eastAsia="Arial" w:hAnsi="Arial"/>
          <w:sz w:val="19"/>
          <w:szCs w:val="19"/>
          <w:color w:val="auto"/>
        </w:rPr>
        <w:t>written notice of objection to the Alternate Rate from the Borrower. Any determination, decision, or election that may be made by the Lender pursuant to this section, including any determination with respect to a rate or adjustment or the occurrence or non-occurrence of an event, circumstance or date, and any decision to take or refrain from taking any action, will be conclusive and binding absent manifest error and may be made in its sole discretion and without consent from the Borrower. Until an Alternate Rate shall be determined in accordance with this section, the interest rate shall be equal to the sum of (a) the greater of (x) Prime Rate and (y) 2.50%, plus (b) the Applicable Rate with respect to the appropriate “ABR Rate Spread” specified within such Applicable Rate definition. In no event shall the Alternate Rate be less than 0.50%.</w:t>
      </w:r>
    </w:p>
    <w:p>
      <w:pPr>
        <w:spacing w:after="0" w:line="15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color w:val="auto"/>
        </w:rPr>
        <w:t>. If any Change in Law shall:</w:t>
      </w:r>
    </w:p>
    <w:p>
      <w:pPr>
        <w:spacing w:after="0" w:line="233" w:lineRule="exact"/>
        <w:rPr>
          <w:sz w:val="20"/>
          <w:szCs w:val="20"/>
          <w:color w:val="auto"/>
        </w:rPr>
      </w:pPr>
    </w:p>
    <w:p>
      <w:pPr>
        <w:jc w:val="both"/>
        <w:ind w:left="660" w:firstLine="1292"/>
        <w:spacing w:after="0" w:line="254" w:lineRule="auto"/>
        <w:tabs>
          <w:tab w:leader="none" w:pos="2488" w:val="left"/>
        </w:tabs>
        <w:numPr>
          <w:ilvl w:val="1"/>
          <w:numId w:val="40"/>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the Lender (except any such reserve requirement reflected in the Adjusted LIBO Rate); or</w:t>
      </w:r>
    </w:p>
    <w:p>
      <w:pPr>
        <w:spacing w:after="0" w:line="184" w:lineRule="exact"/>
        <w:rPr>
          <w:rFonts w:ascii="Arial" w:cs="Arial" w:eastAsia="Arial" w:hAnsi="Arial"/>
          <w:sz w:val="22"/>
          <w:szCs w:val="22"/>
          <w:color w:val="auto"/>
        </w:rPr>
      </w:pPr>
    </w:p>
    <w:p>
      <w:pPr>
        <w:ind w:left="660" w:firstLine="1292"/>
        <w:spacing w:after="0" w:line="276" w:lineRule="auto"/>
        <w:tabs>
          <w:tab w:leader="none" w:pos="2481" w:val="left"/>
        </w:tabs>
        <w:numPr>
          <w:ilvl w:val="1"/>
          <w:numId w:val="40"/>
        </w:numPr>
        <w:rPr>
          <w:rFonts w:ascii="Arial" w:cs="Arial" w:eastAsia="Arial" w:hAnsi="Arial"/>
          <w:sz w:val="22"/>
          <w:szCs w:val="22"/>
          <w:color w:val="auto"/>
        </w:rPr>
      </w:pPr>
      <w:r>
        <w:rPr>
          <w:rFonts w:ascii="Arial" w:cs="Arial" w:eastAsia="Arial" w:hAnsi="Arial"/>
          <w:sz w:val="22"/>
          <w:szCs w:val="22"/>
          <w:color w:val="auto"/>
        </w:rPr>
        <w:t>impose on the Lender or the London interbank market any other condition, cost or expense (other than Taxes) affecting this Agreement or Loans made by the Lender or any Letter of Credit; or</w:t>
      </w:r>
    </w:p>
    <w:p>
      <w:pPr>
        <w:spacing w:after="0" w:line="160" w:lineRule="exact"/>
        <w:rPr>
          <w:rFonts w:ascii="Arial" w:cs="Arial" w:eastAsia="Arial" w:hAnsi="Arial"/>
          <w:sz w:val="22"/>
          <w:szCs w:val="22"/>
          <w:color w:val="auto"/>
        </w:rPr>
      </w:pPr>
    </w:p>
    <w:p>
      <w:pPr>
        <w:ind w:left="2500" w:hanging="548"/>
        <w:spacing w:after="0"/>
        <w:tabs>
          <w:tab w:leader="none" w:pos="25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subject the Lender to any Taxes (other than (A) Indemnified Taxes, (B) Taxes described in clauses</w:t>
      </w:r>
    </w:p>
    <w:p>
      <w:pPr>
        <w:spacing w:after="0" w:line="55" w:lineRule="exact"/>
        <w:rPr>
          <w:rFonts w:ascii="Arial" w:cs="Arial" w:eastAsia="Arial" w:hAnsi="Arial"/>
          <w:sz w:val="19"/>
          <w:szCs w:val="19"/>
          <w:color w:val="auto"/>
        </w:rPr>
      </w:pPr>
    </w:p>
    <w:p>
      <w:pPr>
        <w:ind w:left="660" w:hanging="4"/>
        <w:spacing w:after="0" w:line="338" w:lineRule="auto"/>
        <w:tabs>
          <w:tab w:leader="none" w:pos="9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and the result of any of the foregoing shall be to increase the cost to the Lender of making, continuing, converting into or maintaining any Loan (or of maintaining its obligation to make any such Loan) or to increase the cost to the Lender of issuing or maintaining any Letter of Credit or to reduce the amount of any sum received or receivable by the Lender hereunder (whether of principal, interest or otherwise), then the Borrower will pay to the Lender such additional amount or amounts as will compensate the Lender for such additional costs incurred or reduction suffered.</w:t>
      </w:r>
    </w:p>
    <w:p>
      <w:pPr>
        <w:spacing w:after="0" w:line="175" w:lineRule="exact"/>
        <w:rPr>
          <w:sz w:val="20"/>
          <w:szCs w:val="20"/>
          <w:color w:val="auto"/>
        </w:rPr>
      </w:pPr>
    </w:p>
    <w:p>
      <w:pPr>
        <w:jc w:val="both"/>
        <w:ind w:firstLine="1304"/>
        <w:spacing w:after="0" w:line="262" w:lineRule="auto"/>
        <w:tabs>
          <w:tab w:leader="none" w:pos="1795" w:val="left"/>
        </w:tabs>
        <w:numPr>
          <w:ilvl w:val="0"/>
          <w:numId w:val="42"/>
        </w:numPr>
        <w:rPr>
          <w:rFonts w:ascii="Arial" w:cs="Arial" w:eastAsia="Arial" w:hAnsi="Arial"/>
          <w:sz w:val="21"/>
          <w:szCs w:val="21"/>
          <w:color w:val="auto"/>
        </w:rPr>
      </w:pPr>
      <w:r>
        <w:rPr>
          <w:rFonts w:ascii="Arial" w:cs="Arial" w:eastAsia="Arial" w:hAnsi="Arial"/>
          <w:sz w:val="21"/>
          <w:szCs w:val="21"/>
          <w:color w:val="auto"/>
        </w:rPr>
        <w:t>If the Lender determines that any Change in Law regarding capital or liquidity requirements has or would have the effect of reducing the rate of return on the Lender’s capital or on the capital of the Lender’s holding company as a consequence of this Agreement, the Commitment of or the Loans made by Letters of Credit issued by the Lender to a level below that which the Lender or the Lender’s holding company could have achieved but for such Change in Law (taking into consideration the Lender’s policies and the policies of the Lender’s holding company with respect to capital adequacy and liquidity), then from time to time the Borrower will pay to the Lender such additional amount or amounts as will compensate the Lender or the Lender’s holding company for any such reduction suffered.</w:t>
      </w:r>
    </w:p>
    <w:p>
      <w:pPr>
        <w:spacing w:after="0" w:line="179" w:lineRule="exact"/>
        <w:rPr>
          <w:rFonts w:ascii="Arial" w:cs="Arial" w:eastAsia="Arial" w:hAnsi="Arial"/>
          <w:sz w:val="21"/>
          <w:szCs w:val="21"/>
          <w:color w:val="auto"/>
        </w:rPr>
      </w:pPr>
    </w:p>
    <w:p>
      <w:pPr>
        <w:ind w:right="20" w:firstLine="1304"/>
        <w:spacing w:after="0" w:line="276" w:lineRule="auto"/>
        <w:tabs>
          <w:tab w:leader="none" w:pos="1783" w:val="left"/>
        </w:tabs>
        <w:numPr>
          <w:ilvl w:val="0"/>
          <w:numId w:val="42"/>
        </w:numPr>
        <w:rPr>
          <w:rFonts w:ascii="Arial" w:cs="Arial" w:eastAsia="Arial" w:hAnsi="Arial"/>
          <w:sz w:val="22"/>
          <w:szCs w:val="22"/>
          <w:color w:val="auto"/>
        </w:rPr>
      </w:pPr>
      <w:r>
        <w:rPr>
          <w:rFonts w:ascii="Arial" w:cs="Arial" w:eastAsia="Arial" w:hAnsi="Arial"/>
          <w:sz w:val="22"/>
          <w:szCs w:val="22"/>
          <w:color w:val="auto"/>
        </w:rPr>
        <w:t>A certificate of the Lender setting forth the amount or amounts necessary to compensate the Lender or its holding company, as the case may be, as specified in paragraph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604" w:right="3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or (b) of this Section shall be delivered to the Borrower and shall be conclusive absent manifest error. The Borrower shall pay the Lender the amount shown as due on any such certificate within ten (10) days after receipt thereof.</w:t>
      </w:r>
    </w:p>
    <w:p>
      <w:pPr>
        <w:spacing w:after="0" w:line="175" w:lineRule="exact"/>
        <w:rPr>
          <w:sz w:val="20"/>
          <w:szCs w:val="20"/>
          <w:color w:val="auto"/>
        </w:rPr>
      </w:pPr>
    </w:p>
    <w:p>
      <w:pPr>
        <w:jc w:val="both"/>
        <w:ind w:firstLine="1304"/>
        <w:spacing w:after="0" w:line="248" w:lineRule="auto"/>
        <w:tabs>
          <w:tab w:leader="none" w:pos="1876"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Failure or delay on the part of the Lender to demand compensation pursuant to this Section shall not constitute a waiver of the Lender’s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compensate the Lender pursuant to this Section for any increased costs or reductions incurred more than 270 days prior to the date that the Lender notifies the Borrower of the Change in Law giving rise to such increased costs or reductions and of the Lender’s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 (a) the payment of any principal of any Eurodollar Loan other than on the last day of an Interest Period applicable thereto (including as a result of an Event of Default or as a result of any prepayment pursuant to Section 2.09), (b) the conversion of any Eurodollar Loan other than on the last day of the Interest Period applicable thereto, or (c) the failure to borrow, convert, continue or prepay any Eurodollar Loan on the date specified in any notice delivered pursuant hereto (regardless of whether such notice may be revoked under Section 2.07(c) and is revoked in accordance therewith), then, in any such event, the Borrower shall compensate the Lender for the loss, cost and expense attributable to such event. In the case of a Eurodollar Loan, such loss, cost or expense to the Lender shall be deemed to include an amount determined by the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the Lender would bid were it to bid, at the commencement of such period, for dollar deposits of a comparable amount and period from other banks in the eurodollar market. A certificate of the Lender setting forth any amount or amounts that the Lender is entitled to receive pursuant to this Section shall be delivered to the Borrower and shall be conclusive absent manifest error. The Borrower shall pay the Lender the amount shown as due on any such certificate within ten (10) days after receipt thereof.</w:t>
      </w:r>
    </w:p>
    <w:p>
      <w:pPr>
        <w:spacing w:after="0" w:line="16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48" w:lineRule="auto"/>
        <w:tabs>
          <w:tab w:leader="none" w:pos="183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Withholding Taxes; Gross-Up; Payments Free of Taxes</w:t>
      </w:r>
      <w:r>
        <w:rPr>
          <w:rFonts w:ascii="Arial" w:cs="Arial" w:eastAsia="Arial" w:hAnsi="Arial"/>
          <w:sz w:val="22"/>
          <w:szCs w:val="22"/>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604" w:right="3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22"/>
          <w:szCs w:val="22"/>
          <w:color w:val="auto"/>
        </w:rPr>
        <w:t>the Borrower shall be increased as necessary so that after such deduction or withholding has been made (including such deductions and withholdings applicable to additional sums payable under this Section 2.15), the Lender receives an amount equal to the sum it would have received had no such deduction or withholding been made.</w:t>
      </w:r>
    </w:p>
    <w:p>
      <w:pPr>
        <w:spacing w:after="0" w:line="185" w:lineRule="exact"/>
        <w:rPr>
          <w:sz w:val="20"/>
          <w:szCs w:val="20"/>
          <w:color w:val="auto"/>
        </w:rPr>
      </w:pPr>
    </w:p>
    <w:p>
      <w:pPr>
        <w:ind w:right="20" w:firstLine="1304"/>
        <w:spacing w:after="0" w:line="358" w:lineRule="auto"/>
        <w:tabs>
          <w:tab w:leader="none" w:pos="184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The Borrower shall timely pay to the relevant Governmental Authority in accordance with applicable law, or at the option of the Lender, timely reimburse it for, Other Taxes.</w:t>
      </w:r>
    </w:p>
    <w:p>
      <w:pPr>
        <w:spacing w:after="0" w:line="90" w:lineRule="exact"/>
        <w:rPr>
          <w:rFonts w:ascii="Arial" w:cs="Arial" w:eastAsia="Arial" w:hAnsi="Arial"/>
          <w:sz w:val="19"/>
          <w:szCs w:val="19"/>
          <w:color w:val="auto"/>
        </w:rPr>
      </w:pPr>
    </w:p>
    <w:p>
      <w:pPr>
        <w:jc w:val="both"/>
        <w:ind w:firstLine="1304"/>
        <w:spacing w:after="0" w:line="254" w:lineRule="auto"/>
        <w:tabs>
          <w:tab w:leader="none" w:pos="1729"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Evidence of Payment</w:t>
      </w:r>
      <w:r>
        <w:rPr>
          <w:rFonts w:ascii="Arial" w:cs="Arial" w:eastAsia="Arial" w:hAnsi="Arial"/>
          <w:sz w:val="22"/>
          <w:szCs w:val="22"/>
          <w:color w:val="auto"/>
        </w:rPr>
        <w:t>. As soon as practicable after any payment of Taxes by the Borrower to a Governmental Authority pursuant to this Section 2.15,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84" w:lineRule="exact"/>
        <w:rPr>
          <w:rFonts w:ascii="Arial" w:cs="Arial" w:eastAsia="Arial" w:hAnsi="Arial"/>
          <w:sz w:val="22"/>
          <w:szCs w:val="22"/>
          <w:color w:val="auto"/>
        </w:rPr>
      </w:pPr>
    </w:p>
    <w:p>
      <w:pPr>
        <w:jc w:val="both"/>
        <w:ind w:firstLine="1304"/>
        <w:spacing w:after="0" w:line="297" w:lineRule="auto"/>
        <w:tabs>
          <w:tab w:leader="none" w:pos="1863"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Lender, within ten (10) days after demand therefor, for the full amount of any Indemnified Taxes (including Indemnified Taxes imposed or asserted on or attributable to amounts payable under this Section)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the Lender shall be conclusive absent manifest error.</w:t>
      </w:r>
    </w:p>
    <w:p>
      <w:pPr>
        <w:spacing w:after="0" w:line="146" w:lineRule="exact"/>
        <w:rPr>
          <w:rFonts w:ascii="Arial" w:cs="Arial" w:eastAsia="Arial" w:hAnsi="Arial"/>
          <w:sz w:val="19"/>
          <w:szCs w:val="19"/>
          <w:color w:val="auto"/>
        </w:rPr>
      </w:pPr>
    </w:p>
    <w:p>
      <w:pPr>
        <w:jc w:val="both"/>
        <w:ind w:firstLine="1304"/>
        <w:spacing w:after="0" w:line="287" w:lineRule="auto"/>
        <w:tabs>
          <w:tab w:leader="none" w:pos="175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the Lender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the Lender and without interest (other than any interest paid by the relevant Governmental Authority with respect to such refund). Such indemnifying party, upon the request of the Lender, shall repay to the Lender the amount paid to the Lender (plus any penalties, interest or other charges imposed by the relevant Governmental Authority) in the event the Lender is required to repay such refund to such Governmental Authority. Notwithstanding anything to the contrary in this paragraph (e), in no event will the Lender be required to pay any amount to any indemnifying party pursuant to this paragraph (e),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giving rise to such refund had never been paid. This paragraph (e) shall not be construed to require the Lender to make available its Tax returns (or any other information relating to its Taxes that it deems confidential) to the indemnifying party or any other Person.</w:t>
      </w:r>
    </w:p>
    <w:p>
      <w:pPr>
        <w:spacing w:after="0" w:line="162" w:lineRule="exact"/>
        <w:rPr>
          <w:rFonts w:ascii="Arial" w:cs="Arial" w:eastAsia="Arial" w:hAnsi="Arial"/>
          <w:sz w:val="19"/>
          <w:szCs w:val="19"/>
          <w:color w:val="auto"/>
        </w:rPr>
      </w:pPr>
    </w:p>
    <w:p>
      <w:pPr>
        <w:ind w:right="20" w:firstLine="1304"/>
        <w:spacing w:after="0" w:line="276" w:lineRule="auto"/>
        <w:tabs>
          <w:tab w:leader="none" w:pos="1719"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Section 2.15 shall survive the resignation or replacement of the Lender or any assignment of rights by, or the replacement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604" w:right="339" w:bottom="1440" w:gutter="0" w:footer="0" w:header="0"/>
        </w:sectPr>
      </w:pPr>
    </w:p>
    <w:bookmarkStart w:id="73" w:name="page74"/>
    <w:bookmarkEnd w:id="73"/>
    <w:p>
      <w:pPr>
        <w:spacing w:after="0" w:line="263" w:lineRule="auto"/>
        <w:rPr>
          <w:sz w:val="20"/>
          <w:szCs w:val="20"/>
          <w:color w:val="auto"/>
        </w:rPr>
      </w:pPr>
      <w:r>
        <w:rPr>
          <w:rFonts w:ascii="Arial" w:cs="Arial" w:eastAsia="Arial" w:hAnsi="Arial"/>
          <w:sz w:val="22"/>
          <w:szCs w:val="22"/>
          <w:color w:val="auto"/>
        </w:rPr>
        <w:t>Lender, the termination of the Commitment and the repayment, satisfaction or discharge of all obligations under any Loan Document.</w:t>
      </w:r>
    </w:p>
    <w:p>
      <w:pPr>
        <w:spacing w:after="0" w:line="175" w:lineRule="exact"/>
        <w:rPr>
          <w:sz w:val="20"/>
          <w:szCs w:val="20"/>
          <w:color w:val="auto"/>
        </w:rPr>
      </w:pPr>
    </w:p>
    <w:p>
      <w:pPr>
        <w:ind w:left="1740" w:hanging="436"/>
        <w:spacing w:after="0"/>
        <w:tabs>
          <w:tab w:leader="none" w:pos="1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Status of Lenders.</w:t>
      </w:r>
    </w:p>
    <w:p>
      <w:pPr>
        <w:spacing w:after="0" w:line="233" w:lineRule="exact"/>
        <w:rPr>
          <w:rFonts w:ascii="Arial" w:cs="Arial" w:eastAsia="Arial" w:hAnsi="Arial"/>
          <w:sz w:val="22"/>
          <w:szCs w:val="22"/>
          <w:color w:val="auto"/>
        </w:rPr>
      </w:pPr>
    </w:p>
    <w:p>
      <w:pPr>
        <w:jc w:val="both"/>
        <w:ind w:left="660" w:firstLine="1292"/>
        <w:spacing w:after="0" w:line="289" w:lineRule="auto"/>
        <w:tabs>
          <w:tab w:leader="none" w:pos="2394"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U.S. federal withholding Tax with respect to payments made under any Loan Document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rFonts w:ascii="Arial" w:cs="Arial" w:eastAsia="Arial" w:hAnsi="Arial"/>
          <w:sz w:val="19"/>
          <w:szCs w:val="19"/>
          <w:color w:val="auto"/>
        </w:rPr>
      </w:pPr>
    </w:p>
    <w:p>
      <w:pPr>
        <w:ind w:left="2440" w:hanging="488"/>
        <w:spacing w:after="0"/>
        <w:tabs>
          <w:tab w:leader="none" w:pos="2440" w:val="left"/>
        </w:tabs>
        <w:numPr>
          <w:ilvl w:val="1"/>
          <w:numId w:val="4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 Borrower,</w:t>
      </w:r>
    </w:p>
    <w:p>
      <w:pPr>
        <w:spacing w:after="0" w:line="267" w:lineRule="exact"/>
        <w:rPr>
          <w:rFonts w:ascii="Arial" w:cs="Arial" w:eastAsia="Arial" w:hAnsi="Arial"/>
          <w:sz w:val="19"/>
          <w:szCs w:val="19"/>
          <w:color w:val="auto"/>
        </w:rPr>
      </w:pPr>
    </w:p>
    <w:p>
      <w:pPr>
        <w:ind w:right="60" w:firstLine="2600"/>
        <w:spacing w:after="0" w:line="319" w:lineRule="auto"/>
        <w:tabs>
          <w:tab w:leader="none" w:pos="3072" w:val="left"/>
        </w:tabs>
        <w:numPr>
          <w:ilvl w:val="2"/>
          <w:numId w:val="46"/>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on or prior to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127" w:lineRule="exact"/>
        <w:rPr>
          <w:rFonts w:ascii="Arial" w:cs="Arial" w:eastAsia="Arial" w:hAnsi="Arial"/>
          <w:sz w:val="19"/>
          <w:szCs w:val="19"/>
          <w:color w:val="auto"/>
        </w:rPr>
      </w:pPr>
    </w:p>
    <w:p>
      <w:pPr>
        <w:ind w:right="20" w:firstLine="2600"/>
        <w:spacing w:after="0" w:line="254" w:lineRule="auto"/>
        <w:tabs>
          <w:tab w:leader="none" w:pos="3060" w:val="left"/>
        </w:tabs>
        <w:numPr>
          <w:ilvl w:val="2"/>
          <w:numId w:val="46"/>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(in such number of copies as shall be requested by the Borrower) on or prior to the date on which such Foreign Lender becomes a Lender under this Agreement (and from time to time thereafter upon the reasonable request of the Borrower), whichever of the following is applicable:</w:t>
      </w:r>
    </w:p>
    <w:p>
      <w:pPr>
        <w:spacing w:after="0" w:line="184" w:lineRule="exact"/>
        <w:rPr>
          <w:rFonts w:ascii="Arial" w:cs="Arial" w:eastAsia="Arial" w:hAnsi="Arial"/>
          <w:sz w:val="22"/>
          <w:szCs w:val="22"/>
          <w:color w:val="auto"/>
        </w:rPr>
      </w:pPr>
    </w:p>
    <w:p>
      <w:pPr>
        <w:ind w:left="2600" w:right="140" w:firstLine="1134"/>
        <w:spacing w:after="0" w:line="260" w:lineRule="auto"/>
        <w:tabs>
          <w:tab w:leader="none" w:pos="4040" w:val="left"/>
        </w:tabs>
        <w:numPr>
          <w:ilvl w:val="3"/>
          <w:numId w:val="46"/>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 or IRS Form W-8BEN-E, or applicable successor form, establishing an exemption from, or reduction of, U.S. federal withholding Tax pursuant to the “interest” article of such tax treaty and (y) with respect to any other applicable payments under any Loan Document, IRS Form W-8BEN, or IRS Form W-8BEN-E, or applicable successor form, establishing an exemption from,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604" w:right="339" w:bottom="1440" w:gutter="0" w:footer="0" w:header="0"/>
        </w:sectPr>
      </w:pPr>
    </w:p>
    <w:bookmarkStart w:id="74" w:name="page75"/>
    <w:bookmarkEnd w:id="74"/>
    <w:p>
      <w:pPr>
        <w:ind w:left="2600" w:right="420"/>
        <w:spacing w:after="0" w:line="251" w:lineRule="auto"/>
        <w:rPr>
          <w:sz w:val="20"/>
          <w:szCs w:val="20"/>
          <w:color w:val="auto"/>
        </w:rPr>
      </w:pPr>
      <w:r>
        <w:rPr>
          <w:rFonts w:ascii="Arial" w:cs="Arial" w:eastAsia="Arial" w:hAnsi="Arial"/>
          <w:sz w:val="22"/>
          <w:szCs w:val="22"/>
          <w:color w:val="auto"/>
        </w:rPr>
        <w:t>reduction of, U.S. federal withholding Tax pursuant to the “business profits” or “other income” article of such tax treaty;</w:t>
      </w:r>
    </w:p>
    <w:p>
      <w:pPr>
        <w:spacing w:after="0" w:line="2" w:lineRule="exact"/>
        <w:rPr>
          <w:sz w:val="20"/>
          <w:szCs w:val="20"/>
          <w:color w:val="auto"/>
        </w:rPr>
      </w:pPr>
    </w:p>
    <w:p>
      <w:pPr>
        <w:ind w:left="4040" w:hanging="306"/>
        <w:spacing w:after="0"/>
        <w:tabs>
          <w:tab w:leader="none" w:pos="4040" w:val="left"/>
        </w:tabs>
        <w:numPr>
          <w:ilvl w:val="1"/>
          <w:numId w:val="47"/>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3" w:lineRule="exact"/>
        <w:rPr>
          <w:rFonts w:ascii="Arial" w:cs="Arial" w:eastAsia="Arial" w:hAnsi="Arial"/>
          <w:sz w:val="22"/>
          <w:szCs w:val="22"/>
          <w:color w:val="auto"/>
        </w:rPr>
      </w:pPr>
    </w:p>
    <w:p>
      <w:pPr>
        <w:ind w:left="2600" w:right="20" w:firstLine="1134"/>
        <w:spacing w:after="0" w:line="281" w:lineRule="auto"/>
        <w:tabs>
          <w:tab w:leader="none" w:pos="40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in the form as reasonably determined by the Borrower to the effect that such Foreign Lender is not a “bank” within the meaning of Section 881(c)(3)(A) of the Code, a “10 percent shareholder” of the Borrower within the meaning of Section 881(c)(3)(B) of the Code, or a “controlled foreign corporation” described in Section 881(c)</w:t>
      </w:r>
    </w:p>
    <w:p>
      <w:pPr>
        <w:spacing w:after="0" w:line="3" w:lineRule="exact"/>
        <w:rPr>
          <w:rFonts w:ascii="Arial" w:cs="Arial" w:eastAsia="Arial" w:hAnsi="Arial"/>
          <w:sz w:val="19"/>
          <w:szCs w:val="19"/>
          <w:color w:val="auto"/>
        </w:rPr>
      </w:pPr>
    </w:p>
    <w:p>
      <w:pPr>
        <w:ind w:left="2600" w:right="120"/>
        <w:spacing w:after="0" w:line="243" w:lineRule="auto"/>
        <w:rPr>
          <w:rFonts w:ascii="Arial" w:cs="Arial" w:eastAsia="Arial" w:hAnsi="Arial"/>
          <w:sz w:val="19"/>
          <w:szCs w:val="19"/>
          <w:color w:val="auto"/>
        </w:rPr>
      </w:pPr>
      <w:r>
        <w:rPr>
          <w:rFonts w:ascii="Arial" w:cs="Arial" w:eastAsia="Arial" w:hAnsi="Arial"/>
          <w:sz w:val="22"/>
          <w:szCs w:val="22"/>
          <w:color w:val="auto"/>
        </w:rPr>
        <w:t>(3)(C) of the Code (a “U.S. Tax Compliance Certificate”) and (y) executed copies of IRS Form W-8BEN, or IRS Form W-8BEN-E, or applicable successor form; or</w:t>
      </w:r>
    </w:p>
    <w:p>
      <w:pPr>
        <w:ind w:left="2600" w:right="20" w:firstLine="1134"/>
        <w:spacing w:after="0" w:line="281" w:lineRule="auto"/>
        <w:tabs>
          <w:tab w:leader="none" w:pos="40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or IRS Form W-8BEN-E, or applicable successor form, a U.S. Tax Compliance Certificate in the form as reasonably determined by the Borrower,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in the form as reasonably determined by the Borrower, on behalf of each such direct and indirect partner;</w:t>
      </w:r>
    </w:p>
    <w:p>
      <w:pPr>
        <w:spacing w:after="0" w:line="5" w:lineRule="exact"/>
        <w:rPr>
          <w:rFonts w:ascii="Arial" w:cs="Arial" w:eastAsia="Arial" w:hAnsi="Arial"/>
          <w:sz w:val="19"/>
          <w:szCs w:val="19"/>
          <w:color w:val="auto"/>
        </w:rPr>
      </w:pPr>
    </w:p>
    <w:p>
      <w:pPr>
        <w:jc w:val="both"/>
        <w:ind w:firstLine="2600"/>
        <w:spacing w:after="0" w:line="260" w:lineRule="auto"/>
        <w:tabs>
          <w:tab w:leader="none" w:pos="31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80" w:lineRule="exact"/>
        <w:rPr>
          <w:rFonts w:ascii="Arial" w:cs="Arial" w:eastAsia="Arial" w:hAnsi="Arial"/>
          <w:sz w:val="21"/>
          <w:szCs w:val="21"/>
          <w:color w:val="auto"/>
        </w:rPr>
      </w:pPr>
    </w:p>
    <w:p>
      <w:pPr>
        <w:jc w:val="both"/>
        <w:ind w:firstLine="2600"/>
        <w:spacing w:after="0" w:line="294" w:lineRule="auto"/>
        <w:tabs>
          <w:tab w:leader="none" w:pos="31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its obligations under FATCA and to determine that such Lender has complied with such Lender’s obligations under FATCA or to determine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604" w:right="33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22"/>
          <w:szCs w:val="22"/>
          <w:color w:val="auto"/>
        </w:rPr>
        <w:t>amount to deduct and withhold from such payment. Solely for purposes of this clause (D), “FATCA” shall include any amendments made to FATCA after the date of this Agreement.</w:t>
      </w:r>
    </w:p>
    <w:p>
      <w:pPr>
        <w:spacing w:after="0" w:line="175"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04" w:lineRule="exact"/>
        <w:rPr>
          <w:sz w:val="20"/>
          <w:szCs w:val="20"/>
          <w:color w:val="auto"/>
        </w:rPr>
      </w:pPr>
    </w:p>
    <w:p>
      <w:pPr>
        <w:ind w:left="1300" w:right="1380" w:firstLine="4"/>
        <w:spacing w:after="0" w:line="461" w:lineRule="auto"/>
        <w:tabs>
          <w:tab w:leader="none" w:pos="173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Section 2.15, the term “applicable law” includes FATCA. SECTION 2.16. </w:t>
      </w:r>
      <w:r>
        <w:rPr>
          <w:rFonts w:ascii="Arial" w:cs="Arial" w:eastAsia="Arial" w:hAnsi="Arial"/>
          <w:sz w:val="22"/>
          <w:szCs w:val="22"/>
          <w:u w:val="single" w:color="auto"/>
          <w:color w:val="auto"/>
        </w:rPr>
        <w:t>Payments Generally; Allocation of Proceeds</w:t>
      </w:r>
      <w:r>
        <w:rPr>
          <w:rFonts w:ascii="Arial" w:cs="Arial" w:eastAsia="Arial" w:hAnsi="Arial"/>
          <w:sz w:val="22"/>
          <w:szCs w:val="22"/>
          <w:color w:val="auto"/>
        </w:rPr>
        <w:t>.</w:t>
      </w:r>
    </w:p>
    <w:p>
      <w:pPr>
        <w:jc w:val="both"/>
        <w:ind w:firstLine="1304"/>
        <w:spacing w:after="0" w:line="261" w:lineRule="exact"/>
        <w:tabs>
          <w:tab w:leader="none" w:pos="1756"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hereunder (whether of principal, interest, fees or reimbursement of LC Disbursements, or of amounts payable under Sections 2.13, 2.14 or 2.15, or otherwise) prior to 2:00 p.m., Pacific time, on the date when due, in immediately available funds, without set</w:t>
      </w:r>
      <w:r>
        <w:rPr>
          <w:rFonts w:ascii="MS PGothic" w:cs="MS PGothic" w:eastAsia="MS PGothic" w:hAnsi="MS PGothic"/>
          <w:sz w:val="19"/>
          <w:szCs w:val="19"/>
          <w:color w:val="auto"/>
        </w:rPr>
        <w:t>‑</w:t>
      </w:r>
      <w:r>
        <w:rPr>
          <w:rFonts w:ascii="Arial" w:cs="Arial" w:eastAsia="Arial" w:hAnsi="Arial"/>
          <w:sz w:val="19"/>
          <w:szCs w:val="19"/>
          <w:color w:val="auto"/>
        </w:rPr>
        <w:t>off or counterclaim. Any amounts received after such time on any date may, in the discretion of the Lender, be deemed to have been received on the next succeeding Business Day for purposes of calculating interest thereon. All such payments shall be made to the Lender at its offices at 10 South Dearborn Street, Chicago, IL 60603.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8" w:lineRule="exact"/>
        <w:rPr>
          <w:rFonts w:ascii="Arial" w:cs="Arial" w:eastAsia="Arial" w:hAnsi="Arial"/>
          <w:sz w:val="19"/>
          <w:szCs w:val="19"/>
          <w:color w:val="auto"/>
        </w:rPr>
      </w:pPr>
    </w:p>
    <w:p>
      <w:pPr>
        <w:jc w:val="both"/>
        <w:ind w:firstLine="1304"/>
        <w:spacing w:after="0" w:line="292" w:lineRule="auto"/>
        <w:tabs>
          <w:tab w:leader="none" w:pos="1903" w:val="left"/>
        </w:tabs>
        <w:numPr>
          <w:ilvl w:val="0"/>
          <w:numId w:val="50"/>
        </w:numPr>
        <w:rPr>
          <w:rFonts w:ascii="Arial" w:cs="Arial" w:eastAsia="Arial" w:hAnsi="Arial"/>
          <w:sz w:val="19"/>
          <w:szCs w:val="19"/>
          <w:color w:val="auto"/>
        </w:rPr>
      </w:pPr>
      <w:r>
        <w:rPr>
          <w:rFonts w:ascii="Arial" w:cs="Arial" w:eastAsia="Arial" w:hAnsi="Arial"/>
          <w:sz w:val="19"/>
          <w:szCs w:val="19"/>
          <w:color w:val="auto"/>
        </w:rPr>
        <w:t>At the election of the Lender, all payments of principal, interest, LC Disbursements, fees, premiums, reimbursable expenses (including, without limitation, all reimbursement for fees, costs and expenses pursuant to Section 8.03),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Lender. The Borrower hereby irrevocably authorizes the Lender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 2.03.</w:t>
      </w:r>
    </w:p>
    <w:p>
      <w:pPr>
        <w:spacing w:after="0" w:line="154" w:lineRule="exact"/>
        <w:rPr>
          <w:rFonts w:ascii="Arial" w:cs="Arial" w:eastAsia="Arial" w:hAnsi="Arial"/>
          <w:sz w:val="19"/>
          <w:szCs w:val="19"/>
          <w:color w:val="auto"/>
        </w:rPr>
      </w:pPr>
    </w:p>
    <w:p>
      <w:pPr>
        <w:jc w:val="both"/>
        <w:ind w:firstLine="1304"/>
        <w:spacing w:after="0" w:line="261" w:lineRule="auto"/>
        <w:tabs>
          <w:tab w:leader="none" w:pos="1729"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Lender may from time to time provide the Borrower with account statements or invoices with respect to any of the Obligations (the “</w:t>
      </w:r>
      <w:r>
        <w:rPr>
          <w:rFonts w:ascii="Arial" w:cs="Arial" w:eastAsia="Arial" w:hAnsi="Arial"/>
          <w:sz w:val="21"/>
          <w:szCs w:val="21"/>
          <w:u w:val="single" w:color="auto"/>
          <w:color w:val="auto"/>
        </w:rPr>
        <w:t>Statements</w:t>
      </w:r>
      <w:r>
        <w:rPr>
          <w:rFonts w:ascii="Arial" w:cs="Arial" w:eastAsia="Arial" w:hAnsi="Arial"/>
          <w:sz w:val="21"/>
          <w:szCs w:val="21"/>
          <w:color w:val="auto"/>
        </w:rPr>
        <w:t>”). The Lender is under no duty or obligation to provide Statements, which, if provided, will be solely for the Borrower’s convenience. Statements may contain estimates of the amounts owed during the relevant billing period, whether of principal, interest, fees or other Obligations. If the Borrower pays the full amount indicated on a Statement on or before the due date indicated on such Statement, the Borrower shall not be in default of payment with respect to the billing period indicated on such Statement; provided, that acceptance by the Lender of any payment that is less than the total amount actually due at that time (including but not limited to any past due amounts) shall not constitute a waiver of the Lender’s right to receive payment in full at another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604" w:right="339" w:bottom="1440" w:gutter="0" w:footer="0" w:header="0"/>
        </w:sectPr>
      </w:pPr>
    </w:p>
    <w:bookmarkStart w:id="76" w:name="page77"/>
    <w:bookmarkEnd w:id="76"/>
    <w:p>
      <w:pPr>
        <w:jc w:val="both"/>
        <w:ind w:firstLine="1296"/>
        <w:spacing w:after="0" w:line="291"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Indemnity for Returned Payments</w:t>
      </w:r>
      <w:r>
        <w:rPr>
          <w:rFonts w:ascii="Arial" w:cs="Arial" w:eastAsia="Arial" w:hAnsi="Arial"/>
          <w:sz w:val="19"/>
          <w:szCs w:val="19"/>
          <w:color w:val="auto"/>
        </w:rPr>
        <w:t>. If after receipt of any payment which is applied to the payment of all or any part of the Obligations (including a payment effected through exercise of a right of setoff), the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Lender in its discretion), then the Obligations or part thereof intended to be satisfied shall be revived and continued and this Agreement shall continue in full force as if such payment or proceeds had not been received by the Lender. The provisions of this Section 2.17 shall be and remain effective notwithstanding any contrary action which may have been taken by the Lender in reliance upon such payment or application of proceeds. The provisions of this Section 2.17 shall survive the termination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7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represents and warrants to the Lender that (and where applicable, agrees):</w:t>
      </w:r>
    </w:p>
    <w:p>
      <w:pPr>
        <w:spacing w:after="0" w:line="22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The Borrower and each Subsidiary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the Borrower’s organizational powers and have been duly authorized by all necessary organizational actions and, if required, actions by equity holders. Each Loan Document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Governmental Approvals; No Conflicts</w:t>
      </w:r>
      <w:r>
        <w:rPr>
          <w:rFonts w:ascii="Arial" w:cs="Arial" w:eastAsia="Arial" w:hAnsi="Arial"/>
          <w:sz w:val="21"/>
          <w:szCs w:val="21"/>
          <w:color w:val="auto"/>
        </w:rPr>
        <w:t>. The Transactions (a) do not require Regulatory Approval or any consent or approval of, registration or filing with, or any other action by, any Governmental Authority, except such as have been obtained or made and are in full force and effect, (b) will not violate any Requirement of Law applicable to the Borrower or any Subsidiary, (c) will not violate or result in a default under any Material Agreement binding upon the Borrower or any Subsidiary or the assets of the Borrower or any Subsidiary, or give rise to a right thereunder to require any payment to be made by the Borrower or any Subsidiary, and (d) will not result in the creation or imposition of any Lien on any asset of the Borrower or any Subsidiary.</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604" w:right="339" w:bottom="1440" w:gutter="0" w:footer="0" w:header="0"/>
        </w:sectPr>
      </w:pPr>
    </w:p>
    <w:bookmarkStart w:id="77" w:name="page78"/>
    <w:bookmarkEnd w:id="77"/>
    <w:p>
      <w:pPr>
        <w:jc w:val="both"/>
        <w:ind w:firstLine="1304"/>
        <w:spacing w:after="0" w:line="297" w:lineRule="auto"/>
        <w:tabs>
          <w:tab w:leader="none" w:pos="18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Borrower has heretofore furnished to the Lender the consolidated balance sheet and statements of income, stockholders equity and cash flows of Holdco as of and for the fiscal year ended 2019, reported on by KPMG, independent public accountants. The Borrower has heretofore furnished to the Lender the consolidating balance sheet and statements of income, stockholders equity and cash flows of Holdco as of and for the fiscal year ended 2019, certified by a Financial Officer. Such financial statements present fairly, in all material respects, the financial position and results of operations and cash flows of Holdco and its consolidated Subsidiaries as of such dates and for such periods in accordance with GAAP.</w:t>
      </w:r>
    </w:p>
    <w:p>
      <w:pPr>
        <w:spacing w:after="0" w:line="146" w:lineRule="exact"/>
        <w:rPr>
          <w:rFonts w:ascii="Arial" w:cs="Arial" w:eastAsia="Arial" w:hAnsi="Arial"/>
          <w:sz w:val="19"/>
          <w:szCs w:val="19"/>
          <w:color w:val="auto"/>
        </w:rPr>
      </w:pPr>
    </w:p>
    <w:p>
      <w:pPr>
        <w:ind w:right="20" w:firstLine="1304"/>
        <w:spacing w:after="0" w:line="276" w:lineRule="auto"/>
        <w:tabs>
          <w:tab w:leader="none" w:pos="17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event, change or condition has occurred that has had, or could reasonably be expected to have, a Material Adverse Effect, since December 31, 2019.</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878" w:val="left"/>
        </w:tabs>
        <w:numPr>
          <w:ilvl w:val="0"/>
          <w:numId w:val="52"/>
        </w:numPr>
        <w:rPr>
          <w:rFonts w:ascii="Arial" w:cs="Arial" w:eastAsia="Arial" w:hAnsi="Arial"/>
          <w:sz w:val="22"/>
          <w:szCs w:val="22"/>
          <w:color w:val="auto"/>
        </w:rPr>
      </w:pPr>
      <w:r>
        <w:rPr>
          <w:rFonts w:ascii="Arial" w:cs="Arial" w:eastAsia="Arial" w:hAnsi="Arial"/>
          <w:sz w:val="22"/>
          <w:szCs w:val="22"/>
          <w:color w:val="auto"/>
        </w:rPr>
        <w:t>Each material lease and sublease of Borrower and each of its Subsidiaries is valid and enforceable in accordance with its terms and is in full force and effect, and no default by any party to any such lease or sublease exists. The Borrower and each of its Subsidiaries have good and indefeasible title to, or valid leasehold interests in, all of their real and personal property that is necessary to conduct their business, and such property is free of all Liens other than those permitted by Section 6.02.</w:t>
      </w:r>
    </w:p>
    <w:p>
      <w:pPr>
        <w:spacing w:after="0" w:line="189" w:lineRule="exact"/>
        <w:rPr>
          <w:rFonts w:ascii="Arial" w:cs="Arial" w:eastAsia="Arial" w:hAnsi="Arial"/>
          <w:sz w:val="22"/>
          <w:szCs w:val="22"/>
          <w:color w:val="auto"/>
        </w:rPr>
      </w:pPr>
    </w:p>
    <w:p>
      <w:pPr>
        <w:jc w:val="both"/>
        <w:ind w:firstLine="1304"/>
        <w:spacing w:after="0" w:line="307" w:lineRule="auto"/>
        <w:tabs>
          <w:tab w:leader="none" w:pos="1728"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Borrower and each Subsidiary owns, or is licensed to use, all trademarks, tradenames, copyrights, patents and other intellectual property necessary to its business as currently conducted, and the use thereof by the Borrower and each Subsidiary does not infringe in any material respect upon the rights of any other Person, and, other than with respect to software licenses, the Borrower’s and each Subsidiary’s rights thereto are not subject to any licensing agreement or similar arrangement.</w:t>
      </w:r>
    </w:p>
    <w:p>
      <w:pPr>
        <w:spacing w:after="0" w:line="13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6" w:lineRule="auto"/>
        <w:tabs>
          <w:tab w:leader="none" w:pos="1797"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There are no actions, suits or proceedings by or before any arbitrator or Governmental Authority pending against or, to the knowledge of the Borrower, threatened against or affecting the Borrower or any Subsidiary (i) as to which there is a reasonable possibility of an adverse determination and that, if adversely determined, could reasonably be expected, individually or in the aggregate, to result in a Material Adverse Effect (other than the Disclosed Matters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3.06</w:t>
      </w:r>
      <w:r>
        <w:rPr>
          <w:rFonts w:ascii="Arial" w:cs="Arial" w:eastAsia="Arial" w:hAnsi="Arial"/>
          <w:sz w:val="21"/>
          <w:szCs w:val="21"/>
          <w:color w:val="auto"/>
        </w:rPr>
        <w:t>) or (ii) that involve any Loan Document or the Transactions.</w:t>
      </w:r>
    </w:p>
    <w:p>
      <w:pPr>
        <w:spacing w:after="0" w:line="173" w:lineRule="exact"/>
        <w:rPr>
          <w:rFonts w:ascii="Arial" w:cs="Arial" w:eastAsia="Arial" w:hAnsi="Arial"/>
          <w:sz w:val="21"/>
          <w:szCs w:val="21"/>
          <w:color w:val="auto"/>
        </w:rPr>
      </w:pPr>
    </w:p>
    <w:p>
      <w:pPr>
        <w:jc w:val="both"/>
        <w:ind w:firstLine="1304"/>
        <w:spacing w:after="0" w:line="287" w:lineRule="auto"/>
        <w:tabs>
          <w:tab w:leader="none" w:pos="1822" w:val="left"/>
        </w:tabs>
        <w:numPr>
          <w:ilvl w:val="1"/>
          <w:numId w:val="53"/>
        </w:numPr>
        <w:rPr>
          <w:rFonts w:ascii="Arial" w:cs="Arial" w:eastAsia="Arial" w:hAnsi="Arial"/>
          <w:sz w:val="19"/>
          <w:szCs w:val="19"/>
          <w:color w:val="auto"/>
        </w:rPr>
      </w:pPr>
      <w:r>
        <w:rPr>
          <w:rFonts w:ascii="Arial" w:cs="Arial" w:eastAsia="Arial" w:hAnsi="Arial"/>
          <w:sz w:val="19"/>
          <w:szCs w:val="19"/>
          <w:color w:val="auto"/>
        </w:rPr>
        <w:t>Except for the Disclosed Matters, (i) neither the Borrower nor any Subsidiary has received notice of any claim with respect to any Environmental Liability or knows of any basis for any Environmental Liability that, individually or in the aggregate, could reasonably be expected to result in a Material Adverse Effect and (ii) and except with respect to any other matters that, individually or in the aggregate, could not reasonably be expected to result in a Material Adverse Effect, neither the Borrower nor any Subsidiary (A) has failed to comply with any Environmental Law or to obtain, maintain or comply with any permit, license or other approval required under any Environmental Law (B) has become subject to any Environmental Liability,</w:t>
      </w:r>
    </w:p>
    <w:p>
      <w:pPr>
        <w:spacing w:after="0" w:line="2" w:lineRule="exact"/>
        <w:rPr>
          <w:rFonts w:ascii="Arial" w:cs="Arial" w:eastAsia="Arial" w:hAnsi="Arial"/>
          <w:sz w:val="19"/>
          <w:szCs w:val="19"/>
          <w:color w:val="auto"/>
        </w:rPr>
      </w:pPr>
    </w:p>
    <w:p>
      <w:pPr>
        <w:ind w:left="360" w:hanging="352"/>
        <w:spacing w:after="0"/>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has received notice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604"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 any claim with respect to any Environmental Liability or (D) knows of any basis for any Environmental Liability.</w:t>
      </w:r>
    </w:p>
    <w:p>
      <w:pPr>
        <w:spacing w:after="0" w:line="220" w:lineRule="exact"/>
        <w:rPr>
          <w:sz w:val="20"/>
          <w:szCs w:val="20"/>
          <w:color w:val="auto"/>
        </w:rPr>
      </w:pPr>
    </w:p>
    <w:p>
      <w:pPr>
        <w:ind w:firstLine="1304"/>
        <w:spacing w:after="0" w:line="301" w:lineRule="auto"/>
        <w:tabs>
          <w:tab w:leader="none" w:pos="1837" w:val="left"/>
        </w:tabs>
        <w:numPr>
          <w:ilvl w:val="0"/>
          <w:numId w:val="55"/>
        </w:numPr>
        <w:rPr>
          <w:rFonts w:ascii="Arial" w:cs="Arial" w:eastAsia="Arial" w:hAnsi="Arial"/>
          <w:sz w:val="21"/>
          <w:szCs w:val="21"/>
          <w:color w:val="auto"/>
        </w:rPr>
      </w:pPr>
      <w:r>
        <w:rPr>
          <w:rFonts w:ascii="Arial" w:cs="Arial" w:eastAsia="Arial" w:hAnsi="Arial"/>
          <w:sz w:val="21"/>
          <w:szCs w:val="21"/>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3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Compliance with Laws and Agreements; No Default</w:t>
      </w:r>
      <w:r>
        <w:rPr>
          <w:rFonts w:ascii="Arial" w:cs="Arial" w:eastAsia="Arial" w:hAnsi="Arial"/>
          <w:sz w:val="21"/>
          <w:szCs w:val="21"/>
          <w:color w:val="auto"/>
        </w:rPr>
        <w:t>. Except where the failure to do so, individually or in the aggregate, could not reasonably be expected to result in a Material Adverse Effect, the Borrower and each Subsidiary is in compliance with (i) all Requirements of Law applicable to it or its property and (ii) all indentures, agreements and other instruments binding upon it or its property. No Default has occurred and is continuing.</w:t>
      </w:r>
    </w:p>
    <w:p>
      <w:pPr>
        <w:spacing w:after="0" w:line="169"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Neither the Borrower nor any Subsidiary is an “investment company” as defined in, or subject to regulation under, the Investment Company Act of 1940.</w:t>
      </w:r>
    </w:p>
    <w:p>
      <w:pPr>
        <w:spacing w:after="0" w:line="161"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The Borrower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be expected to result in a Material Adverse Effect. No tax liens have been filed and no claims are being asserted with respect to any such taxes.</w:t>
      </w:r>
    </w:p>
    <w:p>
      <w:pPr>
        <w:spacing w:after="0" w:line="14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 No Plan is, or is reasonably expected to become, an “at-risk” plan within the meaning of Section 430 of the Code or Section 303 of ERISA.</w:t>
      </w:r>
    </w:p>
    <w:p>
      <w:pPr>
        <w:spacing w:after="0" w:line="18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Disclosure</w:t>
      </w:r>
      <w:r>
        <w:rPr>
          <w:rFonts w:ascii="Arial" w:cs="Arial" w:eastAsia="Arial" w:hAnsi="Arial"/>
          <w:sz w:val="21"/>
          <w:szCs w:val="21"/>
          <w:color w:val="auto"/>
        </w:rPr>
        <w:t xml:space="preserve">. (a) The Borrower has disclosed to the Lender all agreements, instruments and corporate or other restrictions to which the Borrower or any Subsidiary is subject, and all other matters known to it, that, individually or in the aggregate, could reasonably be expected to result in a Material Adverse Effect. None of the reports, financial statements, certificates or other information furnished by or on behalf of the Borrower or any Subsidiary to the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the Borrower represents only that such information was prepared in good faith based upon assumptions believed to be reasonable at the time delivered and, if such projected financial information was delivered prior to the Effective Date, as of the Effective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604" w:right="339" w:bottom="1440" w:gutter="0" w:footer="0" w:header="0"/>
        </w:sectPr>
      </w:pPr>
    </w:p>
    <w:bookmarkStart w:id="79" w:name="page80"/>
    <w:bookmarkEnd w:id="79"/>
    <w:p>
      <w:pPr>
        <w:ind w:right="20" w:firstLine="1304"/>
        <w:spacing w:after="0" w:line="358" w:lineRule="auto"/>
        <w:tabs>
          <w:tab w:leader="none" w:pos="18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knowledge of the Borrower, the information included in the Beneficial Ownership Certification provided on or prior to the Effective Date to any Lender in connection with this Agreement is true and correct in all respects.</w:t>
      </w:r>
    </w:p>
    <w:p>
      <w:pPr>
        <w:spacing w:after="0" w:line="9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Material Agreements</w:t>
      </w:r>
      <w:r>
        <w:rPr>
          <w:rFonts w:ascii="Arial" w:cs="Arial" w:eastAsia="Arial" w:hAnsi="Arial"/>
          <w:sz w:val="22"/>
          <w:szCs w:val="22"/>
          <w:color w:val="auto"/>
        </w:rPr>
        <w:t>. All Material Agreements to which the Borrower or any Subsidiary is a party or is bound as of the date of this Agreement are listed on Schedule 3.12. Neither the Borrower nor any Subsidiary is in default in the performance, observance or fulfillment of any of the obligations, covenants or conditions contained in any Material Agreement to which it is a party.</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Solvency</w:t>
      </w:r>
      <w:r>
        <w:rPr>
          <w:rFonts w:ascii="Arial" w:cs="Arial" w:eastAsia="Arial" w:hAnsi="Arial"/>
          <w:sz w:val="21"/>
          <w:szCs w:val="21"/>
          <w:color w:val="auto"/>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Borrower will not have unreasonably small capital with which to conduct the business in which it is engaged as such business is now conducted and is proposed to be conducted after the Effective Date.</w:t>
      </w:r>
    </w:p>
    <w:p>
      <w:pPr>
        <w:spacing w:after="0" w:line="181" w:lineRule="exact"/>
        <w:rPr>
          <w:sz w:val="20"/>
          <w:szCs w:val="20"/>
          <w:color w:val="auto"/>
        </w:rPr>
      </w:pPr>
    </w:p>
    <w:p>
      <w:pPr>
        <w:jc w:val="both"/>
        <w:ind w:firstLine="656"/>
        <w:spacing w:after="0" w:line="250" w:lineRule="auto"/>
        <w:tabs>
          <w:tab w:leader="none" w:pos="1159"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Borrower does not intend to, nor will it permit any Subsidiary to, and the Borrower does not believe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Insurance</w:t>
      </w:r>
      <w:r>
        <w:rPr>
          <w:rFonts w:ascii="Arial" w:cs="Arial" w:eastAsia="Arial" w:hAnsi="Arial"/>
          <w:sz w:val="22"/>
          <w:szCs w:val="22"/>
          <w:color w:val="auto"/>
        </w:rPr>
        <w:t>. As of the Effective Date, all premiums in respect of the Borrower’s and its Subsidiaries’ insurance have been paid. The Borrower believes that the insurance maintained by or on behalf of the Borrower and its Subsidiaries is adequate and is customary for companies engaged in the same or similar businesses operating in the same or similar locations.</w:t>
      </w:r>
    </w:p>
    <w:p>
      <w:pPr>
        <w:spacing w:after="0" w:line="185" w:lineRule="exact"/>
        <w:rPr>
          <w:sz w:val="20"/>
          <w:szCs w:val="20"/>
          <w:color w:val="auto"/>
        </w:rPr>
      </w:pPr>
    </w:p>
    <w:p>
      <w:pPr>
        <w:jc w:val="both"/>
        <w:ind w:firstLine="1296"/>
        <w:spacing w:after="0" w:line="261" w:lineRule="exact"/>
        <w:rPr>
          <w:sz w:val="20"/>
          <w:szCs w:val="20"/>
          <w:color w:val="auto"/>
        </w:rPr>
      </w:pPr>
      <w:r>
        <w:rPr>
          <w:rFonts w:ascii="Arial" w:cs="Arial" w:eastAsia="Arial" w:hAnsi="Arial"/>
          <w:sz w:val="21"/>
          <w:szCs w:val="21"/>
          <w:color w:val="auto"/>
        </w:rPr>
        <w:t xml:space="preserve">SECTION 3.15. </w:t>
      </w:r>
      <w:r>
        <w:rPr>
          <w:rFonts w:ascii="Arial" w:cs="Arial" w:eastAsia="Arial" w:hAnsi="Arial"/>
          <w:sz w:val="21"/>
          <w:szCs w:val="21"/>
          <w:u w:val="single" w:color="auto"/>
          <w:color w:val="auto"/>
        </w:rPr>
        <w:t>Capitalization and Subsidiaries</w:t>
      </w:r>
      <w:r>
        <w:rPr>
          <w:rFonts w:ascii="Arial" w:cs="Arial" w:eastAsia="Arial" w:hAnsi="Arial"/>
          <w:sz w:val="21"/>
          <w:szCs w:val="21"/>
          <w:color w:val="auto"/>
        </w:rPr>
        <w:t xml:space="preserve">. As of the Effective Date, </w:t>
      </w:r>
      <w:r>
        <w:rPr>
          <w:rFonts w:ascii="Arial" w:cs="Arial" w:eastAsia="Arial" w:hAnsi="Arial"/>
          <w:sz w:val="21"/>
          <w:szCs w:val="21"/>
          <w:u w:val="single" w:color="auto"/>
          <w:color w:val="auto"/>
        </w:rPr>
        <w:t>Schedule 3.15</w:t>
      </w:r>
      <w:r>
        <w:rPr>
          <w:rFonts w:ascii="Arial" w:cs="Arial" w:eastAsia="Arial" w:hAnsi="Arial"/>
          <w:sz w:val="21"/>
          <w:szCs w:val="21"/>
          <w:color w:val="auto"/>
        </w:rPr>
        <w:t xml:space="preserve"> sets forth (a) a correct and complete list of the name and relationship to the Borrower of each Subsidiary, (b) a true and complete listing of each class of each of the Borrower’s authorized Equity Interests, of which all of such issued Equity Interests are validly issued, outstanding, fully paid and non-assessable, and owned beneficially and of record by the Persons identified on </w:t>
      </w:r>
      <w:r>
        <w:rPr>
          <w:rFonts w:ascii="Arial" w:cs="Arial" w:eastAsia="Arial" w:hAnsi="Arial"/>
          <w:sz w:val="21"/>
          <w:szCs w:val="21"/>
          <w:u w:val="single" w:color="auto"/>
          <w:color w:val="auto"/>
        </w:rPr>
        <w:t>Schedule 3.15</w:t>
      </w:r>
      <w:r>
        <w:rPr>
          <w:rFonts w:ascii="Arial" w:cs="Arial" w:eastAsia="Arial" w:hAnsi="Arial"/>
          <w:sz w:val="21"/>
          <w:szCs w:val="21"/>
          <w:color w:val="auto"/>
        </w:rPr>
        <w:t>, and (c) the type of entity of the Borrower and each Subsidiary. All of the issued and outstanding Equity Interests owned by the Borrower have been (to the extent such concepts are relevant with respect to such ownership interests) duly authorized and issued and are fully paid and non</w:t>
      </w:r>
      <w:r>
        <w:rPr>
          <w:rFonts w:ascii="MS PGothic" w:cs="MS PGothic" w:eastAsia="MS PGothic" w:hAnsi="MS PGothic"/>
          <w:sz w:val="21"/>
          <w:szCs w:val="21"/>
          <w:color w:val="auto"/>
        </w:rPr>
        <w:t>‑</w:t>
      </w:r>
      <w:r>
        <w:rPr>
          <w:rFonts w:ascii="Arial" w:cs="Arial" w:eastAsia="Arial" w:hAnsi="Arial"/>
          <w:sz w:val="21"/>
          <w:szCs w:val="21"/>
          <w:color w:val="auto"/>
        </w:rPr>
        <w:t>assessable.</w:t>
      </w:r>
    </w:p>
    <w:p>
      <w:pPr>
        <w:spacing w:after="0" w:line="20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Employment Matters</w:t>
      </w:r>
      <w:r>
        <w:rPr>
          <w:rFonts w:ascii="Arial" w:cs="Arial" w:eastAsia="Arial" w:hAnsi="Arial"/>
          <w:sz w:val="22"/>
          <w:szCs w:val="22"/>
          <w:color w:val="auto"/>
        </w:rPr>
        <w:t>. As of the Effective Date, there are no strikes, lockouts or slowdowns against the Borrower or any Subsidiary pending or, to the knowledge of the Borrower, threatened. The hours worked by and payments made to employees of the Borrower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604" w:right="339" w:bottom="1440" w:gutter="0" w:footer="0" w:header="0"/>
        </w:sectPr>
      </w:pPr>
    </w:p>
    <w:bookmarkStart w:id="80" w:name="page81"/>
    <w:bookmarkEnd w:id="80"/>
    <w:p>
      <w:pPr>
        <w:jc w:val="both"/>
        <w:spacing w:after="0" w:line="265" w:lineRule="auto"/>
        <w:rPr>
          <w:sz w:val="20"/>
          <w:szCs w:val="20"/>
          <w:color w:val="auto"/>
        </w:rPr>
      </w:pPr>
      <w:r>
        <w:rPr>
          <w:rFonts w:ascii="Arial" w:cs="Arial" w:eastAsia="Arial" w:hAnsi="Arial"/>
          <w:sz w:val="21"/>
          <w:szCs w:val="21"/>
          <w:color w:val="auto"/>
        </w:rPr>
        <w:t>and its Subsidiaries have not been in violation of the Fair Labor Standards Act or any other applicable federal, state, local or foreign law dealing with such matters.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No part of the proceeds of any Loan or Letter of Credit has been used or will be used, whether directly or indirectly, for any purpose that entails a violation of any of the Regulations of the Board, including Regulations T, U and X.</w:t>
      </w:r>
    </w:p>
    <w:p>
      <w:pPr>
        <w:spacing w:after="0" w:line="180"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have been used and will be used, whether directly or indirectly as set forth in Section 5.08.</w:t>
      </w:r>
    </w:p>
    <w:p>
      <w:pPr>
        <w:spacing w:after="0" w:line="161"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No Burdensome Restrictions</w:t>
      </w:r>
      <w:r>
        <w:rPr>
          <w:rFonts w:ascii="Arial" w:cs="Arial" w:eastAsia="Arial" w:hAnsi="Arial"/>
          <w:sz w:val="22"/>
          <w:szCs w:val="22"/>
          <w:color w:val="auto"/>
        </w:rPr>
        <w:t>. The Borrower is not subject to any Burdensome Restrictions except Burdensome Restrictions permitted under Section 6.10.</w:t>
      </w:r>
    </w:p>
    <w:p>
      <w:pPr>
        <w:spacing w:after="0" w:line="16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None of (a) the Borrower, any Subsidiary or any of their respective directors, officers or employees, or (b) to the knowledge of any the Borrower or Subsidiary, any agent of the Borrower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54"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Plan Assets; Prohibited Transactions</w:t>
      </w:r>
      <w:r>
        <w:rPr>
          <w:rFonts w:ascii="Arial" w:cs="Arial" w:eastAsia="Arial" w:hAnsi="Arial"/>
          <w:sz w:val="19"/>
          <w:szCs w:val="19"/>
          <w:color w:val="auto"/>
        </w:rPr>
        <w:t>. None of the Borrower or any of its Subsidiaries is an entity deemed to hold “plan assets” (within the meaning of the Plan Asset Regulations), and neither the execution, delivery nor performance of the Transactions, including the making of any Loan and the issuance of any Letter of Credit hereunder, will give rise to a non-exempt prohibited transaction under Section 406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CONDITIONS</w:t>
      </w:r>
    </w:p>
    <w:p>
      <w:pPr>
        <w:spacing w:after="0" w:line="220"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Effective Date</w:t>
      </w:r>
      <w:r>
        <w:rPr>
          <w:rFonts w:ascii="Arial" w:cs="Arial" w:eastAsia="Arial" w:hAnsi="Arial"/>
          <w:sz w:val="21"/>
          <w:szCs w:val="21"/>
          <w:color w:val="auto"/>
        </w:rPr>
        <w:t>. The obligations of the Lender to make the initial Loans shall not become effective until the date on which each of the following conditions is satisfied (or waived in accordance with Section 8.02):</w:t>
      </w:r>
    </w:p>
    <w:p>
      <w:pPr>
        <w:spacing w:after="0" w:line="137" w:lineRule="exact"/>
        <w:rPr>
          <w:sz w:val="20"/>
          <w:szCs w:val="20"/>
          <w:color w:val="auto"/>
        </w:rPr>
      </w:pPr>
    </w:p>
    <w:p>
      <w:pPr>
        <w:ind w:right="20" w:firstLine="1304"/>
        <w:spacing w:after="0" w:line="276" w:lineRule="auto"/>
        <w:tabs>
          <w:tab w:leader="none" w:pos="175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Credit Agreement and Loan Documents</w:t>
      </w:r>
      <w:r>
        <w:rPr>
          <w:rFonts w:ascii="Arial" w:cs="Arial" w:eastAsia="Arial" w:hAnsi="Arial"/>
          <w:sz w:val="22"/>
          <w:szCs w:val="22"/>
          <w:color w:val="auto"/>
        </w:rPr>
        <w:t>. The Lender (or its counsel) shall have received (i) from each party hereto either (A) a counterpart of this Agreement signed on behalf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604" w:right="3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9"/>
          <w:szCs w:val="19"/>
          <w:color w:val="auto"/>
        </w:rPr>
        <w:t>of such party or (B) written evidence satisfactory to the Lender (which may include fax or other electronic transmission of a signed signature page of this Agreement) that such party has signed a counterpart of this Agreement and (ii) duly executed copies of the Loan Documents and such other certificates, documents, instruments and agreements as the Lender shall reasonably request in connection with the transactions contemplated by this Agreement and the other Loan Documents.</w:t>
      </w:r>
    </w:p>
    <w:p>
      <w:pPr>
        <w:spacing w:after="0" w:line="142" w:lineRule="exact"/>
        <w:rPr>
          <w:sz w:val="20"/>
          <w:szCs w:val="20"/>
          <w:color w:val="auto"/>
        </w:rPr>
      </w:pPr>
    </w:p>
    <w:p>
      <w:pPr>
        <w:jc w:val="both"/>
        <w:ind w:firstLine="1304"/>
        <w:spacing w:after="0" w:line="254" w:lineRule="auto"/>
        <w:tabs>
          <w:tab w:leader="none" w:pos="186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Financial Statements and Projections</w:t>
      </w:r>
      <w:r>
        <w:rPr>
          <w:rFonts w:ascii="Arial" w:cs="Arial" w:eastAsia="Arial" w:hAnsi="Arial"/>
          <w:sz w:val="22"/>
          <w:szCs w:val="22"/>
          <w:color w:val="auto"/>
        </w:rPr>
        <w:t>. The Lender shall have received (i) audited consolidated financial statements of Holdco for the 2019 fiscal year, and such financial statements shall not, in the reasonable judgment of the Lender, reflect any material adverse change in the consolidated financial condition of Holdco and (ii) satisfactory Projections through December 31, 2020.</w:t>
      </w:r>
    </w:p>
    <w:p>
      <w:pPr>
        <w:spacing w:after="0" w:line="184" w:lineRule="exact"/>
        <w:rPr>
          <w:rFonts w:ascii="Arial" w:cs="Arial" w:eastAsia="Arial" w:hAnsi="Arial"/>
          <w:sz w:val="22"/>
          <w:szCs w:val="22"/>
          <w:color w:val="auto"/>
        </w:rPr>
      </w:pPr>
    </w:p>
    <w:p>
      <w:pPr>
        <w:jc w:val="both"/>
        <w:ind w:firstLine="1304"/>
        <w:spacing w:after="0" w:line="260" w:lineRule="auto"/>
        <w:tabs>
          <w:tab w:leader="none" w:pos="182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Closing Certificates; Certified Certificate of Incorporation; Good Standing Certificates</w:t>
      </w:r>
      <w:r>
        <w:rPr>
          <w:rFonts w:ascii="Arial" w:cs="Arial" w:eastAsia="Arial" w:hAnsi="Arial"/>
          <w:sz w:val="21"/>
          <w:szCs w:val="21"/>
          <w:color w:val="auto"/>
        </w:rPr>
        <w:t>. The Lender shall have received (i) a certificate of the Borrower,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the Borrower authorized to sign the Loan Documents to which it is a party and its Financial Officers, and (C) contain appropriate attachments, including the charter, articles or certificate of organization or incorporation of the Borrower certified by the relevant authority of the jurisdiction of organization of the Borrower and a true and correct copy of its bylaws or operating, management or partnership agreement, or other organizational or governing documents, and (ii) a good standing certificate for the Borrower from its jurisdiction of organization.</w:t>
      </w:r>
    </w:p>
    <w:p>
      <w:pPr>
        <w:spacing w:after="0" w:line="183" w:lineRule="exact"/>
        <w:rPr>
          <w:rFonts w:ascii="Arial" w:cs="Arial" w:eastAsia="Arial" w:hAnsi="Arial"/>
          <w:sz w:val="21"/>
          <w:szCs w:val="21"/>
          <w:color w:val="auto"/>
        </w:rPr>
      </w:pPr>
    </w:p>
    <w:p>
      <w:pPr>
        <w:jc w:val="both"/>
        <w:ind w:firstLine="1304"/>
        <w:spacing w:after="0" w:line="251" w:lineRule="auto"/>
        <w:tabs>
          <w:tab w:leader="none" w:pos="182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 Default Certificate</w:t>
      </w:r>
      <w:r>
        <w:rPr>
          <w:rFonts w:ascii="Arial" w:cs="Arial" w:eastAsia="Arial" w:hAnsi="Arial"/>
          <w:sz w:val="22"/>
          <w:szCs w:val="22"/>
          <w:color w:val="auto"/>
        </w:rPr>
        <w:t>. The Lender shall have received a certificate, signed by a Financial Officer of the Borrower, dated as of the Effective Date (i) stating that no Default has occurred and is continuing, (ii) stating that the representations and warranties contained in the Loan Documents are true and correct as of such date, (iii) certifying as to the Borrower’s current Credit Rating, and (iv) certifying as to any other factual matters as may be reasonably requested by the Lender.</w:t>
      </w:r>
    </w:p>
    <w:p>
      <w:pPr>
        <w:spacing w:after="0" w:line="189" w:lineRule="exact"/>
        <w:rPr>
          <w:rFonts w:ascii="Arial" w:cs="Arial" w:eastAsia="Arial" w:hAnsi="Arial"/>
          <w:sz w:val="22"/>
          <w:szCs w:val="22"/>
          <w:color w:val="auto"/>
        </w:rPr>
      </w:pPr>
    </w:p>
    <w:p>
      <w:pPr>
        <w:jc w:val="both"/>
        <w:ind w:firstLine="1304"/>
        <w:spacing w:after="0" w:line="270" w:lineRule="auto"/>
        <w:tabs>
          <w:tab w:leader="none" w:pos="1729"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Lender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Lender on or before the Effective Date.</w:t>
      </w:r>
    </w:p>
    <w:p>
      <w:pPr>
        <w:spacing w:after="0" w:line="168" w:lineRule="exact"/>
        <w:rPr>
          <w:rFonts w:ascii="Arial" w:cs="Arial" w:eastAsia="Arial" w:hAnsi="Arial"/>
          <w:sz w:val="21"/>
          <w:szCs w:val="21"/>
          <w:color w:val="auto"/>
        </w:rPr>
      </w:pPr>
    </w:p>
    <w:p>
      <w:pPr>
        <w:ind w:right="20" w:firstLine="1304"/>
        <w:spacing w:after="0" w:line="276" w:lineRule="auto"/>
        <w:tabs>
          <w:tab w:leader="none" w:pos="181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The Lender shall have received a solvency certificate signed by a Financial Officer dated the Effective Date in form and substance reasonably satisfactory to the Lender.</w:t>
      </w:r>
    </w:p>
    <w:p>
      <w:pPr>
        <w:spacing w:after="0" w:line="160" w:lineRule="exact"/>
        <w:rPr>
          <w:rFonts w:ascii="Arial" w:cs="Arial" w:eastAsia="Arial" w:hAnsi="Arial"/>
          <w:sz w:val="22"/>
          <w:szCs w:val="22"/>
          <w:color w:val="auto"/>
        </w:rPr>
      </w:pPr>
    </w:p>
    <w:p>
      <w:pPr>
        <w:ind w:right="20" w:firstLine="1304"/>
        <w:spacing w:after="0" w:line="276" w:lineRule="auto"/>
        <w:tabs>
          <w:tab w:leader="none" w:pos="175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Legal Due Diligence</w:t>
      </w:r>
      <w:r>
        <w:rPr>
          <w:rFonts w:ascii="Arial" w:cs="Arial" w:eastAsia="Arial" w:hAnsi="Arial"/>
          <w:sz w:val="22"/>
          <w:szCs w:val="22"/>
          <w:color w:val="auto"/>
        </w:rPr>
        <w:t>. The Lender and its counsel shall have completed all legal due diligence, the results of which shall be satisfactory to Lender in its sole discretion.</w:t>
      </w:r>
    </w:p>
    <w:p>
      <w:pPr>
        <w:spacing w:after="0" w:line="160" w:lineRule="exact"/>
        <w:rPr>
          <w:rFonts w:ascii="Arial" w:cs="Arial" w:eastAsia="Arial" w:hAnsi="Arial"/>
          <w:sz w:val="22"/>
          <w:szCs w:val="22"/>
          <w:color w:val="auto"/>
        </w:rPr>
      </w:pPr>
    </w:p>
    <w:p>
      <w:pPr>
        <w:ind w:firstLine="1304"/>
        <w:spacing w:after="0" w:line="276" w:lineRule="auto"/>
        <w:tabs>
          <w:tab w:leader="none" w:pos="182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USA PATRIOT Act, Etc</w:t>
      </w:r>
      <w:r>
        <w:rPr>
          <w:rFonts w:ascii="Arial" w:cs="Arial" w:eastAsia="Arial" w:hAnsi="Arial"/>
          <w:sz w:val="22"/>
          <w:szCs w:val="22"/>
          <w:color w:val="auto"/>
        </w:rPr>
        <w:t>. The Lender shall have received all documentation and other information required by bank regulatory authorities under applicable “know your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604" w:right="339" w:bottom="1440" w:gutter="0" w:footer="0" w:header="0"/>
        </w:sectPr>
      </w:pPr>
    </w:p>
    <w:bookmarkStart w:id="82" w:name="page83"/>
    <w:bookmarkEnd w:id="82"/>
    <w:p>
      <w:pPr>
        <w:jc w:val="both"/>
        <w:spacing w:after="0" w:line="253" w:lineRule="auto"/>
        <w:rPr>
          <w:sz w:val="20"/>
          <w:szCs w:val="20"/>
          <w:color w:val="auto"/>
        </w:rPr>
      </w:pPr>
      <w:r>
        <w:rPr>
          <w:rFonts w:ascii="Arial" w:cs="Arial" w:eastAsia="Arial" w:hAnsi="Arial"/>
          <w:sz w:val="22"/>
          <w:szCs w:val="22"/>
          <w:color w:val="auto"/>
        </w:rPr>
        <w:t>customer” and anti-money laundering rules and regulations, including USA PATRIOT Act, to the extent requested in writing of the Borrower at least five (5) days prior to the Effective Date, and a properly completed and signed IRS Form W-8 or W-9, as applicable, for the Borrower.</w:t>
      </w:r>
    </w:p>
    <w:p>
      <w:pPr>
        <w:spacing w:after="0" w:line="185" w:lineRule="exact"/>
        <w:rPr>
          <w:sz w:val="20"/>
          <w:szCs w:val="20"/>
          <w:color w:val="auto"/>
        </w:rPr>
      </w:pPr>
    </w:p>
    <w:p>
      <w:pPr>
        <w:jc w:val="both"/>
        <w:ind w:firstLine="1304"/>
        <w:spacing w:after="0" w:line="254" w:lineRule="auto"/>
        <w:tabs>
          <w:tab w:leader="none" w:pos="182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The Lender shall have received, at least three (3)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five (5) days prior to the Effective Date.</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7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The Lender shall have received reasonably satisfactory evidence that, prior to or concurrently with the effectiveness of this Agreement, the Existing SJWC Credit Agreement shall have been amended on terms reasonably acceptable to the Lender.</w:t>
      </w:r>
    </w:p>
    <w:p>
      <w:pPr>
        <w:spacing w:after="0" w:line="180" w:lineRule="exact"/>
        <w:rPr>
          <w:rFonts w:ascii="Arial" w:cs="Arial" w:eastAsia="Arial" w:hAnsi="Arial"/>
          <w:sz w:val="22"/>
          <w:szCs w:val="22"/>
          <w:color w:val="auto"/>
        </w:rPr>
      </w:pPr>
    </w:p>
    <w:p>
      <w:pPr>
        <w:ind w:firstLine="1304"/>
        <w:spacing w:after="0" w:line="276" w:lineRule="auto"/>
        <w:tabs>
          <w:tab w:leader="none" w:pos="179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The Lender shall have received such other documents as the Lender or its counsel may have reasonably requested.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Lender shall notify the Borrower of the Effective Date, and such notice shall be conclusive and binding.</w:t>
      </w:r>
    </w:p>
    <w:p>
      <w:pPr>
        <w:spacing w:after="0" w:line="220"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21"/>
          <w:szCs w:val="21"/>
          <w:u w:val="single" w:color="auto"/>
          <w:color w:val="auto"/>
        </w:rPr>
        <w:t>Each Credit Event</w:t>
      </w:r>
      <w:r>
        <w:rPr>
          <w:rFonts w:ascii="Arial" w:cs="Arial" w:eastAsia="Arial" w:hAnsi="Arial"/>
          <w:sz w:val="21"/>
          <w:szCs w:val="21"/>
          <w:color w:val="auto"/>
        </w:rPr>
        <w:t>. The obligation of the Lender to make a Loan on the occasion of any</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Borrowing, and to issue, amend, renew or extend any Letter of Credit, is subject to the satisfaction of the following conditions:</w:t>
      </w:r>
    </w:p>
    <w:p>
      <w:pPr>
        <w:spacing w:after="0" w:line="250" w:lineRule="exact"/>
        <w:rPr>
          <w:sz w:val="20"/>
          <w:szCs w:val="20"/>
          <w:color w:val="auto"/>
        </w:rPr>
      </w:pPr>
    </w:p>
    <w:p>
      <w:pPr>
        <w:jc w:val="both"/>
        <w:ind w:firstLine="1304"/>
        <w:spacing w:after="0" w:line="249" w:lineRule="auto"/>
        <w:tabs>
          <w:tab w:leader="none" w:pos="172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93" w:lineRule="exact"/>
        <w:rPr>
          <w:rFonts w:ascii="Arial" w:cs="Arial" w:eastAsia="Arial" w:hAnsi="Arial"/>
          <w:sz w:val="22"/>
          <w:szCs w:val="22"/>
          <w:color w:val="auto"/>
        </w:rPr>
      </w:pPr>
    </w:p>
    <w:p>
      <w:pPr>
        <w:ind w:firstLine="1304"/>
        <w:spacing w:after="0" w:line="276" w:lineRule="auto"/>
        <w:tabs>
          <w:tab w:leader="none" w:pos="172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or the issuance, amendment, renewal or extension of such Letter of Credit, as applicable, no Default shall have occurred and be continuing.</w:t>
      </w:r>
    </w:p>
    <w:p>
      <w:pPr>
        <w:spacing w:after="0" w:line="160" w:lineRule="exact"/>
        <w:rPr>
          <w:rFonts w:ascii="Arial" w:cs="Arial" w:eastAsia="Arial" w:hAnsi="Arial"/>
          <w:sz w:val="22"/>
          <w:szCs w:val="22"/>
          <w:color w:val="auto"/>
        </w:rPr>
      </w:pPr>
    </w:p>
    <w:p>
      <w:pPr>
        <w:ind w:firstLine="1304"/>
        <w:spacing w:after="0" w:line="276" w:lineRule="auto"/>
        <w:tabs>
          <w:tab w:leader="none" w:pos="1729"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event shall have occurred and no condition shall exist which has or could be reasonably expected to have a Material Adverse Effect.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Borrowing and each issuance, amendment, renewal or extension of a Letter of Credit shall be deemed to constitute a representation and warranty by the Borrower on the date thereof as to the matters specified in paragraphs (a), (b) and (c) of this Section.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60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AFFIRMATIVE COVENANTS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Until the Commitment shall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Borrower covenants and agrees with the Lender that:</w:t>
      </w:r>
    </w:p>
    <w:p>
      <w:pPr>
        <w:spacing w:after="0" w:line="133"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Financial Statements; Other Information</w:t>
      </w:r>
      <w:r>
        <w:rPr>
          <w:rFonts w:ascii="Arial" w:cs="Arial" w:eastAsia="Arial" w:hAnsi="Arial"/>
          <w:sz w:val="19"/>
          <w:szCs w:val="19"/>
          <w:color w:val="auto"/>
        </w:rPr>
        <w:t>. The Borrower will furnish to the Lender:</w:t>
      </w:r>
    </w:p>
    <w:p>
      <w:pPr>
        <w:spacing w:after="0" w:line="233" w:lineRule="exact"/>
        <w:rPr>
          <w:sz w:val="20"/>
          <w:szCs w:val="20"/>
          <w:color w:val="auto"/>
        </w:rPr>
      </w:pPr>
    </w:p>
    <w:p>
      <w:pPr>
        <w:jc w:val="both"/>
        <w:ind w:firstLine="1304"/>
        <w:spacing w:after="0" w:line="294" w:lineRule="auto"/>
        <w:tabs>
          <w:tab w:leader="none" w:pos="181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within 100 days after the end of each fiscal year of Borrower, its audited consolidated balance sheet and related income statement,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Borrower and its consolidated Subsidiaries on a consolidated basis in accordance with GAAP consistently applied, accompanied by any management letter prepared by said accountants.</w:t>
      </w:r>
    </w:p>
    <w:p>
      <w:pPr>
        <w:spacing w:after="0" w:line="151" w:lineRule="exact"/>
        <w:rPr>
          <w:rFonts w:ascii="Arial" w:cs="Arial" w:eastAsia="Arial" w:hAnsi="Arial"/>
          <w:sz w:val="19"/>
          <w:szCs w:val="19"/>
          <w:color w:val="auto"/>
        </w:rPr>
      </w:pPr>
    </w:p>
    <w:p>
      <w:pPr>
        <w:jc w:val="both"/>
        <w:ind w:firstLine="1304"/>
        <w:spacing w:after="0" w:line="289" w:lineRule="auto"/>
        <w:tabs>
          <w:tab w:leader="none" w:pos="176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within 60 days after the end of each of the first three fiscal quarters of Holdco (commencing with the fiscal quarter ending March 31, 2020), (i) its consolidated balance sheet and related income statement and stockholders’ equity as of the end of and for such fiscal quarter and the then elapsed portion of such fiscal year, setting forth in each case in comparative form the figures for the corresponding period or periods of (or, in the case of the balance sheet, as of the end of) the previous fiscal year and in the case of the cash flows, the then elapsed portion of such fiscal year and the comparative form for the corresponding previous fiscal year, (ii) the consolidating balance sheet and related income statement for the time elapsed for the current fiscal year and previous fiscal year and (iii) the statement of cash flows of the Borrower as of the then elapsed portion of such fiscal year, setting forth in comparative form the figures for the corresponding period of the previous fiscal year, all certified by a Financial Officer as presenting fairly in all material respects the financial condition and results of operations of Holdco and its consolidated Subsidiaries on a consolidated basis (or, in the case of clause (iii), the Borrower) in accordance with GAAP consistently applied, subject to normal year-end audit adjustments and the absence of footnotes;</w:t>
      </w:r>
    </w:p>
    <w:p>
      <w:pPr>
        <w:spacing w:after="0" w:line="156" w:lineRule="exact"/>
        <w:rPr>
          <w:rFonts w:ascii="Arial" w:cs="Arial" w:eastAsia="Arial" w:hAnsi="Arial"/>
          <w:sz w:val="19"/>
          <w:szCs w:val="19"/>
          <w:color w:val="auto"/>
        </w:rPr>
      </w:pPr>
    </w:p>
    <w:p>
      <w:pPr>
        <w:jc w:val="both"/>
        <w:ind w:firstLine="1304"/>
        <w:spacing w:after="0" w:line="291" w:lineRule="auto"/>
        <w:tabs>
          <w:tab w:leader="none" w:pos="19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concurrently with any delivery of financial statements under clause (a) or (b) above (collectively or individually, as the context requires, the “Financial Statements”), a certificate of a Financial Officer in substantially the form of Exhibit B (i) certifying, in the case of the Financial Statements delivered under clause (b) above, as presenting fairly in all material respects the financial condition and results of operations of Holdco and its consolidated Subsidiaries on a consolidated basis (or the Borrower, as applicable)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6.12(a) and 6.12(b) and (iv) stating whether any change in GAAP or in the application thereof has occurred since the date of the audited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604" w:right="3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referred to in Section 3.04 and, if any such change has occurred, specifying the effect of such change on the Financial Statements accompanying such certificate;</w:t>
      </w:r>
    </w:p>
    <w:p>
      <w:pPr>
        <w:spacing w:after="0" w:line="175" w:lineRule="exact"/>
        <w:rPr>
          <w:sz w:val="20"/>
          <w:szCs w:val="20"/>
          <w:color w:val="auto"/>
        </w:rPr>
      </w:pPr>
    </w:p>
    <w:p>
      <w:pPr>
        <w:jc w:val="both"/>
        <w:ind w:firstLine="1304"/>
        <w:spacing w:after="0" w:line="254" w:lineRule="auto"/>
        <w:tabs>
          <w:tab w:leader="none" w:pos="1795" w:val="left"/>
        </w:tabs>
        <w:numPr>
          <w:ilvl w:val="0"/>
          <w:numId w:val="63"/>
        </w:numPr>
        <w:rPr>
          <w:rFonts w:ascii="Arial" w:cs="Arial" w:eastAsia="Arial" w:hAnsi="Arial"/>
          <w:sz w:val="22"/>
          <w:szCs w:val="22"/>
          <w:color w:val="auto"/>
        </w:rPr>
      </w:pPr>
      <w:r>
        <w:rPr>
          <w:rFonts w:ascii="Arial" w:cs="Arial" w:eastAsia="Arial" w:hAnsi="Arial"/>
          <w:sz w:val="22"/>
          <w:szCs w:val="22"/>
          <w:color w:val="auto"/>
        </w:rPr>
        <w:t>as soon as available, but in any event no later than 100 days after the end of each fiscal year of Holdco, a copy of the plan and forecast (including a projected consolidated and consolidating balance sheet, income statement and cash flow statement) of the Borrower and its Subsidiaries for each month of the upcoming fiscal year (the “</w:t>
      </w:r>
      <w:r>
        <w:rPr>
          <w:rFonts w:ascii="Arial" w:cs="Arial" w:eastAsia="Arial" w:hAnsi="Arial"/>
          <w:sz w:val="22"/>
          <w:szCs w:val="22"/>
          <w:u w:val="single" w:color="auto"/>
          <w:color w:val="auto"/>
        </w:rPr>
        <w:t>Projections</w:t>
      </w:r>
      <w:r>
        <w:rPr>
          <w:rFonts w:ascii="Arial" w:cs="Arial" w:eastAsia="Arial" w:hAnsi="Arial"/>
          <w:sz w:val="22"/>
          <w:szCs w:val="22"/>
          <w:color w:val="auto"/>
        </w:rPr>
        <w:t>”) in form reasonably satisfactory to the Lender;</w:t>
      </w:r>
    </w:p>
    <w:p>
      <w:pPr>
        <w:spacing w:after="0" w:line="184" w:lineRule="exact"/>
        <w:rPr>
          <w:rFonts w:ascii="Arial" w:cs="Arial" w:eastAsia="Arial" w:hAnsi="Arial"/>
          <w:sz w:val="22"/>
          <w:szCs w:val="22"/>
          <w:color w:val="auto"/>
        </w:rPr>
      </w:pPr>
    </w:p>
    <w:p>
      <w:pPr>
        <w:jc w:val="both"/>
        <w:ind w:firstLine="1304"/>
        <w:spacing w:after="0" w:line="254" w:lineRule="auto"/>
        <w:tabs>
          <w:tab w:leader="none" w:pos="1783"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material reports, proxy statements and other materials filed by Holdco, the Borrower or any Subsidiary with the SEC, or any Governmental Authority succeeding to any or all of the functions of the SEC, or with any national securities exchange, or distributed by the Borrower to its shareholders generally, as the case may be;</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692"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information regarding the operations, business affairs and financial condition of the Borrower or any Subsidiary, or compliance with the terms of this Agreement, as the Lender may reasonably request;</w:t>
      </w:r>
    </w:p>
    <w:p>
      <w:pPr>
        <w:spacing w:after="0" w:line="180" w:lineRule="exact"/>
        <w:rPr>
          <w:rFonts w:ascii="Arial" w:cs="Arial" w:eastAsia="Arial" w:hAnsi="Arial"/>
          <w:sz w:val="22"/>
          <w:szCs w:val="22"/>
          <w:color w:val="auto"/>
        </w:rPr>
      </w:pPr>
    </w:p>
    <w:p>
      <w:pPr>
        <w:ind w:firstLine="1304"/>
        <w:spacing w:after="0" w:line="276" w:lineRule="auto"/>
        <w:tabs>
          <w:tab w:leader="none" w:pos="1768"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promptly thereafter, any announcement by S&amp;P of any change or possible change in a Credit Rating or any announcement by Moody’s or S&amp;P of a new Credit Rating;</w:t>
      </w:r>
    </w:p>
    <w:p>
      <w:pPr>
        <w:spacing w:after="0" w:line="160" w:lineRule="exact"/>
        <w:rPr>
          <w:rFonts w:ascii="Arial" w:cs="Arial" w:eastAsia="Arial" w:hAnsi="Arial"/>
          <w:sz w:val="22"/>
          <w:szCs w:val="22"/>
          <w:color w:val="auto"/>
        </w:rPr>
      </w:pPr>
    </w:p>
    <w:p>
      <w:pPr>
        <w:jc w:val="both"/>
        <w:ind w:firstLine="1304"/>
        <w:spacing w:after="0" w:line="262" w:lineRule="auto"/>
        <w:tabs>
          <w:tab w:leader="none" w:pos="1728" w:val="left"/>
        </w:tabs>
        <w:numPr>
          <w:ilvl w:val="0"/>
          <w:numId w:val="63"/>
        </w:numPr>
        <w:rPr>
          <w:rFonts w:ascii="Arial" w:cs="Arial" w:eastAsia="Arial" w:hAnsi="Arial"/>
          <w:sz w:val="21"/>
          <w:szCs w:val="21"/>
          <w:color w:val="auto"/>
        </w:rPr>
      </w:pPr>
      <w:r>
        <w:rPr>
          <w:rFonts w:ascii="Arial" w:cs="Arial" w:eastAsia="Arial" w:hAnsi="Arial"/>
          <w:sz w:val="21"/>
          <w:szCs w:val="21"/>
          <w:color w:val="auto"/>
        </w:rPr>
        <w:t>promptly after any request therefor by the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 and</w:t>
      </w:r>
    </w:p>
    <w:p>
      <w:pPr>
        <w:spacing w:after="0" w:line="179" w:lineRule="exact"/>
        <w:rPr>
          <w:rFonts w:ascii="Arial" w:cs="Arial" w:eastAsia="Arial" w:hAnsi="Arial"/>
          <w:sz w:val="21"/>
          <w:szCs w:val="21"/>
          <w:color w:val="auto"/>
        </w:rPr>
      </w:pPr>
    </w:p>
    <w:p>
      <w:pPr>
        <w:jc w:val="both"/>
        <w:ind w:firstLine="1304"/>
        <w:spacing w:after="0" w:line="259" w:lineRule="auto"/>
        <w:tabs>
          <w:tab w:leader="none" w:pos="1707"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Lender for purposes of compliance with applicable “know your customer” and anti-money laundering rules and regulations, including the USA Patriot Act and the Beneficial Ownership Regulation.</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Documents required to be delivered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may be delivered by electronic mail and documents required to be delivered pursuant to </w:t>
      </w:r>
      <w:r>
        <w:rPr>
          <w:rFonts w:ascii="Arial" w:cs="Arial" w:eastAsia="Arial" w:hAnsi="Arial"/>
          <w:sz w:val="22"/>
          <w:szCs w:val="22"/>
          <w:u w:val="single" w:color="auto"/>
          <w:color w:val="auto"/>
        </w:rPr>
        <w:t>Sections 5.01(e)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 xml:space="preserve"> shall be deemed to have been delivered if Borrower has timely filed such items with the SEC on the SEC’s Electronic Data Gathering, Analysis and Retrieval System or any successor SEC electronic filing system for such purposes.</w:t>
      </w:r>
    </w:p>
    <w:p>
      <w:pPr>
        <w:spacing w:after="0" w:line="18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Borrower will furnish to the Lender prompt (but in any event within any time period that may be specified below) written notice of the following: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604" w:right="339" w:bottom="1440" w:gutter="0" w:footer="0" w:header="0"/>
        </w:sectPr>
      </w:pPr>
    </w:p>
    <w:bookmarkStart w:id="85" w:name="page86"/>
    <w:bookmarkEnd w:id="85"/>
    <w:p>
      <w:pPr>
        <w:ind w:left="1720" w:hanging="416"/>
        <w:spacing w:after="0"/>
        <w:tabs>
          <w:tab w:leader="none" w:pos="17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33" w:lineRule="exact"/>
        <w:rPr>
          <w:rFonts w:ascii="Arial" w:cs="Arial" w:eastAsia="Arial" w:hAnsi="Arial"/>
          <w:sz w:val="22"/>
          <w:szCs w:val="22"/>
          <w:color w:val="auto"/>
        </w:rPr>
      </w:pPr>
    </w:p>
    <w:p>
      <w:pPr>
        <w:jc w:val="both"/>
        <w:ind w:firstLine="1304"/>
        <w:spacing w:after="0" w:line="294" w:lineRule="auto"/>
        <w:tabs>
          <w:tab w:leader="none" w:pos="1863"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receipt of any notice of any investigation by a Governmental Authority or any litigation or proceeding commenced or threatened against the Borrower or any Subsidiary that (i) seeks damages in excess of $5,000,000, (ii) seeks injunctive relief, (iii) is asserted or instituted against any Plan, its fiduciaries or its assets, (iv) alleges criminal misconduct by the Borrower or any Subsidiary, (v) alleges the violation of, or seeks to impose remedies under any Environmental Law or related Requirement of Law, or seeks to impose Environmental Liability, in each case where such violation, remedy or liability could reasonably be expected to result in a Material Adverse Effect, or (vi) asserts liability on the part of the Borrower or any Subsidiary in excess of $5,000,000 in respect of any tax, fee, assessment, or other governmental charge;</w:t>
      </w:r>
    </w:p>
    <w:p>
      <w:pPr>
        <w:spacing w:after="0" w:line="151" w:lineRule="exact"/>
        <w:rPr>
          <w:rFonts w:ascii="Arial" w:cs="Arial" w:eastAsia="Arial" w:hAnsi="Arial"/>
          <w:sz w:val="19"/>
          <w:szCs w:val="19"/>
          <w:color w:val="auto"/>
        </w:rPr>
      </w:pPr>
    </w:p>
    <w:p>
      <w:pPr>
        <w:jc w:val="both"/>
        <w:ind w:firstLine="1304"/>
        <w:spacing w:after="0" w:line="259" w:lineRule="auto"/>
        <w:tabs>
          <w:tab w:leader="none" w:pos="1743"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liability of the Borrower and its Subsidiaries in an aggregate amount exceeding $5,000,000;</w:t>
      </w:r>
    </w:p>
    <w:p>
      <w:pPr>
        <w:spacing w:after="0" w:line="180" w:lineRule="exact"/>
        <w:rPr>
          <w:rFonts w:ascii="Arial" w:cs="Arial" w:eastAsia="Arial" w:hAnsi="Arial"/>
          <w:sz w:val="22"/>
          <w:szCs w:val="22"/>
          <w:color w:val="auto"/>
        </w:rPr>
      </w:pPr>
    </w:p>
    <w:p>
      <w:pPr>
        <w:ind w:left="1740" w:hanging="436"/>
        <w:spacing w:after="0"/>
        <w:tabs>
          <w:tab w:leader="none" w:pos="17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firstLine="1304"/>
        <w:spacing w:after="0" w:line="276" w:lineRule="auto"/>
        <w:tabs>
          <w:tab w:leader="none" w:pos="17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delivered to the Lender that would result in a change to the list of beneficial owners identified in such certification.</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Borrower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8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The Borrower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has set aside on its books adequate reserves with respect thereto in accordance with GAAP and (c) the failure to make payment pending such contest could not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will, and will cause each Subsidiary to, remit all Taxes to appropriate Governmental Authorities as and when claimed to be due, notwithstanding the foregoing exceptions.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604" w:right="339" w:bottom="1440" w:gutter="0" w:footer="0" w:header="0"/>
        </w:sectPr>
      </w:pPr>
    </w:p>
    <w:bookmarkStart w:id="86" w:name="page87"/>
    <w:bookmarkEnd w:id="86"/>
    <w:p>
      <w:pPr>
        <w:jc w:val="both"/>
        <w:ind w:firstLine="1296"/>
        <w:spacing w:after="0" w:line="259"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The Borrower will, and will cause each Subsidiary to, keep and maintain all property material to the conduct of its business in good working order and condition, ordinary wear and tear excepted.</w:t>
      </w:r>
    </w:p>
    <w:p>
      <w:pPr>
        <w:spacing w:after="0" w:line="180" w:lineRule="exact"/>
        <w:rPr>
          <w:sz w:val="20"/>
          <w:szCs w:val="20"/>
          <w:color w:val="auto"/>
        </w:rPr>
      </w:pPr>
    </w:p>
    <w:p>
      <w:pPr>
        <w:jc w:val="right"/>
        <w:spacing w:after="0"/>
        <w:tabs>
          <w:tab w:leader="none" w:pos="828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The Borrower will, and will cause each Subsidiary to,</w:t>
      </w:r>
    </w:p>
    <w:p>
      <w:pPr>
        <w:spacing w:after="0" w:line="21" w:lineRule="exact"/>
        <w:rPr>
          <w:sz w:val="20"/>
          <w:szCs w:val="20"/>
          <w:color w:val="auto"/>
        </w:rPr>
      </w:pPr>
    </w:p>
    <w:p>
      <w:pPr>
        <w:jc w:val="both"/>
        <w:ind w:firstLine="8"/>
        <w:spacing w:after="0" w:line="293" w:lineRule="auto"/>
        <w:tabs>
          <w:tab w:leader="none" w:pos="310" w:val="left"/>
        </w:tabs>
        <w:numPr>
          <w:ilvl w:val="0"/>
          <w:numId w:val="65"/>
        </w:numPr>
        <w:rPr>
          <w:rFonts w:ascii="Arial" w:cs="Arial" w:eastAsia="Arial" w:hAnsi="Arial"/>
          <w:sz w:val="19"/>
          <w:szCs w:val="19"/>
          <w:color w:val="auto"/>
        </w:rPr>
      </w:pPr>
      <w:r>
        <w:rPr>
          <w:rFonts w:ascii="Arial" w:cs="Arial" w:eastAsia="Arial" w:hAnsi="Arial"/>
          <w:sz w:val="19"/>
          <w:szCs w:val="19"/>
          <w:color w:val="auto"/>
        </w:rPr>
        <w:t>keep proper books of record and account in which full, true and correct entries are made of all dealings and transactions in relation to its business and activities and (b) permit any representatives designated by the Lender (including employees of the Lender or any consultants, accountants, lawyers, and agents retained by the Lender), upon reasonable prior notice, to visit and inspect its properties, conduct at the Borrower’s premises inspections of the Borrower’s and its Subsidiaries’ books and records, including examining and making extracts from its books and records, and to discuss its affairs, finances and condition with its officers and independent accountants, all at such reasonable times and as often as reasonably requested.</w:t>
      </w:r>
    </w:p>
    <w:p>
      <w:pPr>
        <w:spacing w:after="0" w:line="15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u w:val="single" w:color="auto"/>
          <w:color w:val="auto"/>
        </w:rPr>
        <w:t>Compliance with Laws and Material Contractual Obligations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7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Borrower will, and will cause each Subsidiary to, (i) comply with each Requirement of Law applicable to it or its property (including, without limitation, Environmental Laws) and (ii) perform in all material respects its obligations under the Material Agreements to which it is a party.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9" w:lineRule="exact"/>
        <w:rPr>
          <w:rFonts w:ascii="Arial" w:cs="Arial" w:eastAsia="Arial" w:hAnsi="Arial"/>
          <w:sz w:val="22"/>
          <w:szCs w:val="22"/>
          <w:color w:val="auto"/>
        </w:rPr>
      </w:pPr>
    </w:p>
    <w:p>
      <w:pPr>
        <w:jc w:val="both"/>
        <w:ind w:firstLine="1304"/>
        <w:spacing w:after="0" w:line="300" w:lineRule="auto"/>
        <w:tabs>
          <w:tab w:leader="none" w:pos="1768"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 the Borrower and each Subsidiary shall not petition, request or take any legal or administrative action that seeks to amend, supplement or modify any Regulatory Approval in any material respect unless such amendment, supplement or modification could not reasonably be expected to result in a Material Adverse Effect. The Borrower shall promptly upon receipt by it or any Subsidiary or upon publication furnish to the Lender a copy (certified by an Authorized Officer of the Borrower) of each amendment, supplement or modification to any such Regulatory Approval.</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743"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any Impairment shall occur of any Regulatory Approval which could reasonably be expected to result in a Material Adverse Effect, then the Borrower shall or shall cause such Subsidiary to either (i) promptly and diligently apply for and use commercially reasonable efforts to obtain a replacement Regulatory Approval on terms and conditions that are in all material respects the same as those of such Impaired Regulatory Approval or (ii) take such lawful action as shall be necessary to prevent such Impairment from becoming final and non-appealable or otherwise irrevocable, to postpone the effectiveness of such Impairment and to cause such Impairment to be revoked or amended or modified so as to eliminate the reasonable possibility of such Material Adverse Effect.</w:t>
      </w:r>
    </w:p>
    <w:p>
      <w:pPr>
        <w:spacing w:after="0" w:line="19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6" w:lineRule="auto"/>
        <w:tabs>
          <w:tab w:leader="none" w:pos="174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proceeds of the Loans and the Letters of Credit will be used only for refinancing existing debt, working capital and general corporate purposes. No part of the proceeds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604" w:right="339" w:bottom="1440" w:gutter="0" w:footer="0" w:header="0"/>
        </w:sectPr>
      </w:pPr>
    </w:p>
    <w:bookmarkStart w:id="87" w:name="page88"/>
    <w:bookmarkEnd w:id="87"/>
    <w:p>
      <w:pPr>
        <w:ind w:right="20"/>
        <w:spacing w:after="0" w:line="263" w:lineRule="auto"/>
        <w:rPr>
          <w:sz w:val="20"/>
          <w:szCs w:val="20"/>
          <w:color w:val="auto"/>
        </w:rPr>
      </w:pPr>
      <w:r>
        <w:rPr>
          <w:rFonts w:ascii="Arial" w:cs="Arial" w:eastAsia="Arial" w:hAnsi="Arial"/>
          <w:sz w:val="22"/>
          <w:szCs w:val="22"/>
          <w:color w:val="auto"/>
        </w:rPr>
        <w:t>of any Loan and no Letter of Credit will be used, whether directly or indirectly, for any purpose that entails a violation of any of the Regulations of the Board, including Regulations T, U and X.</w:t>
      </w:r>
    </w:p>
    <w:p>
      <w:pPr>
        <w:spacing w:after="0" w:line="175" w:lineRule="exact"/>
        <w:rPr>
          <w:sz w:val="20"/>
          <w:szCs w:val="20"/>
          <w:color w:val="auto"/>
        </w:rPr>
      </w:pPr>
    </w:p>
    <w:p>
      <w:pPr>
        <w:jc w:val="both"/>
        <w:ind w:firstLine="1304"/>
        <w:spacing w:after="0" w:line="288" w:lineRule="auto"/>
        <w:tabs>
          <w:tab w:leader="none" w:pos="1768"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w:t>
      </w:r>
    </w:p>
    <w:p>
      <w:pPr>
        <w:spacing w:after="0" w:line="3" w:lineRule="exact"/>
        <w:rPr>
          <w:rFonts w:ascii="Arial" w:cs="Arial" w:eastAsia="Arial" w:hAnsi="Arial"/>
          <w:sz w:val="19"/>
          <w:szCs w:val="19"/>
          <w:color w:val="auto"/>
        </w:rPr>
      </w:pPr>
    </w:p>
    <w:p>
      <w:pPr>
        <w:ind w:left="300" w:hanging="292"/>
        <w:spacing w:after="0"/>
        <w:tabs>
          <w:tab w:leader="none" w:pos="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any manner that would result in the violation of any Sanctions applicable to any party hereto.</w:t>
      </w:r>
    </w:p>
    <w:p>
      <w:pPr>
        <w:spacing w:after="0" w:line="20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The Borrower will ensure that any information, including financial statements or other documents, furnished to the Lender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Borrower will cause the Projections to be prepared in good faith based upon assumptions believed to be reasonable at the time.</w:t>
      </w:r>
    </w:p>
    <w:p>
      <w:pPr>
        <w:spacing w:after="0" w:line="15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Insurance</w:t>
      </w:r>
      <w:r>
        <w:rPr>
          <w:rFonts w:ascii="Arial" w:cs="Arial" w:eastAsia="Arial" w:hAnsi="Arial"/>
          <w:sz w:val="22"/>
          <w:szCs w:val="22"/>
          <w:color w:val="auto"/>
        </w:rPr>
        <w:t>. The Borrower will, and will cause each Subsidiary to, maintain with financially sound and reputable carriers having a financial strength rating of at least A- by A.M. Best Company insurance in such amounts (with no greater risk retention) and against such risks (including, without limitation, loss or damage by fire;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The Borrower will furnish to the Lender information in reasonable detail as to the insurance so maintained.</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Material Licenses and Permits</w:t>
      </w:r>
      <w:r>
        <w:rPr>
          <w:rFonts w:ascii="Arial" w:cs="Arial" w:eastAsia="Arial" w:hAnsi="Arial"/>
          <w:sz w:val="22"/>
          <w:szCs w:val="22"/>
          <w:color w:val="auto"/>
        </w:rPr>
        <w:t>. The Borrower and its Subsidiaries shall maintain each license, permit or franchise issued by a Governmental Authority necessary for the conduct of its business except where the failure to do so could not reasonably be expected to have a Material Adverse Effect.</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Depository Banks</w:t>
      </w:r>
      <w:r>
        <w:rPr>
          <w:rFonts w:ascii="Arial" w:cs="Arial" w:eastAsia="Arial" w:hAnsi="Arial"/>
          <w:sz w:val="22"/>
          <w:szCs w:val="22"/>
          <w:color w:val="auto"/>
        </w:rPr>
        <w:t>. From and after December 31, 2019, the Borrower and each Subsidiary will maintain the Lender as its principal depository bank, including for the maintenance of operating, administrative, cash management, collection activity, and other deposit accounts for the conduct of its business.</w:t>
      </w:r>
    </w:p>
    <w:p>
      <w:pPr>
        <w:spacing w:after="0" w:line="18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Without limiting the foregoing, the Borrower will, and will cause each Subsidiary to, execute and deliver, or cause to be executed and delivered, to the Lender such documents, agreements and instruments, and will take or cause to be taken such further actions, which may be required by any Requirement of Law or which the Lender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604"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22"/>
          <w:szCs w:val="22"/>
          <w:color w:val="auto"/>
        </w:rPr>
        <w:t>may, from time to time, reasonably request to carry out the terms and conditions of this Agreement and the other Loan Documents, all at the expense of the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Until the Commitment shall have expired or been terminated and the principal of and interest on each Loan and all fees, expenses and other amounts payable under any Loan Document shall have been paid in full and all Letters of Credit shall have expired or terminated, in each case without any pending draw, and all LC Disbursements shall have been reimbursed, the Borrower covenants and agrees with the Lender that:</w:t>
      </w:r>
    </w:p>
    <w:p>
      <w:pPr>
        <w:spacing w:after="0" w:line="18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nor will it permit any Subsidiary to, create, incur, assume or suffer to exist any Indebtedness, except:</w:t>
      </w:r>
    </w:p>
    <w:p>
      <w:pPr>
        <w:spacing w:after="0" w:line="161" w:lineRule="exact"/>
        <w:rPr>
          <w:sz w:val="20"/>
          <w:szCs w:val="20"/>
          <w:color w:val="auto"/>
        </w:rPr>
      </w:pPr>
    </w:p>
    <w:p>
      <w:pPr>
        <w:ind w:left="1820" w:hanging="516"/>
        <w:spacing w:after="0"/>
        <w:tabs>
          <w:tab w:leader="none" w:pos="18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Obligations hereunder and any other Indebtedness incurred by the Borrower or any Subsidiary that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owing to the Lender;</w:t>
      </w:r>
    </w:p>
    <w:p>
      <w:pPr>
        <w:spacing w:after="0" w:line="215" w:lineRule="exact"/>
        <w:rPr>
          <w:rFonts w:ascii="Arial" w:cs="Arial" w:eastAsia="Arial" w:hAnsi="Arial"/>
          <w:sz w:val="19"/>
          <w:szCs w:val="19"/>
          <w:color w:val="auto"/>
        </w:rPr>
      </w:pPr>
    </w:p>
    <w:p>
      <w:pPr>
        <w:ind w:firstLine="1304"/>
        <w:spacing w:after="0" w:line="276" w:lineRule="auto"/>
        <w:tabs>
          <w:tab w:leader="none" w:pos="189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xml:space="preserve">Indebtedness existing on the date hereof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and any extensions, renewals, refinancings and replacements of any such Indebtedness in accordance with clause (f) hereof;</w:t>
      </w:r>
    </w:p>
    <w:p>
      <w:pPr>
        <w:spacing w:after="0" w:line="160" w:lineRule="exact"/>
        <w:rPr>
          <w:rFonts w:ascii="Arial" w:cs="Arial" w:eastAsia="Arial" w:hAnsi="Arial"/>
          <w:sz w:val="22"/>
          <w:szCs w:val="22"/>
          <w:color w:val="auto"/>
        </w:rPr>
      </w:pPr>
    </w:p>
    <w:p>
      <w:pPr>
        <w:ind w:left="1720" w:hanging="416"/>
        <w:spacing w:after="0"/>
        <w:tabs>
          <w:tab w:leader="none" w:pos="17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unsecured Indebtedness consisting of Permitted Intercompany Advances;</w:t>
      </w:r>
    </w:p>
    <w:p>
      <w:pPr>
        <w:spacing w:after="0" w:line="233" w:lineRule="exact"/>
        <w:rPr>
          <w:rFonts w:ascii="Arial" w:cs="Arial" w:eastAsia="Arial" w:hAnsi="Arial"/>
          <w:sz w:val="22"/>
          <w:szCs w:val="22"/>
          <w:color w:val="auto"/>
        </w:rPr>
      </w:pPr>
    </w:p>
    <w:p>
      <w:pPr>
        <w:ind w:firstLine="1304"/>
        <w:spacing w:after="0" w:line="358" w:lineRule="auto"/>
        <w:tabs>
          <w:tab w:leader="none" w:pos="1741"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Guarantees by the Borrower of Indebtedness of any Subsidiary and by any Subsidiary of Indebtedness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Indebtedness so Guaranteed is permitted by this Section 6.01;</w:t>
      </w:r>
    </w:p>
    <w:p>
      <w:pPr>
        <w:spacing w:after="0" w:line="90" w:lineRule="exact"/>
        <w:rPr>
          <w:rFonts w:ascii="Arial" w:cs="Arial" w:eastAsia="Arial" w:hAnsi="Arial"/>
          <w:sz w:val="19"/>
          <w:szCs w:val="19"/>
          <w:color w:val="auto"/>
        </w:rPr>
      </w:pPr>
    </w:p>
    <w:p>
      <w:pPr>
        <w:jc w:val="both"/>
        <w:ind w:firstLine="1304"/>
        <w:spacing w:after="0" w:line="287" w:lineRule="auto"/>
        <w:tabs>
          <w:tab w:leader="none" w:pos="1932"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is incurred prior to or within 90 days after such acquisition or the completion of such construction or improvement and (ii) the aggregate principal amount of Indebtedness permitted by this clause</w:t>
      </w:r>
    </w:p>
    <w:p>
      <w:pPr>
        <w:spacing w:after="0" w:line="2" w:lineRule="exact"/>
        <w:rPr>
          <w:rFonts w:ascii="Arial" w:cs="Arial" w:eastAsia="Arial" w:hAnsi="Arial"/>
          <w:sz w:val="19"/>
          <w:szCs w:val="19"/>
          <w:color w:val="auto"/>
        </w:rPr>
      </w:pPr>
    </w:p>
    <w:p>
      <w:pPr>
        <w:ind w:right="20" w:firstLine="8"/>
        <w:spacing w:after="0" w:line="246" w:lineRule="auto"/>
        <w:tabs>
          <w:tab w:leader="none" w:pos="31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together with any Refinance Indebtedness in respect thereof permitted by clause (f) below, shall not exceed $10,000,000 at any time outstanding;</w:t>
      </w:r>
    </w:p>
    <w:p>
      <w:pPr>
        <w:spacing w:after="0" w:line="192" w:lineRule="exact"/>
        <w:rPr>
          <w:rFonts w:ascii="Arial" w:cs="Arial" w:eastAsia="Arial" w:hAnsi="Arial"/>
          <w:sz w:val="22"/>
          <w:szCs w:val="22"/>
          <w:color w:val="auto"/>
        </w:rPr>
      </w:pPr>
    </w:p>
    <w:p>
      <w:pPr>
        <w:jc w:val="both"/>
        <w:ind w:firstLine="1304"/>
        <w:spacing w:after="0" w:line="307" w:lineRule="auto"/>
        <w:tabs>
          <w:tab w:leader="none" w:pos="1705" w:val="left"/>
        </w:tabs>
        <w:numPr>
          <w:ilvl w:val="1"/>
          <w:numId w:val="71"/>
        </w:numPr>
        <w:rPr>
          <w:rFonts w:ascii="Arial" w:cs="Arial" w:eastAsia="Arial" w:hAnsi="Arial"/>
          <w:sz w:val="19"/>
          <w:szCs w:val="19"/>
          <w:color w:val="auto"/>
        </w:rPr>
      </w:pPr>
      <w:r>
        <w:rPr>
          <w:rFonts w:ascii="Arial" w:cs="Arial" w:eastAsia="Arial" w:hAnsi="Arial"/>
          <w:sz w:val="19"/>
          <w:szCs w:val="19"/>
          <w:color w:val="auto"/>
        </w:rPr>
        <w:t>Indebtedness which represents extensions, renewals, refinancing or replacements (such Indebtedness being so extended, renewed, refinanced or replaced being referred to herein as the “</w:t>
      </w:r>
      <w:r>
        <w:rPr>
          <w:rFonts w:ascii="Arial" w:cs="Arial" w:eastAsia="Arial" w:hAnsi="Arial"/>
          <w:sz w:val="19"/>
          <w:szCs w:val="19"/>
          <w:u w:val="single" w:color="auto"/>
          <w:color w:val="auto"/>
        </w:rPr>
        <w:t>Refinance Indebtedness</w:t>
      </w:r>
      <w:r>
        <w:rPr>
          <w:rFonts w:ascii="Arial" w:cs="Arial" w:eastAsia="Arial" w:hAnsi="Arial"/>
          <w:sz w:val="19"/>
          <w:szCs w:val="19"/>
          <w:color w:val="auto"/>
        </w:rPr>
        <w:t xml:space="preserve">”) of any of the Indebtedness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(q)</w:t>
      </w:r>
      <w:r>
        <w:rPr>
          <w:rFonts w:ascii="Arial" w:cs="Arial" w:eastAsia="Arial" w:hAnsi="Arial"/>
          <w:sz w:val="19"/>
          <w:szCs w:val="19"/>
          <w:color w:val="auto"/>
        </w:rPr>
        <w:t xml:space="preserve"> hereof (such Indebtedness being referred to herein as the “</w:t>
      </w:r>
      <w:r>
        <w:rPr>
          <w:rFonts w:ascii="Arial" w:cs="Arial" w:eastAsia="Arial" w:hAnsi="Arial"/>
          <w:sz w:val="19"/>
          <w:szCs w:val="19"/>
          <w:u w:val="single" w:color="auto"/>
          <w:color w:val="auto"/>
        </w:rPr>
        <w:t>Original Indebtedness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Refinance Indebtedness does not increase the principal amount or interest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604" w:right="339" w:bottom="1440" w:gutter="0" w:footer="0" w:header="0"/>
        </w:sectPr>
      </w:pPr>
    </w:p>
    <w:bookmarkStart w:id="89" w:name="page90"/>
    <w:bookmarkEnd w:id="89"/>
    <w:p>
      <w:pPr>
        <w:jc w:val="both"/>
        <w:spacing w:after="0" w:line="290" w:lineRule="auto"/>
        <w:rPr>
          <w:sz w:val="20"/>
          <w:szCs w:val="20"/>
          <w:color w:val="auto"/>
        </w:rPr>
      </w:pPr>
      <w:r>
        <w:rPr>
          <w:rFonts w:ascii="Arial" w:cs="Arial" w:eastAsia="Arial" w:hAnsi="Arial"/>
          <w:sz w:val="19"/>
          <w:szCs w:val="19"/>
          <w:color w:val="auto"/>
        </w:rPr>
        <w:t>rate of the Original Indebtedness, (ii) any Liens securing such Refinance Indebtedness are not extended to any additional property of the Borrower or any Subsidiary, (iii) neither the Borrower nor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Obligations, then the terms and conditions of such Refinance Indebtedness must include subordination terms and conditions that are at least as favorable to the Lender as those that were applicable to such Original Indebtedness;</w:t>
      </w:r>
    </w:p>
    <w:p>
      <w:pPr>
        <w:spacing w:after="0" w:line="156" w:lineRule="exact"/>
        <w:rPr>
          <w:sz w:val="20"/>
          <w:szCs w:val="20"/>
          <w:color w:val="auto"/>
        </w:rPr>
      </w:pPr>
    </w:p>
    <w:p>
      <w:pPr>
        <w:jc w:val="both"/>
        <w:ind w:firstLine="1304"/>
        <w:spacing w:after="0" w:line="259" w:lineRule="auto"/>
        <w:tabs>
          <w:tab w:leader="none" w:pos="1836"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0" w:lineRule="exact"/>
        <w:rPr>
          <w:rFonts w:ascii="Arial" w:cs="Arial" w:eastAsia="Arial" w:hAnsi="Arial"/>
          <w:sz w:val="22"/>
          <w:szCs w:val="22"/>
          <w:color w:val="auto"/>
        </w:rPr>
      </w:pPr>
    </w:p>
    <w:p>
      <w:pPr>
        <w:ind w:firstLine="1304"/>
        <w:spacing w:after="0" w:line="276" w:lineRule="auto"/>
        <w:tabs>
          <w:tab w:leader="none" w:pos="1795"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Indebtedness of the Borrower in respect of performance bonds, bid bonds, appeal bonds, surety bonds and similar obligations, in each case provided in the ordinary course of business;</w:t>
      </w:r>
    </w:p>
    <w:p>
      <w:pPr>
        <w:spacing w:after="0" w:line="160" w:lineRule="exact"/>
        <w:rPr>
          <w:rFonts w:ascii="Arial" w:cs="Arial" w:eastAsia="Arial" w:hAnsi="Arial"/>
          <w:sz w:val="22"/>
          <w:szCs w:val="22"/>
          <w:color w:val="auto"/>
        </w:rPr>
      </w:pPr>
    </w:p>
    <w:p>
      <w:pPr>
        <w:jc w:val="both"/>
        <w:ind w:firstLine="1304"/>
        <w:spacing w:after="0" w:line="299" w:lineRule="auto"/>
        <w:tabs>
          <w:tab w:leader="none" w:pos="17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issuances of unsecured Indebtedness; provided that (i) the maturity of such Indebtedness must be at least six months after the Maturity Date; (ii) no Default shall have occurred both before and after giving effect to such Indebtedness; and</w:t>
      </w:r>
    </w:p>
    <w:p>
      <w:pPr>
        <w:jc w:val="both"/>
        <w:ind w:firstLine="8"/>
        <w:spacing w:after="0" w:line="245" w:lineRule="auto"/>
        <w:tabs>
          <w:tab w:leader="none" w:pos="37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Borrower and its Subsidiaries are in pro forma compliance with each covenant set forth in Section 6.12(a) and 6.12(b) for the fiscal quarter then last ended for which financial statements have been delivered to Lender (as though such new issuance of Indebtedness was incurred as of the last day of such fiscal quarter);</w:t>
      </w:r>
    </w:p>
    <w:p>
      <w:pPr>
        <w:spacing w:after="0" w:line="192" w:lineRule="exact"/>
        <w:rPr>
          <w:rFonts w:ascii="Arial" w:cs="Arial" w:eastAsia="Arial" w:hAnsi="Arial"/>
          <w:sz w:val="22"/>
          <w:szCs w:val="22"/>
          <w:color w:val="auto"/>
        </w:rPr>
      </w:pPr>
    </w:p>
    <w:p>
      <w:pPr>
        <w:ind w:left="1680" w:hanging="376"/>
        <w:spacing w:after="0"/>
        <w:tabs>
          <w:tab w:leader="none" w:pos="16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endorsement of instruments or other payment items for deposit;</w:t>
      </w:r>
    </w:p>
    <w:p>
      <w:pPr>
        <w:spacing w:after="0" w:line="233" w:lineRule="exact"/>
        <w:rPr>
          <w:rFonts w:ascii="Arial" w:cs="Arial" w:eastAsia="Arial" w:hAnsi="Arial"/>
          <w:sz w:val="22"/>
          <w:szCs w:val="22"/>
          <w:color w:val="auto"/>
        </w:rPr>
      </w:pPr>
    </w:p>
    <w:p>
      <w:pPr>
        <w:jc w:val="both"/>
        <w:ind w:firstLine="1304"/>
        <w:spacing w:after="0" w:line="259" w:lineRule="auto"/>
        <w:tabs>
          <w:tab w:leader="none" w:pos="1755"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incurrence by Borrower or its Subsidiaries of Indebtedness under Swap Agreements that are incurred for the bona fide purpose of hedging the interest rate, commodity, or foreign currency risks associated with Borrower’s and its Subsidiaries’ operations and not for speculative purposes;</w:t>
      </w:r>
    </w:p>
    <w:p>
      <w:pPr>
        <w:spacing w:after="0" w:line="180" w:lineRule="exact"/>
        <w:rPr>
          <w:rFonts w:ascii="Arial" w:cs="Arial" w:eastAsia="Arial" w:hAnsi="Arial"/>
          <w:sz w:val="22"/>
          <w:szCs w:val="22"/>
          <w:color w:val="auto"/>
        </w:rPr>
      </w:pPr>
    </w:p>
    <w:p>
      <w:pPr>
        <w:ind w:left="1680" w:hanging="376"/>
        <w:spacing w:after="0"/>
        <w:tabs>
          <w:tab w:leader="none" w:pos="16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Indebtedness incurred in respect of Bank Products other than pursuant to Swap Agreements;</w:t>
      </w:r>
    </w:p>
    <w:p>
      <w:pPr>
        <w:spacing w:after="0" w:line="233" w:lineRule="exact"/>
        <w:rPr>
          <w:rFonts w:ascii="Arial" w:cs="Arial" w:eastAsia="Arial" w:hAnsi="Arial"/>
          <w:sz w:val="22"/>
          <w:szCs w:val="22"/>
          <w:color w:val="auto"/>
        </w:rPr>
      </w:pPr>
    </w:p>
    <w:p>
      <w:pPr>
        <w:jc w:val="both"/>
        <w:ind w:firstLine="1304"/>
        <w:spacing w:after="0" w:line="254" w:lineRule="auto"/>
        <w:tabs>
          <w:tab w:leader="none" w:pos="191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971" w:val="left"/>
        </w:tabs>
        <w:numPr>
          <w:ilvl w:val="1"/>
          <w:numId w:val="73"/>
        </w:numPr>
        <w:rPr>
          <w:rFonts w:ascii="Arial" w:cs="Arial" w:eastAsia="Arial" w:hAnsi="Arial"/>
          <w:sz w:val="22"/>
          <w:szCs w:val="22"/>
          <w:color w:val="auto"/>
        </w:rPr>
      </w:pPr>
      <w:r>
        <w:rPr>
          <w:rFonts w:ascii="Arial" w:cs="Arial" w:eastAsia="Arial" w:hAnsi="Arial"/>
          <w:sz w:val="22"/>
          <w:szCs w:val="22"/>
          <w:color w:val="auto"/>
        </w:rPr>
        <w:t>unsecured Indebtedness of Borrower or any of its Subsidiaries that is incurred on the date of the consummation of a Permitted Acquisition solely for the purpose of consummating such Permitted Acquisition so long as (i) no Event of Default has occurred and is continuing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604" w:right="339" w:bottom="1440" w:gutter="0" w:footer="0" w:header="0"/>
        </w:sectPr>
      </w:pPr>
    </w:p>
    <w:bookmarkStart w:id="90" w:name="page91"/>
    <w:bookmarkEnd w:id="90"/>
    <w:p>
      <w:pPr>
        <w:jc w:val="both"/>
        <w:spacing w:after="0" w:line="250" w:lineRule="auto"/>
        <w:rPr>
          <w:sz w:val="20"/>
          <w:szCs w:val="20"/>
          <w:color w:val="auto"/>
        </w:rPr>
      </w:pPr>
      <w:r>
        <w:rPr>
          <w:rFonts w:ascii="Arial" w:cs="Arial" w:eastAsia="Arial" w:hAnsi="Arial"/>
          <w:sz w:val="22"/>
          <w:szCs w:val="22"/>
          <w:color w:val="auto"/>
        </w:rPr>
        <w:t>would immediately thereafter result therefrom, and (ii) such unsecured Indebtedness is not incurred for working capital purposes (in each case of the foregoing,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8" w:lineRule="exact"/>
        <w:rPr>
          <w:sz w:val="20"/>
          <w:szCs w:val="20"/>
          <w:color w:val="auto"/>
        </w:rPr>
      </w:pPr>
    </w:p>
    <w:p>
      <w:pPr>
        <w:jc w:val="both"/>
        <w:ind w:firstLine="1304"/>
        <w:spacing w:after="0" w:line="251"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contingent liabilities in respect of any indemnification obligation, adjustment of purchase price, non-compete, or similar obligations of Borrower or any of its Subsidiaries incurred in connection with the consummation of one or more Permitted Acquisitions (in each case of the foregoing,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55" w:val="left"/>
        </w:tabs>
        <w:numPr>
          <w:ilvl w:val="0"/>
          <w:numId w:val="74"/>
        </w:numPr>
        <w:rPr>
          <w:rFonts w:ascii="Arial" w:cs="Arial" w:eastAsia="Arial" w:hAnsi="Arial"/>
          <w:sz w:val="22"/>
          <w:szCs w:val="22"/>
          <w:color w:val="auto"/>
        </w:rPr>
      </w:pPr>
      <w:r>
        <w:rPr>
          <w:rFonts w:ascii="Arial" w:cs="Arial" w:eastAsia="Arial" w:hAnsi="Arial"/>
          <w:sz w:val="22"/>
          <w:szCs w:val="22"/>
          <w:color w:val="auto"/>
        </w:rPr>
        <w:t>Acquired Indebtedness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0" w:lineRule="exact"/>
        <w:rPr>
          <w:rFonts w:ascii="Arial" w:cs="Arial" w:eastAsia="Arial" w:hAnsi="Arial"/>
          <w:sz w:val="22"/>
          <w:szCs w:val="22"/>
          <w:color w:val="auto"/>
        </w:rPr>
      </w:pPr>
    </w:p>
    <w:p>
      <w:pPr>
        <w:ind w:firstLine="1304"/>
        <w:spacing w:after="0" w:line="276" w:lineRule="auto"/>
        <w:tabs>
          <w:tab w:leader="none" w:pos="1755"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Indebtedness secured by real property of the Borrower in an aggregate amount not to exceed $50,000,000 at any time outstanding; and</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other unsecured Indebtedness in an aggregate principal amount not exceeding $5,000,000 at any time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outstanding.</w:t>
      </w:r>
    </w:p>
    <w:p>
      <w:pPr>
        <w:spacing w:after="0" w:line="21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Subsidiary to, create, incur, assume or permit to exist any Lien on any property or asset now owned or hereafter acquired by it, or assign or sell any income or revenues or rights in respect of any thereof, except:</w:t>
      </w:r>
    </w:p>
    <w:p>
      <w:pPr>
        <w:spacing w:after="0" w:line="180" w:lineRule="exact"/>
        <w:rPr>
          <w:sz w:val="20"/>
          <w:szCs w:val="20"/>
          <w:color w:val="auto"/>
        </w:rPr>
      </w:pPr>
    </w:p>
    <w:p>
      <w:pPr>
        <w:ind w:left="1720" w:hanging="416"/>
        <w:spacing w:after="0"/>
        <w:tabs>
          <w:tab w:leader="none" w:pos="17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33" w:lineRule="exact"/>
        <w:rPr>
          <w:rFonts w:ascii="Arial" w:cs="Arial" w:eastAsia="Arial" w:hAnsi="Arial"/>
          <w:sz w:val="22"/>
          <w:szCs w:val="22"/>
          <w:color w:val="auto"/>
        </w:rPr>
      </w:pPr>
    </w:p>
    <w:p>
      <w:pPr>
        <w:jc w:val="both"/>
        <w:ind w:firstLine="1304"/>
        <w:spacing w:after="0" w:line="299" w:lineRule="auto"/>
        <w:tabs>
          <w:tab w:leader="none" w:pos="1741"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Subsidiary existing on the date hereof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Subsidiary and</w:t>
      </w:r>
    </w:p>
    <w:p>
      <w:pPr>
        <w:ind w:firstLine="8"/>
        <w:spacing w:after="0" w:line="246" w:lineRule="auto"/>
        <w:tabs>
          <w:tab w:leader="none" w:pos="329"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Lien shall secure only those obligations which it secures on the date hereof and extensions, renewals and replacements thereof that do not increase the outstanding principal amount thereof;</w:t>
      </w:r>
    </w:p>
    <w:p>
      <w:pPr>
        <w:spacing w:after="0" w:line="192" w:lineRule="exact"/>
        <w:rPr>
          <w:rFonts w:ascii="Arial" w:cs="Arial" w:eastAsia="Arial" w:hAnsi="Arial"/>
          <w:sz w:val="22"/>
          <w:szCs w:val="22"/>
          <w:color w:val="auto"/>
        </w:rPr>
      </w:pPr>
    </w:p>
    <w:p>
      <w:pPr>
        <w:jc w:val="both"/>
        <w:ind w:firstLine="1304"/>
        <w:spacing w:after="0" w:line="300" w:lineRule="auto"/>
        <w:tabs>
          <w:tab w:leader="none" w:pos="1864"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the Borrower or any Subsidiary;</w:t>
      </w:r>
    </w:p>
    <w:p>
      <w:pPr>
        <w:spacing w:after="0" w:line="146" w:lineRule="exact"/>
        <w:rPr>
          <w:rFonts w:ascii="Arial" w:cs="Arial" w:eastAsia="Arial" w:hAnsi="Arial"/>
          <w:sz w:val="19"/>
          <w:szCs w:val="19"/>
          <w:color w:val="auto"/>
        </w:rPr>
      </w:pPr>
    </w:p>
    <w:p>
      <w:pPr>
        <w:ind w:right="20" w:firstLine="1304"/>
        <w:spacing w:after="0" w:line="276" w:lineRule="auto"/>
        <w:tabs>
          <w:tab w:leader="none" w:pos="1741"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Lien existing on any property or asset prior to the acquisition thereof by the Borrower or any Subsidiary or existing on any property or asset of any Person that becomes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604" w:right="339" w:bottom="1440" w:gutter="0" w:footer="0" w:header="0"/>
        </w:sectPr>
      </w:pPr>
    </w:p>
    <w:bookmarkStart w:id="91" w:name="page92"/>
    <w:bookmarkEnd w:id="91"/>
    <w:p>
      <w:pPr>
        <w:jc w:val="both"/>
        <w:spacing w:after="0" w:line="291" w:lineRule="auto"/>
        <w:rPr>
          <w:sz w:val="20"/>
          <w:szCs w:val="20"/>
          <w:color w:val="auto"/>
        </w:rPr>
      </w:pPr>
      <w:r>
        <w:rPr>
          <w:rFonts w:ascii="Arial" w:cs="Arial" w:eastAsia="Arial" w:hAnsi="Arial"/>
          <w:sz w:val="19"/>
          <w:szCs w:val="19"/>
          <w:color w:val="auto"/>
        </w:rPr>
        <w:t xml:space="preserve">Subsidiary after the date hereof prior to the time such Person became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party to this Agreement, as the case may be,</w:t>
      </w:r>
    </w:p>
    <w:p>
      <w:pPr>
        <w:spacing w:after="0" w:line="1" w:lineRule="exact"/>
        <w:rPr>
          <w:sz w:val="20"/>
          <w:szCs w:val="20"/>
          <w:color w:val="auto"/>
        </w:rPr>
      </w:pPr>
    </w:p>
    <w:p>
      <w:pPr>
        <w:jc w:val="both"/>
        <w:ind w:firstLine="8"/>
        <w:spacing w:after="0" w:line="302" w:lineRule="auto"/>
        <w:tabs>
          <w:tab w:leader="none" w:pos="363"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such Lien shall not apply to any other property or assets of the Borrower and (iii) such Lien shall secure only those obligations which it secures on the date of such acquisition or the date such Person becomes party to this Agreement, as the case may be, and extensions, renewals and replacements thereof that do not increase the outstanding principal amount thereof;</w:t>
      </w:r>
    </w:p>
    <w:p>
      <w:pPr>
        <w:spacing w:after="0" w:line="142" w:lineRule="exact"/>
        <w:rPr>
          <w:rFonts w:ascii="Arial" w:cs="Arial" w:eastAsia="Arial" w:hAnsi="Arial"/>
          <w:sz w:val="19"/>
          <w:szCs w:val="19"/>
          <w:color w:val="auto"/>
        </w:rPr>
      </w:pPr>
    </w:p>
    <w:p>
      <w:pPr>
        <w:jc w:val="both"/>
        <w:ind w:firstLine="1304"/>
        <w:spacing w:after="0" w:line="265" w:lineRule="exact"/>
        <w:tabs>
          <w:tab w:leader="none" w:pos="1810" w:val="left"/>
        </w:tabs>
        <w:numPr>
          <w:ilvl w:val="1"/>
          <w:numId w:val="77"/>
        </w:numPr>
        <w:rPr>
          <w:rFonts w:ascii="Arial" w:cs="Arial" w:eastAsia="Arial" w:hAnsi="Arial"/>
          <w:sz w:val="19"/>
          <w:szCs w:val="19"/>
          <w:color w:val="auto"/>
        </w:rPr>
      </w:pPr>
      <w:r>
        <w:rPr>
          <w:rFonts w:ascii="Arial" w:cs="Arial" w:eastAsia="Arial" w:hAnsi="Arial"/>
          <w:sz w:val="19"/>
          <w:szCs w:val="19"/>
          <w:color w:val="auto"/>
        </w:rPr>
        <w:t>Liens of a collecting bank arising in the ordinary course of business under Section 4</w:t>
      </w:r>
      <w:r>
        <w:rPr>
          <w:rFonts w:ascii="MS PGothic" w:cs="MS PGothic" w:eastAsia="MS PGothic" w:hAnsi="MS PGothic"/>
          <w:sz w:val="19"/>
          <w:szCs w:val="19"/>
          <w:color w:val="auto"/>
        </w:rPr>
        <w:t>‑</w:t>
      </w:r>
      <w:r>
        <w:rPr>
          <w:rFonts w:ascii="Arial" w:cs="Arial" w:eastAsia="Arial" w:hAnsi="Arial"/>
          <w:sz w:val="19"/>
          <w:szCs w:val="19"/>
          <w:color w:val="auto"/>
        </w:rPr>
        <w:t>208 of the Uniform Commercial Code in effect in the relevant jurisdiction covering only the items being collected upon and rights of setoff or bankers’ liens upon deposits of cash in favor of banks or other depository institutions, solely to the extent incurred in connection with the maintenance of such deposit accounts or securities accounts in the ordinary course of business;</w:t>
      </w:r>
    </w:p>
    <w:p>
      <w:pPr>
        <w:spacing w:after="0" w:line="199" w:lineRule="exact"/>
        <w:rPr>
          <w:rFonts w:ascii="Arial" w:cs="Arial" w:eastAsia="Arial" w:hAnsi="Arial"/>
          <w:sz w:val="19"/>
          <w:szCs w:val="19"/>
          <w:color w:val="auto"/>
        </w:rPr>
      </w:pPr>
    </w:p>
    <w:p>
      <w:pPr>
        <w:ind w:right="20" w:firstLine="1304"/>
        <w:spacing w:after="0" w:line="276" w:lineRule="auto"/>
        <w:tabs>
          <w:tab w:leader="none" w:pos="1719"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granted in the ordinary course of business on the unearned portion of insurance premiums securing the financing of insurance premiums;</w:t>
      </w:r>
    </w:p>
    <w:p>
      <w:pPr>
        <w:spacing w:after="0" w:line="160" w:lineRule="exact"/>
        <w:rPr>
          <w:rFonts w:ascii="Arial" w:cs="Arial" w:eastAsia="Arial" w:hAnsi="Arial"/>
          <w:sz w:val="22"/>
          <w:szCs w:val="22"/>
          <w:color w:val="auto"/>
        </w:rPr>
      </w:pPr>
    </w:p>
    <w:p>
      <w:pPr>
        <w:ind w:firstLine="1304"/>
        <w:spacing w:after="0" w:line="276" w:lineRule="auto"/>
        <w:tabs>
          <w:tab w:leader="none" w:pos="1755"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Borrower or any of its Subsidiaries in connection with any letter of intent or purchase agreement with respect to a Permitted Acquisition;</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795"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(i) assumed by Borrower or its Subsidiaries in connection with a Permitted Acquisition that secures Acquired Indebtedness permitted under Section 6.01(e) or (p) and (ii) Liens securing Indebtedness permitted under Section 6.01(q);</w:t>
      </w:r>
    </w:p>
    <w:p>
      <w:pPr>
        <w:spacing w:after="0" w:line="180" w:lineRule="exact"/>
        <w:rPr>
          <w:rFonts w:ascii="Arial" w:cs="Arial" w:eastAsia="Arial" w:hAnsi="Arial"/>
          <w:sz w:val="22"/>
          <w:szCs w:val="22"/>
          <w:color w:val="auto"/>
        </w:rPr>
      </w:pPr>
    </w:p>
    <w:p>
      <w:pPr>
        <w:ind w:left="1680" w:hanging="376"/>
        <w:spacing w:after="0"/>
        <w:tabs>
          <w:tab w:leader="none" w:pos="16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Liens granted by a Subsidiary in favor of the Borrower in respect of Indebtedness owed by such Subsidiary;</w:t>
      </w:r>
    </w:p>
    <w:p>
      <w:pPr>
        <w:spacing w:after="0" w:line="267" w:lineRule="exact"/>
        <w:rPr>
          <w:rFonts w:ascii="Arial" w:cs="Arial" w:eastAsia="Arial" w:hAnsi="Arial"/>
          <w:sz w:val="19"/>
          <w:szCs w:val="19"/>
          <w:color w:val="auto"/>
        </w:rPr>
      </w:pPr>
    </w:p>
    <w:p>
      <w:pPr>
        <w:jc w:val="both"/>
        <w:ind w:firstLine="1304"/>
        <w:spacing w:after="0" w:line="259" w:lineRule="auto"/>
        <w:tabs>
          <w:tab w:leader="none" w:pos="1707"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that are replacements of any of the Liens otherwise permitted under this Section 6.02 to the extent that the original Indebtedness is replaced with Refinance Indebtedness and so long as the replacement Liens only encumber those assets that secured the original Indebtedness; and</w:t>
      </w:r>
    </w:p>
    <w:p>
      <w:pPr>
        <w:spacing w:after="0" w:line="180" w:lineRule="exact"/>
        <w:rPr>
          <w:rFonts w:ascii="Arial" w:cs="Arial" w:eastAsia="Arial" w:hAnsi="Arial"/>
          <w:sz w:val="22"/>
          <w:szCs w:val="22"/>
          <w:color w:val="auto"/>
        </w:rPr>
      </w:pPr>
    </w:p>
    <w:p>
      <w:pPr>
        <w:ind w:firstLine="1304"/>
        <w:spacing w:after="0" w:line="276" w:lineRule="auto"/>
        <w:tabs>
          <w:tab w:leader="none" w:pos="1741" w:val="left"/>
        </w:tabs>
        <w:numPr>
          <w:ilvl w:val="1"/>
          <w:numId w:val="77"/>
        </w:numPr>
        <w:rPr>
          <w:rFonts w:ascii="Arial" w:cs="Arial" w:eastAsia="Arial" w:hAnsi="Arial"/>
          <w:sz w:val="22"/>
          <w:szCs w:val="22"/>
          <w:color w:val="auto"/>
        </w:rPr>
      </w:pPr>
      <w:r>
        <w:rPr>
          <w:rFonts w:ascii="Arial" w:cs="Arial" w:eastAsia="Arial" w:hAnsi="Arial"/>
          <w:sz w:val="22"/>
          <w:szCs w:val="22"/>
          <w:color w:val="auto"/>
        </w:rPr>
        <w:t>additional Liens so long as the principal amount of Indebtedness and other obligations and liabilities secured thereby does not exceed $10,000,000 in the aggregate at any time outstanding.</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9" w:lineRule="auto"/>
        <w:tabs>
          <w:tab w:leader="none" w:pos="1729"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Borrower will not, nor will it permit any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Subsidiary may merge into another Subsidiary and (iii) any Subsidiary may liquidate or dissolve if the Borrower determines in good faith that such liquidation or dissolution is in the best interests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604" w:right="339" w:bottom="1440" w:gutter="0" w:footer="0" w:header="0"/>
        </w:sectPr>
      </w:pPr>
    </w:p>
    <w:bookmarkStart w:id="92" w:name="page93"/>
    <w:bookmarkEnd w:id="92"/>
    <w:p>
      <w:pPr>
        <w:spacing w:after="0" w:line="343" w:lineRule="auto"/>
        <w:rPr>
          <w:sz w:val="20"/>
          <w:szCs w:val="20"/>
          <w:color w:val="auto"/>
        </w:rPr>
      </w:pPr>
      <w:r>
        <w:rPr>
          <w:rFonts w:ascii="Arial" w:cs="Arial" w:eastAsia="Arial" w:hAnsi="Arial"/>
          <w:sz w:val="19"/>
          <w:szCs w:val="19"/>
          <w:color w:val="auto"/>
        </w:rPr>
        <w:t xml:space="preserve">the Borrower and is not materially disadvantageous to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involving a Person that is not a wholly owned Subsidiary immediately prior to such merger shall not be permitted unless also permitted by Section 6.04.</w:t>
      </w:r>
    </w:p>
    <w:p>
      <w:pPr>
        <w:spacing w:after="0" w:line="104" w:lineRule="exact"/>
        <w:rPr>
          <w:sz w:val="20"/>
          <w:szCs w:val="20"/>
          <w:color w:val="auto"/>
        </w:rPr>
      </w:pPr>
    </w:p>
    <w:p>
      <w:pPr>
        <w:ind w:firstLine="1304"/>
        <w:spacing w:after="0" w:line="358" w:lineRule="auto"/>
        <w:tabs>
          <w:tab w:leader="none" w:pos="1755"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Borrower will not, nor will it permit any Subsidiary to, engage in any business other than businesses of the type conducted by the Borrower and its Subsidiaries on the date hereof and businesses reasonably related thereto.</w:t>
      </w:r>
    </w:p>
    <w:p>
      <w:pPr>
        <w:spacing w:after="0" w:line="90" w:lineRule="exact"/>
        <w:rPr>
          <w:rFonts w:ascii="Arial" w:cs="Arial" w:eastAsia="Arial" w:hAnsi="Arial"/>
          <w:sz w:val="19"/>
          <w:szCs w:val="19"/>
          <w:color w:val="auto"/>
        </w:rPr>
      </w:pPr>
    </w:p>
    <w:p>
      <w:pPr>
        <w:ind w:firstLine="1304"/>
        <w:spacing w:after="0" w:line="276" w:lineRule="auto"/>
        <w:tabs>
          <w:tab w:leader="none" w:pos="175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Borrower will not, nor will it permit any Subsidiary to change its fiscal year or any fiscal quarter from the basis in effect on the Effective Date.</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Borrower will not change the accounting basis upon which its financial statements are prepared.</w:t>
      </w:r>
    </w:p>
    <w:p>
      <w:pPr>
        <w:spacing w:after="0" w:line="24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Investments, Loans, Advances, Guarantees and Acquisitions</w:t>
      </w:r>
      <w:r>
        <w:rPr>
          <w:rFonts w:ascii="Arial" w:cs="Arial" w:eastAsia="Arial" w:hAnsi="Arial"/>
          <w:sz w:val="21"/>
          <w:szCs w:val="21"/>
          <w:color w:val="auto"/>
        </w:rPr>
        <w:t>. The Borrower will not, nor will it permit any Subsidiary to, purchase, hold or acquire (including pursuant to any merger with any Person that was not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0" w:lineRule="exact"/>
        <w:rPr>
          <w:sz w:val="20"/>
          <w:szCs w:val="20"/>
          <w:color w:val="auto"/>
        </w:rPr>
      </w:pPr>
    </w:p>
    <w:p>
      <w:pPr>
        <w:ind w:left="1720" w:hanging="416"/>
        <w:spacing w:after="0"/>
        <w:tabs>
          <w:tab w:leader="none" w:pos="17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investments in existence on the date hereof and described in </w:t>
      </w:r>
      <w:r>
        <w:rPr>
          <w:rFonts w:ascii="Arial" w:cs="Arial" w:eastAsia="Arial" w:hAnsi="Arial"/>
          <w:sz w:val="22"/>
          <w:szCs w:val="22"/>
          <w:u w:val="single" w:color="auto"/>
          <w:color w:val="auto"/>
        </w:rPr>
        <w:t>Schedule 6.04</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20" w:firstLine="1304"/>
        <w:spacing w:after="0" w:line="319" w:lineRule="auto"/>
        <w:tabs>
          <w:tab w:leader="none" w:pos="17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loans or advances made by the Borrower to its employees on an arms-length basis in the ordinary course of business consistent with past practices for travel and entertainment expenses, relocation costs and similar purposes up to a maximum of $500,000 to any employee and up to a maximum of $2,000,000 in the aggregate at any one time outstanding;</w:t>
      </w:r>
    </w:p>
    <w:p>
      <w:pPr>
        <w:spacing w:after="0" w:line="127" w:lineRule="exact"/>
        <w:rPr>
          <w:rFonts w:ascii="Arial" w:cs="Arial" w:eastAsia="Arial" w:hAnsi="Arial"/>
          <w:sz w:val="19"/>
          <w:szCs w:val="19"/>
          <w:color w:val="auto"/>
        </w:rPr>
      </w:pPr>
    </w:p>
    <w:p>
      <w:pPr>
        <w:ind w:left="1740" w:hanging="436"/>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investments in the form of Swap Agreements permitted by Section 6.07;</w:t>
      </w:r>
    </w:p>
    <w:p>
      <w:pPr>
        <w:spacing w:after="0" w:line="233" w:lineRule="exact"/>
        <w:rPr>
          <w:rFonts w:ascii="Arial" w:cs="Arial" w:eastAsia="Arial" w:hAnsi="Arial"/>
          <w:sz w:val="22"/>
          <w:szCs w:val="22"/>
          <w:color w:val="auto"/>
        </w:rPr>
      </w:pPr>
    </w:p>
    <w:p>
      <w:pPr>
        <w:jc w:val="both"/>
        <w:ind w:firstLine="1304"/>
        <w:spacing w:after="0" w:line="278" w:lineRule="auto"/>
        <w:tabs>
          <w:tab w:leader="none" w:pos="1878" w:val="left"/>
        </w:tabs>
        <w:numPr>
          <w:ilvl w:val="0"/>
          <w:numId w:val="80"/>
        </w:numPr>
        <w:rPr>
          <w:rFonts w:ascii="Arial" w:cs="Arial" w:eastAsia="Arial" w:hAnsi="Arial"/>
          <w:sz w:val="21"/>
          <w:szCs w:val="21"/>
          <w:color w:val="auto"/>
        </w:rPr>
      </w:pPr>
      <w:r>
        <w:rPr>
          <w:rFonts w:ascii="Arial" w:cs="Arial" w:eastAsia="Arial" w:hAnsi="Arial"/>
          <w:sz w:val="21"/>
          <w:szCs w:val="21"/>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59" w:lineRule="exact"/>
        <w:rPr>
          <w:rFonts w:ascii="Arial" w:cs="Arial" w:eastAsia="Arial" w:hAnsi="Arial"/>
          <w:sz w:val="21"/>
          <w:szCs w:val="21"/>
          <w:color w:val="auto"/>
        </w:rPr>
      </w:pPr>
    </w:p>
    <w:p>
      <w:pPr>
        <w:ind w:left="1700" w:hanging="396"/>
        <w:spacing w:after="0"/>
        <w:tabs>
          <w:tab w:leader="none" w:pos="17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investments received in connection with the disposition of assets permitted by Section 6.05;</w:t>
      </w:r>
    </w:p>
    <w:p>
      <w:pPr>
        <w:spacing w:after="0" w:line="233" w:lineRule="exact"/>
        <w:rPr>
          <w:rFonts w:ascii="Arial" w:cs="Arial" w:eastAsia="Arial" w:hAnsi="Arial"/>
          <w:sz w:val="22"/>
          <w:szCs w:val="22"/>
          <w:color w:val="auto"/>
        </w:rPr>
      </w:pPr>
    </w:p>
    <w:p>
      <w:pPr>
        <w:ind w:left="1840" w:hanging="536"/>
        <w:spacing w:after="0"/>
        <w:tabs>
          <w:tab w:leader="none" w:pos="18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investments constituting deposits described in clauses (c) and (d) of the definition of the term “Permitted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Encumbrances”;</w:t>
      </w:r>
    </w:p>
    <w:p>
      <w:pPr>
        <w:spacing w:after="0" w:line="215" w:lineRule="exact"/>
        <w:rPr>
          <w:rFonts w:ascii="Arial" w:cs="Arial" w:eastAsia="Arial" w:hAnsi="Arial"/>
          <w:sz w:val="19"/>
          <w:szCs w:val="19"/>
          <w:color w:val="auto"/>
        </w:rPr>
      </w:pPr>
    </w:p>
    <w:p>
      <w:pPr>
        <w:ind w:left="1740" w:hanging="436"/>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Permitted Intercompany Advances;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604" w:right="339" w:bottom="1440" w:gutter="0" w:footer="0" w:header="0"/>
        </w:sectPr>
      </w:pPr>
    </w:p>
    <w:bookmarkStart w:id="93" w:name="page94"/>
    <w:bookmarkEnd w:id="93"/>
    <w:p>
      <w:pPr>
        <w:ind w:left="1680" w:hanging="376"/>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advances made in connection with purchases of goods or services in the ordinary course of business consistent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past practices;</w:t>
      </w:r>
    </w:p>
    <w:p>
      <w:pPr>
        <w:spacing w:after="0" w:line="215" w:lineRule="exact"/>
        <w:rPr>
          <w:rFonts w:ascii="Arial" w:cs="Arial" w:eastAsia="Arial" w:hAnsi="Arial"/>
          <w:sz w:val="19"/>
          <w:szCs w:val="19"/>
          <w:color w:val="auto"/>
        </w:rPr>
      </w:pPr>
    </w:p>
    <w:p>
      <w:pPr>
        <w:jc w:val="both"/>
        <w:ind w:firstLine="1304"/>
        <w:spacing w:after="0" w:line="254" w:lineRule="auto"/>
        <w:tabs>
          <w:tab w:leader="none" w:pos="16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investments, Equity Interests and other securities received in settlement of amounts due to Borrower or any of its Subsidiaries effected in the ordinary course of business or owing to Borrower or any of its Subsidiaries as a result of bankruptcy or insolvency proceedings involving an account debtor or upon the foreclosure or enforcement of any Lien in favor of Borrower or its Subsidiaries;</w:t>
      </w:r>
    </w:p>
    <w:p>
      <w:pPr>
        <w:spacing w:after="0" w:line="184" w:lineRule="exact"/>
        <w:rPr>
          <w:rFonts w:ascii="Arial" w:cs="Arial" w:eastAsia="Arial" w:hAnsi="Arial"/>
          <w:sz w:val="22"/>
          <w:szCs w:val="22"/>
          <w:color w:val="auto"/>
        </w:rPr>
      </w:pPr>
    </w:p>
    <w:p>
      <w:pPr>
        <w:ind w:left="1740" w:hanging="436"/>
        <w:spacing w:after="0"/>
        <w:tabs>
          <w:tab w:leader="none" w:pos="17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deposits of cash made in the ordinary course of business to secure performance of operating leases;</w:t>
      </w:r>
    </w:p>
    <w:p>
      <w:pPr>
        <w:spacing w:after="0" w:line="244" w:lineRule="exact"/>
        <w:rPr>
          <w:rFonts w:ascii="Arial" w:cs="Arial" w:eastAsia="Arial" w:hAnsi="Arial"/>
          <w:sz w:val="21"/>
          <w:szCs w:val="21"/>
          <w:color w:val="auto"/>
        </w:rPr>
      </w:pPr>
    </w:p>
    <w:p>
      <w:pPr>
        <w:ind w:firstLine="1304"/>
        <w:spacing w:after="0" w:line="276" w:lineRule="auto"/>
        <w:tabs>
          <w:tab w:leader="none" w:pos="17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investments in the form of capital contributions and the acquisition of Equity Interests made by Borrower in any wholly-owned Subsidiary;</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89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other loans, advances and investments not otherwise permitted hereunder, provided that such loans, advances and investments made pursuant to this clause shall not exceed an aggregate amount of $5,000,000 at any time outstanding;</w:t>
      </w:r>
    </w:p>
    <w:p>
      <w:pPr>
        <w:spacing w:after="0" w:line="180" w:lineRule="exact"/>
        <w:rPr>
          <w:rFonts w:ascii="Arial" w:cs="Arial" w:eastAsia="Arial" w:hAnsi="Arial"/>
          <w:sz w:val="22"/>
          <w:szCs w:val="22"/>
          <w:color w:val="auto"/>
        </w:rPr>
      </w:pPr>
    </w:p>
    <w:p>
      <w:pPr>
        <w:jc w:val="both"/>
        <w:ind w:firstLine="1304"/>
        <w:spacing w:after="0" w:line="278" w:lineRule="auto"/>
        <w:tabs>
          <w:tab w:leader="none" w:pos="1768"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acquisition or issuance of Equity Interests for purposes of funding or contributing to retirement, pension and other benefit plans maintained by the Borrower (including the Borrower’s Executive Supplemental Retirement Plan, Cash Balance Executive Supplemental Retirement Plan and Special Deferral Election Plan); and</w:t>
      </w:r>
    </w:p>
    <w:p>
      <w:pPr>
        <w:spacing w:after="0" w:line="159" w:lineRule="exact"/>
        <w:rPr>
          <w:rFonts w:ascii="Arial" w:cs="Arial" w:eastAsia="Arial" w:hAnsi="Arial"/>
          <w:sz w:val="21"/>
          <w:szCs w:val="21"/>
          <w:color w:val="auto"/>
        </w:rPr>
      </w:pPr>
    </w:p>
    <w:p>
      <w:pPr>
        <w:ind w:left="1740" w:hanging="436"/>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3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Asset Sales</w:t>
      </w:r>
      <w:r>
        <w:rPr>
          <w:rFonts w:ascii="Arial" w:cs="Arial" w:eastAsia="Arial" w:hAnsi="Arial"/>
          <w:sz w:val="22"/>
          <w:szCs w:val="22"/>
          <w:color w:val="auto"/>
        </w:rPr>
        <w:t>.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85" w:lineRule="exact"/>
        <w:rPr>
          <w:sz w:val="20"/>
          <w:szCs w:val="20"/>
          <w:color w:val="auto"/>
        </w:rPr>
      </w:pPr>
    </w:p>
    <w:p>
      <w:pPr>
        <w:jc w:val="both"/>
        <w:ind w:firstLine="1304"/>
        <w:spacing w:after="0" w:line="259" w:lineRule="auto"/>
        <w:tabs>
          <w:tab w:leader="none" w:pos="1756" w:val="left"/>
        </w:tabs>
        <w:numPr>
          <w:ilvl w:val="0"/>
          <w:numId w:val="82"/>
        </w:numPr>
        <w:rPr>
          <w:rFonts w:ascii="Arial" w:cs="Arial" w:eastAsia="Arial" w:hAnsi="Arial"/>
          <w:sz w:val="22"/>
          <w:szCs w:val="22"/>
          <w:color w:val="auto"/>
        </w:rPr>
      </w:pPr>
      <w:r>
        <w:rPr>
          <w:rFonts w:ascii="Arial" w:cs="Arial" w:eastAsia="Arial" w:hAnsi="Arial"/>
          <w:sz w:val="22"/>
          <w:szCs w:val="22"/>
          <w:color w:val="auto"/>
        </w:rPr>
        <w:t>sales, transfers and dispositions of (i) inventory in the ordinary course of business, (ii) used, obsolete, worn out or surplus equipment or property in the ordinary course of business or (iii) equipment or other property no longer used or useful to Borrower or any Subsidiary;</w:t>
      </w:r>
    </w:p>
    <w:p>
      <w:pPr>
        <w:spacing w:after="0" w:line="180" w:lineRule="exact"/>
        <w:rPr>
          <w:rFonts w:ascii="Arial" w:cs="Arial" w:eastAsia="Arial" w:hAnsi="Arial"/>
          <w:sz w:val="22"/>
          <w:szCs w:val="22"/>
          <w:color w:val="auto"/>
        </w:rPr>
      </w:pPr>
    </w:p>
    <w:p>
      <w:pPr>
        <w:ind w:firstLine="1304"/>
        <w:spacing w:after="0" w:line="276" w:lineRule="auto"/>
        <w:tabs>
          <w:tab w:leader="none" w:pos="1809"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sales, transfers and dispositions of assets to the Borrower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sales, transfers or dispositions involving a Subsidiary shall be made in compliance with Section 6.09;</w:t>
      </w:r>
    </w:p>
    <w:p>
      <w:pPr>
        <w:spacing w:after="0" w:line="160" w:lineRule="exact"/>
        <w:rPr>
          <w:rFonts w:ascii="Arial" w:cs="Arial" w:eastAsia="Arial" w:hAnsi="Arial"/>
          <w:sz w:val="22"/>
          <w:szCs w:val="22"/>
          <w:color w:val="auto"/>
        </w:rPr>
      </w:pPr>
    </w:p>
    <w:p>
      <w:pPr>
        <w:ind w:firstLine="1304"/>
        <w:spacing w:after="0" w:line="276" w:lineRule="auto"/>
        <w:tabs>
          <w:tab w:leader="none" w:pos="1783" w:val="left"/>
        </w:tabs>
        <w:numPr>
          <w:ilvl w:val="0"/>
          <w:numId w:val="82"/>
        </w:numPr>
        <w:rPr>
          <w:rFonts w:ascii="Arial" w:cs="Arial" w:eastAsia="Arial" w:hAnsi="Arial"/>
          <w:sz w:val="22"/>
          <w:szCs w:val="22"/>
          <w:color w:val="auto"/>
        </w:rPr>
      </w:pPr>
      <w:r>
        <w:rPr>
          <w:rFonts w:ascii="Arial" w:cs="Arial" w:eastAsia="Arial" w:hAnsi="Arial"/>
          <w:sz w:val="22"/>
          <w:szCs w:val="22"/>
          <w:color w:val="auto"/>
        </w:rPr>
        <w:t>sales, transfers and dispositions of accounts (excluding sales or dispositions in a factoring arrangement) in connection with the compromise, settlement or collection thereof;</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sales, transfers and dispositions of Permitted Investments;</w:t>
      </w:r>
    </w:p>
    <w:p>
      <w:pPr>
        <w:spacing w:after="0" w:line="233" w:lineRule="exact"/>
        <w:rPr>
          <w:rFonts w:ascii="Arial" w:cs="Arial" w:eastAsia="Arial" w:hAnsi="Arial"/>
          <w:sz w:val="22"/>
          <w:szCs w:val="22"/>
          <w:color w:val="auto"/>
        </w:rPr>
      </w:pPr>
    </w:p>
    <w:p>
      <w:pPr>
        <w:ind w:right="20" w:firstLine="1304"/>
        <w:spacing w:after="0" w:line="276" w:lineRule="auto"/>
        <w:tabs>
          <w:tab w:leader="none" w:pos="18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sale, lease or transfer constituting an easement, license, zoning restriction, rights-of-way or similar encumbrance on real property imposed by law or arising in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604" w:right="33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22"/>
          <w:szCs w:val="22"/>
          <w:color w:val="auto"/>
        </w:rPr>
        <w:t>ordinary course of business that does not materially detract from the value of the affected property or interfere with the ordinary conduct of the business of the Borrower or any Subsidiary;</w:t>
      </w:r>
    </w:p>
    <w:p>
      <w:pPr>
        <w:spacing w:after="0" w:line="175" w:lineRule="exact"/>
        <w:rPr>
          <w:sz w:val="20"/>
          <w:szCs w:val="20"/>
          <w:color w:val="auto"/>
        </w:rPr>
      </w:pPr>
    </w:p>
    <w:p>
      <w:pPr>
        <w:ind w:right="20" w:firstLine="1304"/>
        <w:spacing w:after="0" w:line="276" w:lineRule="auto"/>
        <w:tabs>
          <w:tab w:leader="none" w:pos="1813"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use or transfer of money or cash equivalents in a manner that is not prohibited by the terms of the Agreement or the other Loan Documents;</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granting of Liens as permitted under Section 6.02;</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sale or issuance of Equity Interests of Borrower to Holdco or any Subsidiary to Borrower;</w:t>
      </w:r>
    </w:p>
    <w:p>
      <w:pPr>
        <w:spacing w:after="0" w:line="233" w:lineRule="exact"/>
        <w:rPr>
          <w:rFonts w:ascii="Arial" w:cs="Arial" w:eastAsia="Arial" w:hAnsi="Arial"/>
          <w:sz w:val="22"/>
          <w:szCs w:val="22"/>
          <w:color w:val="auto"/>
        </w:rPr>
      </w:pPr>
    </w:p>
    <w:p>
      <w:pPr>
        <w:jc w:val="both"/>
        <w:ind w:firstLine="1304"/>
        <w:spacing w:after="0" w:line="300" w:lineRule="auto"/>
        <w:tabs>
          <w:tab w:leader="none" w:pos="1896" w:val="left"/>
        </w:tabs>
        <w:numPr>
          <w:ilvl w:val="0"/>
          <w:numId w:val="83"/>
        </w:numPr>
        <w:rPr>
          <w:rFonts w:ascii="Arial" w:cs="Arial" w:eastAsia="Arial" w:hAnsi="Arial"/>
          <w:sz w:val="19"/>
          <w:szCs w:val="19"/>
          <w:color w:val="auto"/>
        </w:rPr>
      </w:pPr>
      <w:r>
        <w:rPr>
          <w:rFonts w:ascii="Arial" w:cs="Arial" w:eastAsia="Arial" w:hAnsi="Arial"/>
          <w:sz w:val="19"/>
          <w:szCs w:val="19"/>
          <w:color w:val="auto"/>
        </w:rPr>
        <w:t>dispositions of assets acquired by Borrower and its Subsidiaries pursuant to a Permitted Acquisition consummated within 12 months of the date of the proposed disposition (the “Subject Permitted Acquisition”) so long as (i) the consideration received for the assets to be so disposed is at least equal to the fair market value thereof, (ii) the assets to be so disposed are not necessary or economically desirable in connection with the business of Borrower and its Subsidiaries, and (iii) the assets to be so disposed are readily identifiable as assets acquired pursuant to the Subject Permitted Acquisition;</w:t>
      </w:r>
    </w:p>
    <w:p>
      <w:pPr>
        <w:spacing w:after="0" w:line="146" w:lineRule="exact"/>
        <w:rPr>
          <w:rFonts w:ascii="Arial" w:cs="Arial" w:eastAsia="Arial" w:hAnsi="Arial"/>
          <w:sz w:val="19"/>
          <w:szCs w:val="19"/>
          <w:color w:val="auto"/>
        </w:rPr>
      </w:pPr>
    </w:p>
    <w:p>
      <w:pPr>
        <w:jc w:val="both"/>
        <w:ind w:firstLine="1304"/>
        <w:spacing w:after="0" w:line="259" w:lineRule="auto"/>
        <w:tabs>
          <w:tab w:leader="none" w:pos="174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dispositions of Equity Interests held in or for the benefit of retirement, pension and other benefit plans maintained by Borrower (including the Borrower’s Executive Supplemental Retirement Plan, Cash Balance Executive Supplemental Retirement Plan and Special Deferral Election Plan);</w:t>
      </w:r>
    </w:p>
    <w:p>
      <w:pPr>
        <w:spacing w:after="0" w:line="180" w:lineRule="exact"/>
        <w:rPr>
          <w:rFonts w:ascii="Arial" w:cs="Arial" w:eastAsia="Arial" w:hAnsi="Arial"/>
          <w:sz w:val="22"/>
          <w:szCs w:val="22"/>
          <w:color w:val="auto"/>
        </w:rPr>
      </w:pPr>
    </w:p>
    <w:p>
      <w:pPr>
        <w:ind w:right="20" w:firstLine="1304"/>
        <w:spacing w:after="0" w:line="358" w:lineRule="auto"/>
        <w:tabs>
          <w:tab w:leader="none" w:pos="1768" w:val="left"/>
        </w:tabs>
        <w:numPr>
          <w:ilvl w:val="0"/>
          <w:numId w:val="83"/>
        </w:numPr>
        <w:rPr>
          <w:rFonts w:ascii="Arial" w:cs="Arial" w:eastAsia="Arial" w:hAnsi="Arial"/>
          <w:sz w:val="19"/>
          <w:szCs w:val="19"/>
          <w:color w:val="auto"/>
        </w:rPr>
      </w:pPr>
      <w:r>
        <w:rPr>
          <w:rFonts w:ascii="Arial" w:cs="Arial" w:eastAsia="Arial" w:hAnsi="Arial"/>
          <w:sz w:val="19"/>
          <w:szCs w:val="19"/>
          <w:color w:val="auto"/>
        </w:rPr>
        <w:t>sales or other transfers of assets between the Borrower and SJW Land Company at prices and on terms and conditions not less favorable to the Borrower than could be obtained on an arm’s-length basis from unrelated third parties;</w:t>
      </w:r>
    </w:p>
    <w:p>
      <w:pPr>
        <w:spacing w:after="0" w:line="90" w:lineRule="exact"/>
        <w:rPr>
          <w:rFonts w:ascii="Arial" w:cs="Arial" w:eastAsia="Arial" w:hAnsi="Arial"/>
          <w:sz w:val="19"/>
          <w:szCs w:val="19"/>
          <w:color w:val="auto"/>
        </w:rPr>
      </w:pPr>
    </w:p>
    <w:p>
      <w:pPr>
        <w:ind w:left="1680" w:hanging="376"/>
        <w:spacing w:after="0"/>
        <w:tabs>
          <w:tab w:leader="none" w:pos="16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sales, transfers and dispositions permitted under Section 6.04 and Section 6.08;</w:t>
      </w:r>
    </w:p>
    <w:p>
      <w:pPr>
        <w:spacing w:after="0" w:line="233" w:lineRule="exact"/>
        <w:rPr>
          <w:rFonts w:ascii="Arial" w:cs="Arial" w:eastAsia="Arial" w:hAnsi="Arial"/>
          <w:sz w:val="22"/>
          <w:szCs w:val="22"/>
          <w:color w:val="auto"/>
        </w:rPr>
      </w:pPr>
    </w:p>
    <w:p>
      <w:pPr>
        <w:ind w:firstLine="1304"/>
        <w:spacing w:after="0" w:line="301" w:lineRule="auto"/>
        <w:tabs>
          <w:tab w:leader="none" w:pos="1828" w:val="left"/>
        </w:tabs>
        <w:numPr>
          <w:ilvl w:val="0"/>
          <w:numId w:val="83"/>
        </w:numPr>
        <w:rPr>
          <w:rFonts w:ascii="Arial" w:cs="Arial" w:eastAsia="Arial" w:hAnsi="Arial"/>
          <w:sz w:val="21"/>
          <w:szCs w:val="21"/>
          <w:color w:val="auto"/>
        </w:rPr>
      </w:pPr>
      <w:r>
        <w:rPr>
          <w:rFonts w:ascii="Arial" w:cs="Arial" w:eastAsia="Arial" w:hAnsi="Arial"/>
          <w:sz w:val="21"/>
          <w:szCs w:val="21"/>
          <w:color w:val="auto"/>
        </w:rPr>
        <w:t>dispositions resulting from any casualty or other insured damage to, or any taking under power of eminent domain or by condemnation or similar proceeding of, any property or asset of the Borrower or any Subsidiary;</w:t>
      </w:r>
    </w:p>
    <w:p>
      <w:pPr>
        <w:spacing w:after="0" w:line="136" w:lineRule="exact"/>
        <w:rPr>
          <w:rFonts w:ascii="Arial" w:cs="Arial" w:eastAsia="Arial" w:hAnsi="Arial"/>
          <w:sz w:val="21"/>
          <w:szCs w:val="21"/>
          <w:color w:val="auto"/>
        </w:rPr>
      </w:pPr>
    </w:p>
    <w:p>
      <w:pPr>
        <w:ind w:left="1740" w:hanging="436"/>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leases and subleases of real property in the ordinary course of business; and</w:t>
      </w:r>
    </w:p>
    <w:p>
      <w:pPr>
        <w:spacing w:after="0" w:line="233" w:lineRule="exact"/>
        <w:rPr>
          <w:rFonts w:ascii="Arial" w:cs="Arial" w:eastAsia="Arial" w:hAnsi="Arial"/>
          <w:sz w:val="22"/>
          <w:szCs w:val="22"/>
          <w:color w:val="auto"/>
        </w:rPr>
      </w:pPr>
    </w:p>
    <w:p>
      <w:pPr>
        <w:jc w:val="both"/>
        <w:ind w:firstLine="1304"/>
        <w:spacing w:after="0" w:line="294" w:lineRule="auto"/>
        <w:tabs>
          <w:tab w:leader="none" w:pos="1768" w:val="left"/>
        </w:tabs>
        <w:numPr>
          <w:ilvl w:val="0"/>
          <w:numId w:val="83"/>
        </w:numPr>
        <w:rPr>
          <w:rFonts w:ascii="Arial" w:cs="Arial" w:eastAsia="Arial" w:hAnsi="Arial"/>
          <w:sz w:val="19"/>
          <w:szCs w:val="19"/>
          <w:color w:val="auto"/>
        </w:rPr>
      </w:pPr>
      <w:r>
        <w:rPr>
          <w:rFonts w:ascii="Arial" w:cs="Arial" w:eastAsia="Arial" w:hAnsi="Arial"/>
          <w:sz w:val="19"/>
          <w:szCs w:val="19"/>
          <w:color w:val="auto"/>
        </w:rPr>
        <w:t>sales, transfers and other dispositions of assets (other than Equity Interests in a Subsidiary unless all Equity Interests in such Subsidiary are sold) that are not permitted by any other clause of this Section, provided that the aggregate book value of all assets sold, transferred or otherwise disposed of in reliance upon this paragraph (o) (together with (i) the aggregate book value of all assets sold, transferred or otherwise disposed of by HoldCo that are not of the type that would be permitted to be sold, transferred or otherwise disposed of pursuant to any other clause of this Section and (ii) the aggregate book value of all assets sold, transferred or otherwise disposed of in reliance on similar exceptions in SJWTX Credit Agreement) shall not exceed 10% of the book value of the total assets of Holdco and its Subsidiaries during any fiscal quarter of the Borrower 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604"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22"/>
          <w:szCs w:val="22"/>
          <w:color w:val="auto"/>
        </w:rPr>
        <w:t>25% of the book value of Holdco’s and its Subsidiaries’ total assets from and after the Effective Date (measured, in each case, as of the end of the fiscal quarter then last ended);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sales, transfers, leases and other dispositions permitted under this Section 6.05 (other than those permitted by paragraphs (b), (d) and (f) above) shall be made for fair value and for at least 75% cash consideration.</w:t>
      </w:r>
    </w:p>
    <w:p>
      <w:pPr>
        <w:spacing w:after="0" w:line="175"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Sale and Leaseback Transactions</w:t>
      </w:r>
      <w:r>
        <w:rPr>
          <w:rFonts w:ascii="Arial" w:cs="Arial" w:eastAsia="Arial" w:hAnsi="Arial"/>
          <w:sz w:val="19"/>
          <w:szCs w:val="19"/>
          <w:color w:val="auto"/>
        </w:rPr>
        <w:t>. The Borrower will not,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w:t>
      </w:r>
    </w:p>
    <w:p>
      <w:pPr>
        <w:spacing w:after="0" w:line="138"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Swap Agreements</w:t>
      </w:r>
      <w:r>
        <w:rPr>
          <w:rFonts w:ascii="Arial" w:cs="Arial" w:eastAsia="Arial" w:hAnsi="Arial"/>
          <w:sz w:val="19"/>
          <w:szCs w:val="19"/>
          <w:color w:val="auto"/>
        </w:rPr>
        <w:t>. The Borrower will not, nor will it permit any Subsidiary to, enter into any Swap Agreement, except (a) Swap Agreements 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w:t>
      </w:r>
    </w:p>
    <w:p>
      <w:pPr>
        <w:spacing w:after="0" w:line="14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The Borrower will not,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and (iii) the Borrower may (A) declare or pay cash dividends to Holdco in amounts sufficient to allow Holdco</w:t>
      </w:r>
    </w:p>
    <w:p>
      <w:pPr>
        <w:spacing w:after="0" w:line="3" w:lineRule="exact"/>
        <w:rPr>
          <w:sz w:val="20"/>
          <w:szCs w:val="20"/>
          <w:color w:val="auto"/>
        </w:rPr>
      </w:pPr>
    </w:p>
    <w:p>
      <w:pPr>
        <w:jc w:val="both"/>
        <w:ind w:firstLine="8"/>
        <w:spacing w:after="0" w:line="295" w:lineRule="auto"/>
        <w:tabs>
          <w:tab w:leader="none" w:pos="31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discharge any Federal, state and local income tax liability arising from the operations of the Borrower and its Subsidiaries, and (y) to pay corporate overhead and administrative expenses reasonably allocable to the operations of the Borrower and its Subsidiaries, and (B) so long as no Event of Default exists before or immediately after giving effect thereto, (x) declare or pay cash dividends to Holdco, and (y) purchase, redeem or otherwise acquire Equity Interests issued by Holdco.</w:t>
      </w:r>
    </w:p>
    <w:p>
      <w:pPr>
        <w:spacing w:after="0" w:line="15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 (b) any Indebtedness permitted under Section 6.01(c), (c) any Restricted Payment permitted by Section 6.08, (d) loans or advances to employees permitted under Section 6.04(c), (e) asset sales or other transfers permitted under Section 6.05(k), (f) investments permitted under Section 6.04(l), (g) the payment of reasonable fees to directors of the Borrower or any Subsidiary who are not employees of the Borrower or 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604" w:right="339" w:bottom="1440" w:gutter="0" w:footer="0" w:header="0"/>
        </w:sectPr>
      </w:pPr>
    </w:p>
    <w:bookmarkStart w:id="96" w:name="page97"/>
    <w:bookmarkEnd w:id="96"/>
    <w:p>
      <w:pPr>
        <w:jc w:val="both"/>
        <w:spacing w:after="0" w:line="248" w:lineRule="auto"/>
        <w:rPr>
          <w:sz w:val="20"/>
          <w:szCs w:val="20"/>
          <w:color w:val="auto"/>
        </w:rPr>
      </w:pPr>
      <w:r>
        <w:rPr>
          <w:rFonts w:ascii="Arial" w:cs="Arial" w:eastAsia="Arial" w:hAnsi="Arial"/>
          <w:sz w:val="22"/>
          <w:szCs w:val="22"/>
          <w:color w:val="auto"/>
        </w:rPr>
        <w:t>Subsidiary,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any contribution to the capital of Holdco or any purchase of Equity Interests of Holdco.</w:t>
      </w:r>
    </w:p>
    <w:p>
      <w:pPr>
        <w:spacing w:after="0" w:line="19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The Borrower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and (iv) restrictions or conditions on the ability of any Subsidiary to create, incur or permit to pay dividends or distributions that exist under the Note Agreement for Borrower’s Series J Notes (the “</w:t>
      </w:r>
      <w:r>
        <w:rPr>
          <w:rFonts w:ascii="Arial" w:cs="Arial" w:eastAsia="Arial" w:hAnsi="Arial"/>
          <w:sz w:val="19"/>
          <w:szCs w:val="19"/>
          <w:u w:val="single" w:color="auto"/>
          <w:color w:val="auto"/>
        </w:rPr>
        <w:t>Senior Note Restriction</w:t>
      </w:r>
      <w:r>
        <w:rPr>
          <w:rFonts w:ascii="Arial" w:cs="Arial" w:eastAsia="Arial" w:hAnsi="Arial"/>
          <w:sz w:val="19"/>
          <w:szCs w:val="19"/>
          <w:color w:val="auto"/>
        </w:rPr>
        <w:t>”) or any other agreement now existing or hereafter entered into under which Borrower has issued, or may hereafter issue, debt securities that includes any such restriction that are not more restrictive than the Senior Note Restriction.</w:t>
      </w:r>
    </w:p>
    <w:p>
      <w:pPr>
        <w:spacing w:after="0" w:line="15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Amendment of Material Documents</w:t>
      </w:r>
      <w:r>
        <w:rPr>
          <w:rFonts w:ascii="Arial" w:cs="Arial" w:eastAsia="Arial" w:hAnsi="Arial"/>
          <w:sz w:val="22"/>
          <w:szCs w:val="22"/>
          <w:color w:val="auto"/>
        </w:rPr>
        <w:t>. The Borrower will not, nor will it permit any Subsidiary to, amend, modify or waive any of its rights under its charter, articles or certificate of organization or incorporation and bylaws or operating, management or partnership agreement, or other organizational or governing documents, to the extent any such amendment, modification or waiver would be adverse to the Lender.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99" w:lineRule="auto"/>
        <w:tabs>
          <w:tab w:leader="none" w:pos="1743"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Funded Debt to Capitalization Ratio</w:t>
      </w:r>
      <w:r>
        <w:rPr>
          <w:rFonts w:ascii="Arial" w:cs="Arial" w:eastAsia="Arial" w:hAnsi="Arial"/>
          <w:sz w:val="22"/>
          <w:szCs w:val="22"/>
          <w:color w:val="auto"/>
        </w:rPr>
        <w:t>. The Borrower will not permit the Funded Debt to Capitalization Ratio, at any time, to be greater than 66⅔%.</w:t>
      </w:r>
    </w:p>
    <w:p>
      <w:pPr>
        <w:spacing w:after="0" w:line="112" w:lineRule="exact"/>
        <w:rPr>
          <w:rFonts w:ascii="Arial" w:cs="Arial" w:eastAsia="Arial" w:hAnsi="Arial"/>
          <w:sz w:val="22"/>
          <w:szCs w:val="22"/>
          <w:color w:val="auto"/>
        </w:rPr>
      </w:pPr>
    </w:p>
    <w:p>
      <w:pPr>
        <w:jc w:val="both"/>
        <w:ind w:firstLine="1304"/>
        <w:spacing w:after="0" w:line="278" w:lineRule="auto"/>
        <w:tabs>
          <w:tab w:leader="none" w:pos="1755"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Interest Coverage Ratio</w:t>
      </w:r>
      <w:r>
        <w:rPr>
          <w:rFonts w:ascii="Arial" w:cs="Arial" w:eastAsia="Arial" w:hAnsi="Arial"/>
          <w:sz w:val="21"/>
          <w:szCs w:val="21"/>
          <w:color w:val="auto"/>
        </w:rPr>
        <w:t>. For each fiscal quarter ending after the Effective Date (commencing with the fiscal quarter ending March 31, 2020), the Borrower will not permit the Interest Coverage Ratio, for any period of four consecutive fiscal quarters ending on the last day of each such fiscal quarter, to be less than 1.75:1.00.</w:t>
      </w:r>
    </w:p>
    <w:p>
      <w:pPr>
        <w:spacing w:after="0" w:line="159" w:lineRule="exact"/>
        <w:rPr>
          <w:rFonts w:ascii="Arial" w:cs="Arial" w:eastAsia="Arial" w:hAnsi="Arial"/>
          <w:sz w:val="21"/>
          <w:szCs w:val="21"/>
          <w:color w:val="auto"/>
        </w:rPr>
      </w:pPr>
    </w:p>
    <w:p>
      <w:pPr>
        <w:jc w:val="both"/>
        <w:ind w:firstLine="1304"/>
        <w:spacing w:after="0" w:line="307" w:lineRule="auto"/>
        <w:tabs>
          <w:tab w:leader="none" w:pos="1891"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 The Borrower shall not permit the Consolidated Cash Balance to exceed $25,000,000 for five (5) consecutive Business Days, unless the Borrower shall, on or prior to the fifth (5th) Business Day thereafter, prepay the outstanding principal amount of any Loans in an aggregate amount equal to the lesser of (i) the amount sufficient to reduce such excess to zero and (ii) the aggregate principal amount of Loans then outstanding. The Borrower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604" w:right="33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21"/>
          <w:szCs w:val="21"/>
          <w:color w:val="auto"/>
        </w:rPr>
        <w:t>shall give not less than one (1) Business Days’ prior written notice of such prepayment to the Lender and each prepayment pursuant to this Section 6.12(c) shall be accompanied by accrued interest and other amounts (in the event of the payment of any principal of any Eurodollar Loan) to the extent required by Section 2.11 or Section 2.14.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20" w:lineRule="exact"/>
        <w:rPr>
          <w:sz w:val="20"/>
          <w:szCs w:val="20"/>
          <w:color w:val="auto"/>
        </w:rPr>
      </w:pPr>
    </w:p>
    <w:p>
      <w:pPr>
        <w:jc w:val="both"/>
        <w:ind w:firstLine="1304"/>
        <w:spacing w:after="0" w:line="259" w:lineRule="auto"/>
        <w:tabs>
          <w:tab w:leader="none" w:pos="177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0" w:lineRule="exact"/>
        <w:rPr>
          <w:rFonts w:ascii="Arial" w:cs="Arial" w:eastAsia="Arial" w:hAnsi="Arial"/>
          <w:sz w:val="22"/>
          <w:szCs w:val="22"/>
          <w:color w:val="auto"/>
        </w:rPr>
      </w:pPr>
    </w:p>
    <w:p>
      <w:pPr>
        <w:jc w:val="both"/>
        <w:ind w:firstLine="1304"/>
        <w:spacing w:after="0" w:line="319" w:lineRule="auto"/>
        <w:tabs>
          <w:tab w:leader="none" w:pos="1741"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27" w:lineRule="exact"/>
        <w:rPr>
          <w:rFonts w:ascii="Arial" w:cs="Arial" w:eastAsia="Arial" w:hAnsi="Arial"/>
          <w:sz w:val="19"/>
          <w:szCs w:val="19"/>
          <w:color w:val="auto"/>
        </w:rPr>
      </w:pPr>
    </w:p>
    <w:p>
      <w:pPr>
        <w:jc w:val="both"/>
        <w:ind w:firstLine="1304"/>
        <w:spacing w:after="0" w:line="300" w:lineRule="auto"/>
        <w:tabs>
          <w:tab w:leader="none" w:pos="1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46" w:lineRule="exact"/>
        <w:rPr>
          <w:rFonts w:ascii="Arial" w:cs="Arial" w:eastAsia="Arial" w:hAnsi="Arial"/>
          <w:sz w:val="19"/>
          <w:szCs w:val="19"/>
          <w:color w:val="auto"/>
        </w:rPr>
      </w:pPr>
    </w:p>
    <w:p>
      <w:pPr>
        <w:ind w:firstLine="1304"/>
        <w:spacing w:after="0" w:line="276" w:lineRule="auto"/>
        <w:tabs>
          <w:tab w:leader="none" w:pos="198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Section 5.02(a), 5.03 (with respect to the Borrower’s existence), 5.08 or 5.11 or in Article VI;</w:t>
      </w:r>
    </w:p>
    <w:p>
      <w:pPr>
        <w:spacing w:after="0" w:line="160" w:lineRule="exact"/>
        <w:rPr>
          <w:rFonts w:ascii="Arial" w:cs="Arial" w:eastAsia="Arial" w:hAnsi="Arial"/>
          <w:sz w:val="22"/>
          <w:szCs w:val="22"/>
          <w:color w:val="auto"/>
        </w:rPr>
      </w:pPr>
    </w:p>
    <w:p>
      <w:pPr>
        <w:jc w:val="both"/>
        <w:ind w:firstLine="1304"/>
        <w:spacing w:after="0" w:line="248" w:lineRule="auto"/>
        <w:tabs>
          <w:tab w:leader="none" w:pos="189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this Agreement or any other Loan Document (other than those specified in clause (a), (b) or (d) of this Article VII), and such failure shall continue unremedied for a period of (i) 15 days after the earlier of the Borrower’s knowledge of such breach or notice thereof from the Lender if such breach relates to terms or provisions of Section 5.01, 5.02 (other than Section 5.02(a)), 5.03 through 5.07, or 5.10 of this Agreement or (ii) 30 days after the earlier of the Borrower’s knowledge of such breach or notice thereof from the Lender if such breach relates to terms or provisions of any other Section of this Agreement or of any other Loan Document;</w:t>
      </w:r>
    </w:p>
    <w:p>
      <w:pPr>
        <w:spacing w:after="0" w:line="195" w:lineRule="exact"/>
        <w:rPr>
          <w:rFonts w:ascii="Arial" w:cs="Arial" w:eastAsia="Arial" w:hAnsi="Arial"/>
          <w:sz w:val="22"/>
          <w:szCs w:val="22"/>
          <w:color w:val="auto"/>
        </w:rPr>
      </w:pPr>
    </w:p>
    <w:p>
      <w:pPr>
        <w:ind w:firstLine="1304"/>
        <w:spacing w:after="0" w:line="301" w:lineRule="auto"/>
        <w:tabs>
          <w:tab w:leader="none" w:pos="169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Borrower or any Subsidiary shall fail to make any payment (whether of principal or interest and regardless of amount) in respect of any Material Indebtedness, when and as the same shall become due and payable;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604" w:right="339" w:bottom="1440" w:gutter="0" w:footer="0" w:header="0"/>
        </w:sectPr>
      </w:pPr>
    </w:p>
    <w:bookmarkStart w:id="98" w:name="page99"/>
    <w:bookmarkEnd w:id="98"/>
    <w:p>
      <w:pPr>
        <w:jc w:val="both"/>
        <w:ind w:firstLine="1304"/>
        <w:spacing w:after="0" w:line="297" w:lineRule="auto"/>
        <w:tabs>
          <w:tab w:leader="none" w:pos="17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46"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an involuntary proceeding shall be commenced or an involuntary petition shall be filed seeking</w:t>
      </w:r>
    </w:p>
    <w:p>
      <w:pPr>
        <w:spacing w:after="0" w:line="21" w:lineRule="exact"/>
        <w:rPr>
          <w:sz w:val="20"/>
          <w:szCs w:val="20"/>
          <w:color w:val="auto"/>
        </w:rPr>
      </w:pPr>
    </w:p>
    <w:p>
      <w:pPr>
        <w:jc w:val="both"/>
        <w:ind w:firstLine="8"/>
        <w:spacing w:after="0" w:line="295" w:lineRule="auto"/>
        <w:tabs>
          <w:tab w:leader="none" w:pos="258" w:val="left"/>
        </w:tabs>
        <w:numPr>
          <w:ilvl w:val="0"/>
          <w:numId w:val="88"/>
        </w:numPr>
        <w:rPr>
          <w:rFonts w:ascii="Arial" w:cs="Arial" w:eastAsia="Arial" w:hAnsi="Arial"/>
          <w:sz w:val="19"/>
          <w:szCs w:val="19"/>
          <w:color w:val="auto"/>
        </w:rPr>
      </w:pPr>
      <w:r>
        <w:rPr>
          <w:rFonts w:ascii="Arial" w:cs="Arial" w:eastAsia="Arial" w:hAnsi="Arial"/>
          <w:sz w:val="19"/>
          <w:szCs w:val="19"/>
          <w:color w:val="auto"/>
        </w:rPr>
        <w:t>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sixty (60) days or an order or decree approving or ordering any of the foregoing shall be entered;</w:t>
      </w:r>
    </w:p>
    <w:p>
      <w:pPr>
        <w:spacing w:after="0" w:line="151" w:lineRule="exact"/>
        <w:rPr>
          <w:rFonts w:ascii="Arial" w:cs="Arial" w:eastAsia="Arial" w:hAnsi="Arial"/>
          <w:sz w:val="19"/>
          <w:szCs w:val="19"/>
          <w:color w:val="auto"/>
        </w:rPr>
      </w:pPr>
    </w:p>
    <w:p>
      <w:pPr>
        <w:jc w:val="both"/>
        <w:ind w:firstLine="1304"/>
        <w:spacing w:after="0" w:line="294" w:lineRule="auto"/>
        <w:tabs>
          <w:tab w:leader="none" w:pos="1747"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1" w:lineRule="exact"/>
        <w:rPr>
          <w:rFonts w:ascii="Arial" w:cs="Arial" w:eastAsia="Arial" w:hAnsi="Arial"/>
          <w:sz w:val="19"/>
          <w:szCs w:val="19"/>
          <w:color w:val="auto"/>
        </w:rPr>
      </w:pPr>
    </w:p>
    <w:p>
      <w:pPr>
        <w:ind w:firstLine="1304"/>
        <w:spacing w:after="0" w:line="276" w:lineRule="auto"/>
        <w:tabs>
          <w:tab w:leader="none" w:pos="1774"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Borrower or any Subsidiary shall become unable, admit in writing its inability, or publicly declare its intention not to, or fail generally, to pay its debts as they become due;</w:t>
      </w:r>
    </w:p>
    <w:p>
      <w:pPr>
        <w:spacing w:after="0" w:line="160" w:lineRule="exact"/>
        <w:rPr>
          <w:rFonts w:ascii="Arial" w:cs="Arial" w:eastAsia="Arial" w:hAnsi="Arial"/>
          <w:sz w:val="22"/>
          <w:szCs w:val="22"/>
          <w:color w:val="auto"/>
        </w:rPr>
      </w:pPr>
    </w:p>
    <w:p>
      <w:pPr>
        <w:jc w:val="both"/>
        <w:ind w:firstLine="1304"/>
        <w:spacing w:after="0" w:line="294" w:lineRule="auto"/>
        <w:tabs>
          <w:tab w:leader="none" w:pos="1782" w:val="left"/>
        </w:tabs>
        <w:numPr>
          <w:ilvl w:val="1"/>
          <w:numId w:val="88"/>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$5,000,000 shall be rendered against the Borrower,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Borrower or any Subsidiary to enforce any such judgment or the Borrower or any Subsidiary shall fail within thirty (30) days to discharge one or more non-monetary judgments or orders which, individually or in the aggregate, could reasonably be expected to have a Material Adverse Effect, which judgments or orders, in any such case, are not stayed on appeal and being appropriately contested in good faith by proper proceedings diligently pursued;</w:t>
      </w:r>
    </w:p>
    <w:p>
      <w:pPr>
        <w:spacing w:after="0" w:line="151" w:lineRule="exact"/>
        <w:rPr>
          <w:rFonts w:ascii="Arial" w:cs="Arial" w:eastAsia="Arial" w:hAnsi="Arial"/>
          <w:sz w:val="19"/>
          <w:szCs w:val="19"/>
          <w:color w:val="auto"/>
        </w:rPr>
      </w:pPr>
    </w:p>
    <w:p>
      <w:pPr>
        <w:ind w:firstLine="1304"/>
        <w:spacing w:after="0" w:line="276" w:lineRule="auto"/>
        <w:tabs>
          <w:tab w:leader="none" w:pos="1747"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 ERISA Event shall have occurred that, in the opinion of the Lender, when taken together with all other ERISA Events that have occurred, could reasonably be expected to result in a Material Adverse Effect;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604" w:right="339" w:bottom="1440" w:gutter="0" w:footer="0" w:header="0"/>
        </w:sectPr>
      </w:pPr>
    </w:p>
    <w:bookmarkStart w:id="99" w:name="page100"/>
    <w:bookmarkEnd w:id="99"/>
    <w:p>
      <w:pPr>
        <w:ind w:left="1800" w:hanging="496"/>
        <w:spacing w:after="0"/>
        <w:tabs>
          <w:tab w:leader="none" w:pos="18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33" w:lineRule="exact"/>
        <w:rPr>
          <w:rFonts w:ascii="Arial" w:cs="Arial" w:eastAsia="Arial" w:hAnsi="Arial"/>
          <w:sz w:val="22"/>
          <w:szCs w:val="22"/>
          <w:color w:val="auto"/>
        </w:rPr>
      </w:pPr>
    </w:p>
    <w:p>
      <w:pPr>
        <w:jc w:val="both"/>
        <w:ind w:firstLine="1304"/>
        <w:spacing w:after="0" w:line="270" w:lineRule="auto"/>
        <w:tabs>
          <w:tab w:leader="none" w:pos="1768"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any material provision of any Loan Document for any reason ceases to be valid, binding and enforceable in accordance with its terms (or the Borrower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68" w:lineRule="exact"/>
        <w:rPr>
          <w:rFonts w:ascii="Arial" w:cs="Arial" w:eastAsia="Arial" w:hAnsi="Arial"/>
          <w:sz w:val="21"/>
          <w:szCs w:val="21"/>
          <w:color w:val="auto"/>
        </w:rPr>
      </w:pPr>
    </w:p>
    <w:p>
      <w:pPr>
        <w:jc w:val="both"/>
        <w:ind w:firstLine="1304"/>
        <w:spacing w:after="0" w:line="259" w:lineRule="auto"/>
        <w:tabs>
          <w:tab w:leader="none" w:pos="178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Borrower, Holdco or any Subsidiary of Holdco shall fail to make any payment (whether of principal or interest and regardless of amount) in respect of any Indebtedness owed to the Lender that exceeds $25,000, when and as the same shall become due and payable;</w:t>
      </w:r>
    </w:p>
    <w:p>
      <w:pPr>
        <w:spacing w:after="0" w:line="180" w:lineRule="exact"/>
        <w:rPr>
          <w:rFonts w:ascii="Arial" w:cs="Arial" w:eastAsia="Arial" w:hAnsi="Arial"/>
          <w:sz w:val="22"/>
          <w:szCs w:val="22"/>
          <w:color w:val="auto"/>
        </w:rPr>
      </w:pPr>
    </w:p>
    <w:p>
      <w:pPr>
        <w:jc w:val="both"/>
        <w:ind w:firstLine="1304"/>
        <w:spacing w:after="0" w:line="254" w:lineRule="auto"/>
        <w:tabs>
          <w:tab w:leader="none" w:pos="1755"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Indebtedness of the Borrower, Holdco, or any Subsidiary of Holdco owed to the Lender becoming due prior to its scheduled maturity or that enables or permits (with or without the giving of notice, the lapse of time or both) the Lender to cause such Indebtedness to become due, or to require the prepayment, repurchase, redemption or defeasance thereof, prior to its scheduled maturity;</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(i) or (j) of this Article), and at any time thereafter during the continuance of such event, the Lender may, by notice to the Borrower, take either or both of the following actions, at the same or different times: (i) terminate the Commitment, whereupon the Commitment shall terminate immediately, and (ii) declare the Loans then outstanding to be due and payable in whole (or in part, in which case any principal not so declared to be due and payable may thereafter be declared to be due and payable), whereupon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 in the case of any event with respect to the Borrower described in clause (h), (i) or (j) of this Article, the Commitment shall automatically terminate and the principal of the Loans then outstanding, together with accrued interest thereon and all fees and other obligations of the Borrower accrued hereunder, shall automatically become due and payable, in each case without presentment, demand, protest or other notice of any kind, all of which are hereby waived by the Borrower. Upon the occurrence and during the continuance of an Event of Default, the Lender may increase the rate of interest applicable to the Loans and other Obligations as set forth in this Agreement and exercise any rights and remedies provided to the Lender under the Loan Documents or at law or equity.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604" w:right="339" w:bottom="1440" w:gutter="0" w:footer="0" w:header="0"/>
        </w:sectPr>
      </w:pPr>
    </w:p>
    <w:bookmarkStart w:id="100" w:name="page101"/>
    <w:bookmarkEnd w:id="100"/>
    <w:p>
      <w:pPr>
        <w:jc w:val="both"/>
        <w:ind w:firstLine="1304"/>
        <w:spacing w:after="0" w:line="278" w:lineRule="auto"/>
        <w:tabs>
          <w:tab w:leader="none" w:pos="1783" w:val="left"/>
        </w:tabs>
        <w:numPr>
          <w:ilvl w:val="0"/>
          <w:numId w:val="90"/>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159" w:lineRule="exact"/>
        <w:rPr>
          <w:rFonts w:ascii="Arial" w:cs="Arial" w:eastAsia="Arial" w:hAnsi="Arial"/>
          <w:sz w:val="21"/>
          <w:szCs w:val="21"/>
          <w:color w:val="auto"/>
        </w:rPr>
      </w:pPr>
    </w:p>
    <w:p>
      <w:pPr>
        <w:ind w:left="2340" w:hanging="388"/>
        <w:spacing w:after="0"/>
        <w:tabs>
          <w:tab w:leader="none" w:pos="2340" w:val="left"/>
        </w:tabs>
        <w:numPr>
          <w:ilvl w:val="1"/>
          <w:numId w:val="90"/>
        </w:numPr>
        <w:rPr>
          <w:rFonts w:ascii="Arial" w:cs="Arial" w:eastAsia="Arial" w:hAnsi="Arial"/>
          <w:sz w:val="22"/>
          <w:szCs w:val="22"/>
          <w:color w:val="auto"/>
        </w:rPr>
      </w:pPr>
      <w:r>
        <w:rPr>
          <w:rFonts w:ascii="Arial" w:cs="Arial" w:eastAsia="Arial" w:hAnsi="Arial"/>
          <w:sz w:val="22"/>
          <w:szCs w:val="22"/>
          <w:color w:val="auto"/>
        </w:rPr>
        <w:t>if to the Borrower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Water Company</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110 West Taylor St.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No: (408) 279-7934</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Water Company</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110 West Taylor St.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Suzy Papazian, General Counsel</w:t>
      </w:r>
    </w:p>
    <w:p>
      <w:pPr>
        <w:spacing w:after="0" w:line="242" w:lineRule="exact"/>
        <w:rPr>
          <w:sz w:val="20"/>
          <w:szCs w:val="20"/>
          <w:color w:val="auto"/>
        </w:rPr>
      </w:pPr>
    </w:p>
    <w:p>
      <w:pPr>
        <w:ind w:left="2440" w:hanging="488"/>
        <w:spacing w:after="0"/>
        <w:tabs>
          <w:tab w:leader="none" w:pos="24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to JPMorgan Chase Bank, N.A., in the case of Borrowings, repayments or prepayments of Loans,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Corina Ramos, Account Manager, Wholesale Lending Services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 S Dearborn, Floor L2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 312-954-3229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corina.c.ramos@chase.com</w:t>
      </w:r>
    </w:p>
    <w:p>
      <w:pPr>
        <w:spacing w:after="0" w:line="242"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if to JPMorgan Chase Bank, N.A., in the case of all other notices,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 South Dearborn Street, 9th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Justin E. Campbell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 312-732-7489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Justin.e.campbell@jpmorgan.com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8181 Communications Pkwy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Plano, TX 75024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Nancy R. Barwig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 972-324-1721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604" w:right="339" w:bottom="1440" w:gutter="0" w:footer="0" w:header="0"/>
        </w:sectPr>
      </w:pPr>
    </w:p>
    <w:bookmarkStart w:id="101" w:name="page102"/>
    <w:bookmarkEnd w:id="101"/>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nancy.r.barwig@jpmorgan.com</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 given during normal business hours for the recipient, such notice or communication shall be deemed to have been given at the opening of business on the next Business Day of the recipient, or (iii) delivered through electronic communication to the extent provided in paragraph (b) below shall be effective as provided in such paragraph.</w:t>
      </w:r>
    </w:p>
    <w:p>
      <w:pPr>
        <w:spacing w:after="0" w:line="147" w:lineRule="exact"/>
        <w:rPr>
          <w:sz w:val="20"/>
          <w:szCs w:val="20"/>
          <w:color w:val="auto"/>
        </w:rPr>
      </w:pPr>
    </w:p>
    <w:p>
      <w:pPr>
        <w:jc w:val="both"/>
        <w:ind w:firstLine="1304"/>
        <w:spacing w:after="0" w:line="287" w:lineRule="auto"/>
        <w:tabs>
          <w:tab w:leader="none" w:pos="1849"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 hereunder may be delivered or furnished by electronic communications (including e-mail and internet or intranet websites) pursuant to procedures approved by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Article II unless otherwise agreed by the Lender. Each of the Lender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All such notices and other communications (i) sent to an e-mail address shall be deemed received upon the sender’s receipt of an acknowledgment from the intended recipient (such as by the “return receipt requested” function, as available, return e-mail or other written acknowledgment),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62" w:lineRule="exact"/>
        <w:rPr>
          <w:rFonts w:ascii="Arial" w:cs="Arial" w:eastAsia="Arial" w:hAnsi="Arial"/>
          <w:sz w:val="19"/>
          <w:szCs w:val="19"/>
          <w:color w:val="auto"/>
        </w:rPr>
      </w:pPr>
    </w:p>
    <w:p>
      <w:pPr>
        <w:jc w:val="both"/>
        <w:ind w:firstLine="1304"/>
        <w:spacing w:after="0" w:line="278" w:lineRule="auto"/>
        <w:tabs>
          <w:tab w:leader="none" w:pos="1918" w:val="left"/>
        </w:tabs>
        <w:numPr>
          <w:ilvl w:val="0"/>
          <w:numId w:val="92"/>
        </w:numPr>
        <w:rPr>
          <w:rFonts w:ascii="Arial" w:cs="Arial" w:eastAsia="Arial" w:hAnsi="Arial"/>
          <w:sz w:val="21"/>
          <w:szCs w:val="21"/>
          <w:color w:val="auto"/>
        </w:rPr>
      </w:pPr>
      <w:r>
        <w:rPr>
          <w:rFonts w:ascii="Arial" w:cs="Arial" w:eastAsia="Arial" w:hAnsi="Arial"/>
          <w:sz w:val="21"/>
          <w:szCs w:val="21"/>
          <w:color w:val="auto"/>
        </w:rPr>
        <w:t>Any party hereto may change its address, facsimile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8" w:lineRule="auto"/>
        <w:tabs>
          <w:tab w:leader="none" w:pos="1851"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failure or delay by the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604" w:right="3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22"/>
          <w:szCs w:val="22"/>
          <w:color w:val="auto"/>
        </w:rPr>
        <w:t>purpose for which given. Without limiting the generality of the foregoing, the making of a Loan or issuance of a Letter of Credit shall not be construed as a waiver of any Default, regardless of whether the Lender may have had notice or knowledge of such Default at the time.</w:t>
      </w:r>
    </w:p>
    <w:p>
      <w:pPr>
        <w:spacing w:after="0" w:line="185" w:lineRule="exact"/>
        <w:rPr>
          <w:sz w:val="20"/>
          <w:szCs w:val="20"/>
          <w:color w:val="auto"/>
        </w:rPr>
      </w:pPr>
    </w:p>
    <w:p>
      <w:pPr>
        <w:jc w:val="both"/>
        <w:ind w:firstLine="1304"/>
        <w:spacing w:after="0" w:line="254" w:lineRule="auto"/>
        <w:tabs>
          <w:tab w:leader="none" w:pos="17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Neither this Agreement nor any other Loan Document nor any provision hereof or thereof may be waived, amended or modified except (i) in the case of this Agreement, pursuant to an agreement or agreements in writing entered into by the Borrower and the Lender or (ii) in the case of any other Loan Document, pursuant to an agreement or agreements in writing entered into by the Lender and the Borrower.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exact"/>
        <w:tabs>
          <w:tab w:leader="none" w:pos="1716"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Borrower shall pay all (i)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Lender and its Affiliates, including the reasonable fees, charges and disbursements of counsel for the Lender (whether outside counsel or the allocated costs of its internal legal department), in connection with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and documented expenses incurred by the Lender in connection with the issuance, amendment, renewal or extension of any Letter of Credit or any demand for payment thereunder and (iii) out-of-pocket and documented expenses incurred by the Lender, including the fees, charges and disbursements of any counsel for the Lender (whether outside counsel or the allocated costs of its internal legal department),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during any workout, restructuring or negotiations in respect of such Loans or Letters of Credit. The foregoing fees, costs and expenses may be charged to the Borrower as Loans or to another deposit account, all as described in Section 2.16(c).</w:t>
      </w:r>
    </w:p>
    <w:p>
      <w:pPr>
        <w:spacing w:after="0" w:line="202" w:lineRule="exact"/>
        <w:rPr>
          <w:rFonts w:ascii="Arial" w:cs="Arial" w:eastAsia="Arial" w:hAnsi="Arial"/>
          <w:sz w:val="19"/>
          <w:szCs w:val="19"/>
          <w:color w:val="auto"/>
        </w:rPr>
      </w:pPr>
    </w:p>
    <w:p>
      <w:pPr>
        <w:jc w:val="both"/>
        <w:ind w:firstLine="1304"/>
        <w:spacing w:after="0" w:line="287" w:lineRule="auto"/>
        <w:tabs>
          <w:tab w:leader="none" w:pos="1809"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Borrower shall indemnify the Lender, and each Related Party of the Lender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penalties, incremental taxes,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w:t>
      </w:r>
    </w:p>
    <w:p>
      <w:pPr>
        <w:spacing w:after="0" w:line="2" w:lineRule="exact"/>
        <w:rPr>
          <w:rFonts w:ascii="Arial" w:cs="Arial" w:eastAsia="Arial" w:hAnsi="Arial"/>
          <w:sz w:val="19"/>
          <w:szCs w:val="19"/>
          <w:color w:val="auto"/>
        </w:rPr>
      </w:pPr>
    </w:p>
    <w:p>
      <w:pPr>
        <w:jc w:val="both"/>
        <w:ind w:firstLine="8"/>
        <w:spacing w:after="0" w:line="257" w:lineRule="auto"/>
        <w:tabs>
          <w:tab w:leader="none" w:pos="323" w:val="left"/>
        </w:tabs>
        <w:numPr>
          <w:ilvl w:val="0"/>
          <w:numId w:val="96"/>
        </w:numPr>
        <w:rPr>
          <w:rFonts w:ascii="Arial" w:cs="Arial" w:eastAsia="Arial" w:hAnsi="Arial"/>
          <w:sz w:val="21"/>
          <w:szCs w:val="21"/>
          <w:color w:val="auto"/>
        </w:rPr>
      </w:pPr>
      <w:r>
        <w:rPr>
          <w:rFonts w:ascii="Arial" w:cs="Arial" w:eastAsia="Arial" w:hAnsi="Arial"/>
          <w:sz w:val="21"/>
          <w:szCs w:val="21"/>
          <w:color w:val="auto"/>
        </w:rPr>
        <w:t>any Loan or Letter of Credit or the use of the proceeds therefrom (including any refusal by the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 Subsidiary, or any Environmental Liability related in any way to the Borrower or Subsidiary, (iv) the failure of the Borrower to deliver to the Lender the required receipts or other required documentary evidence with respect to a payment made by the Borrower for Taxes pursuant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604" w:right="339" w:bottom="1440" w:gutter="0" w:footer="0" w:header="0"/>
        </w:sectPr>
      </w:pPr>
    </w:p>
    <w:bookmarkStart w:id="103" w:name="page104"/>
    <w:bookmarkEnd w:id="103"/>
    <w:p>
      <w:pPr>
        <w:jc w:val="both"/>
        <w:spacing w:after="0" w:line="294" w:lineRule="auto"/>
        <w:rPr>
          <w:sz w:val="20"/>
          <w:szCs w:val="20"/>
          <w:color w:val="auto"/>
        </w:rPr>
      </w:pPr>
      <w:r>
        <w:rPr>
          <w:rFonts w:ascii="Arial" w:cs="Arial" w:eastAsia="Arial" w:hAnsi="Arial"/>
          <w:sz w:val="19"/>
          <w:szCs w:val="19"/>
          <w:color w:val="auto"/>
        </w:rPr>
        <w:t xml:space="preserve">Section 2.15, 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8.03(b) shall not apply with respect to Taxes other than any Taxes that represent losses, claims or damages arising from any non-Tax claim.</w:t>
      </w:r>
    </w:p>
    <w:p>
      <w:pPr>
        <w:spacing w:after="0" w:line="149" w:lineRule="exact"/>
        <w:rPr>
          <w:sz w:val="20"/>
          <w:szCs w:val="20"/>
          <w:color w:val="auto"/>
        </w:rPr>
      </w:pPr>
    </w:p>
    <w:p>
      <w:pPr>
        <w:jc w:val="both"/>
        <w:ind w:firstLine="1304"/>
        <w:spacing w:after="0" w:line="292" w:lineRule="auto"/>
        <w:tabs>
          <w:tab w:leader="none" w:pos="171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the Borrower shall not assert, and the Borrower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(c) shall relieve the Borrower of any obligation it may have to indemnify an Indemnitee against special, indirect, consequential or punitive damages asserted against such Indemnitee by a third party.</w:t>
      </w:r>
    </w:p>
    <w:p>
      <w:pPr>
        <w:spacing w:after="0" w:line="154" w:lineRule="exact"/>
        <w:rPr>
          <w:rFonts w:ascii="Arial" w:cs="Arial" w:eastAsia="Arial" w:hAnsi="Arial"/>
          <w:sz w:val="19"/>
          <w:szCs w:val="19"/>
          <w:color w:val="auto"/>
        </w:rPr>
      </w:pPr>
    </w:p>
    <w:p>
      <w:pPr>
        <w:ind w:left="1300" w:right="480" w:firstLine="4"/>
        <w:spacing w:after="0" w:line="461" w:lineRule="auto"/>
        <w:tabs>
          <w:tab w:leader="none" w:pos="1732"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All amounts due under this Section shall be payable not later than 30 days after written demand therefor. SECTION 8.04.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jc w:val="both"/>
        <w:ind w:firstLine="1304"/>
        <w:spacing w:after="0" w:line="292" w:lineRule="auto"/>
        <w:tabs>
          <w:tab w:leader="none" w:pos="17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the Lender that issues any Letter of Credit), except that the Borrower may not assign or otherwise transfer any of its rights or obligations hereunder without the prior written consent of the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the Lender that issues any Letter of Credit), Participants (to the extent provided in paragraph (c) of this Section) and, to the extent expressly contemplated hereby, the Related Parties of the Lender) any legal or equitable right, remedy or claim under or by reason of this Agreement.</w:t>
      </w:r>
    </w:p>
    <w:p>
      <w:pPr>
        <w:spacing w:after="0" w:line="154" w:lineRule="exact"/>
        <w:rPr>
          <w:rFonts w:ascii="Arial" w:cs="Arial" w:eastAsia="Arial" w:hAnsi="Arial"/>
          <w:sz w:val="19"/>
          <w:szCs w:val="19"/>
          <w:color w:val="auto"/>
        </w:rPr>
      </w:pPr>
    </w:p>
    <w:p>
      <w:pPr>
        <w:jc w:val="both"/>
        <w:ind w:firstLine="1304"/>
        <w:spacing w:after="0" w:line="297" w:lineRule="auto"/>
        <w:tabs>
          <w:tab w:leader="none" w:pos="178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 The Lender may assign to one or more assignees all or a portion of its rights and obligations under this Agreement (including all or a portion of its Commitment and the Loans at the time owing to it) with the prior written consent (such consent not to be unreasonably withheld)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Lender within five (5) Business Days after having received notice thereof,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consent of the Borrower shall be required for an assignment to an Affiliate of the Lender, an Approved Fund or, if an Event of Default has occurred and is continuing, any other assignee;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604"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2"/>
          <w:szCs w:val="22"/>
          <w:color w:val="auto"/>
        </w:rPr>
        <w:t>For the purposes of this Section 8.04(b),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the Lender, (b) an Affiliate of the Lender or (c) an entity or an Affiliate of an entity that administers or manages the Lender.</w:t>
      </w:r>
    </w:p>
    <w:p>
      <w:pPr>
        <w:spacing w:after="0" w:line="188" w:lineRule="exact"/>
        <w:rPr>
          <w:sz w:val="20"/>
          <w:szCs w:val="20"/>
          <w:color w:val="auto"/>
        </w:rPr>
      </w:pPr>
    </w:p>
    <w:p>
      <w:pPr>
        <w:jc w:val="both"/>
        <w:ind w:firstLine="1304"/>
        <w:spacing w:after="0" w:line="289" w:lineRule="auto"/>
        <w:tabs>
          <w:tab w:leader="none" w:pos="182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Lender may, without the consent of the Borrower,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the Lender’s rights and obligations under this Agreement (including all or a portion of its Commitment and Letters of Credit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The Borrower agrees that each Participant shall be entitled to the benefits of Sections 2.13, 2.14 and 2.15 (subject to the requirements and limitations therein) to the same extent as if it were the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Section 2.13 or 2.15,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To the extent permitted by law, each Participant also shall be entitled to the benefits of Section 8.08 as though it were the Lender. If the Lender shall sell a participation, it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Lender shall have no obligation to disclose all or any portion of the Participant Register (including the identity of any Participant or any information relating to a Participant’s interest in any Commitment,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51" w:lineRule="auto"/>
        <w:tabs>
          <w:tab w:leader="none" w:pos="176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The Lender may at any time pledge or assign a security interest in all or any portion of its rights under this Agreement to secure obligations of the Lender, including without limitation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the Lender from any of its obligations hereunder or substitute any such pledgee or assignee for the Lender as a party 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604" w:right="339" w:bottom="1440" w:gutter="0" w:footer="0" w:header="0"/>
        </w:sectPr>
      </w:pPr>
    </w:p>
    <w:bookmarkStart w:id="105" w:name="page106"/>
    <w:bookmarkEnd w:id="105"/>
    <w:p>
      <w:pPr>
        <w:jc w:val="both"/>
        <w:ind w:firstLine="1296"/>
        <w:spacing w:after="0" w:line="259"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 has not expired or terminated. The provisions of Sections 2.13, 2.14, 2.15 and Section 8.03 shall survive and remain in full force and effect regardless of the consummation of the transactions contemplated hereby, the repayment of the Loans, the expiration or termination of the Letters of Credit and the Commitment or the termination of this Agreement or any other Loan Document or any provision hereof or thereof.</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2" w:lineRule="auto"/>
        <w:tabs>
          <w:tab w:leader="none" w:pos="175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Lender and when the Lender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4" w:lineRule="exact"/>
        <w:rPr>
          <w:rFonts w:ascii="Arial" w:cs="Arial" w:eastAsia="Arial" w:hAnsi="Arial"/>
          <w:sz w:val="19"/>
          <w:szCs w:val="19"/>
          <w:color w:val="auto"/>
        </w:rPr>
      </w:pPr>
    </w:p>
    <w:p>
      <w:pPr>
        <w:jc w:val="both"/>
        <w:ind w:firstLine="1304"/>
        <w:spacing w:after="0" w:line="291" w:lineRule="auto"/>
        <w:tabs>
          <w:tab w:leader="none" w:pos="175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this Agreement by fax,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any Loan Document held to be invalid, illegal or unenforceable in any jurisdiction shall, as to such jurisdiction, be ineffective to the extent of such invalidity, illegality or unenforceability without affecting the validity, legality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604" w:right="339" w:bottom="1440" w:gutter="0" w:footer="0" w:header="0"/>
        </w:sectPr>
      </w:pPr>
    </w:p>
    <w:bookmarkStart w:id="106" w:name="page107"/>
    <w:bookmarkEnd w:id="106"/>
    <w:p>
      <w:pPr>
        <w:jc w:val="both"/>
        <w:ind w:right="20"/>
        <w:spacing w:after="0" w:line="263" w:lineRule="auto"/>
        <w:rPr>
          <w:sz w:val="20"/>
          <w:szCs w:val="20"/>
          <w:color w:val="auto"/>
        </w:rPr>
      </w:pPr>
      <w:r>
        <w:rPr>
          <w:rFonts w:ascii="Arial" w:cs="Arial" w:eastAsia="Arial" w:hAnsi="Arial"/>
          <w:sz w:val="22"/>
          <w:szCs w:val="22"/>
          <w:color w:val="auto"/>
        </w:rPr>
        <w:t>and enforceability of the remaining provisions thereof;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Right of Setoff</w:t>
      </w:r>
      <w:r>
        <w:rPr>
          <w:rFonts w:ascii="Arial" w:cs="Arial" w:eastAsia="Arial" w:hAnsi="Arial"/>
          <w:sz w:val="21"/>
          <w:szCs w:val="21"/>
          <w:color w:val="auto"/>
        </w:rPr>
        <w:t>. If an Event of Default shall have occurred and be continuing, the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the Lender or any Affiliate to or for the credit or the account of the Borrower against any of and all the Obligations, irrespective of whether or not the Lender shall have made any demand under the Loan Documents and although such obligations may be unmatured. The rights of the Lender under this Section are in addition to other rights and remedies (including other rights of setoff) which the Lender may have.</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85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Loan Documents (other than those containing a contrary express choice of law provision) shall be governed by and construed in accordance with the internal laws (and not the law of conflicts) of the State of California, but giving effect to federal laws applicable to national banks.</w:t>
      </w:r>
    </w:p>
    <w:p>
      <w:pPr>
        <w:spacing w:after="0" w:line="180" w:lineRule="exact"/>
        <w:rPr>
          <w:rFonts w:ascii="Arial" w:cs="Arial" w:eastAsia="Arial" w:hAnsi="Arial"/>
          <w:sz w:val="22"/>
          <w:szCs w:val="22"/>
          <w:color w:val="auto"/>
        </w:rPr>
      </w:pPr>
    </w:p>
    <w:p>
      <w:pPr>
        <w:jc w:val="both"/>
        <w:ind w:firstLine="1304"/>
        <w:spacing w:after="0" w:line="291" w:lineRule="auto"/>
        <w:tabs>
          <w:tab w:leader="none" w:pos="174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Borrower hereby irrevocably and unconditionally submits, for itself and its property, to the nonexclusive jurisdiction of any U.S. federal or California State court sitting in the State of California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Lender may otherwise have to bring any action or proceeding relating to this Agreement or any other Loan Document against the Borrower or its properties in the courts of any jurisdiction.</w:t>
      </w:r>
    </w:p>
    <w:p>
      <w:pPr>
        <w:spacing w:after="0" w:line="153" w:lineRule="exact"/>
        <w:rPr>
          <w:rFonts w:ascii="Arial" w:cs="Arial" w:eastAsia="Arial" w:hAnsi="Arial"/>
          <w:sz w:val="19"/>
          <w:szCs w:val="19"/>
          <w:color w:val="auto"/>
        </w:rPr>
      </w:pPr>
    </w:p>
    <w:p>
      <w:pPr>
        <w:jc w:val="both"/>
        <w:ind w:firstLine="1304"/>
        <w:spacing w:after="0" w:line="251" w:lineRule="auto"/>
        <w:tabs>
          <w:tab w:leader="none" w:pos="189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8.01.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ind w:firstLine="1296"/>
        <w:spacing w:after="0" w:line="276"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604" w:right="33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21"/>
          <w:szCs w:val="21"/>
          <w:color w:val="auto"/>
        </w:rPr>
        <w:t>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firstLine="8"/>
        <w:spacing w:after="0" w:line="269" w:lineRule="auto"/>
        <w:tabs>
          <w:tab w:leader="none" w:pos="34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AGREEMENT BY, AMONG OTHER THINGS, THE MUTUAL WAIVERS AND CERTIFICATIONS IN THIS SECTION.</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THE EVENT ANY LEGAL PROCEEDING IS FILED IN A COURT OF THE STATE OF CALIFORNIA (THE “</w:t>
      </w:r>
      <w:r>
        <w:rPr>
          <w:rFonts w:ascii="Arial" w:cs="Arial" w:eastAsia="Arial" w:hAnsi="Arial"/>
          <w:sz w:val="22"/>
          <w:szCs w:val="22"/>
          <w:u w:val="single" w:color="auto"/>
          <w:color w:val="auto"/>
        </w:rPr>
        <w:t>COURT</w:t>
      </w:r>
      <w:r>
        <w:rPr>
          <w:rFonts w:ascii="Arial" w:cs="Arial" w:eastAsia="Arial" w:hAnsi="Arial"/>
          <w:sz w:val="22"/>
          <w:szCs w:val="22"/>
          <w:color w:val="auto"/>
        </w:rPr>
        <w:t>”) BY OR AGAINST THE BORROWER OR THE LENDER IN CONNECTION WITH ANY CONTROVERSY, DISPUTE OR CLAIM DIRECTLY OR INDIRECTLY ARISING OUT OF OR RELATING TO THIS DOCUMENT OR THE TRANSACTIONS CONTEMPLATED HEREBY (WHETHER BASED ON CONTRACT, TORT OR ANY OTHER THEORY) (EACH, A “</w:t>
      </w:r>
      <w:r>
        <w:rPr>
          <w:rFonts w:ascii="Arial" w:cs="Arial" w:eastAsia="Arial" w:hAnsi="Arial"/>
          <w:sz w:val="22"/>
          <w:szCs w:val="22"/>
          <w:u w:val="single" w:color="auto"/>
          <w:color w:val="auto"/>
        </w:rPr>
        <w:t>CLAIM</w:t>
      </w:r>
      <w:r>
        <w:rPr>
          <w:rFonts w:ascii="Arial" w:cs="Arial" w:eastAsia="Arial" w:hAnsi="Arial"/>
          <w:sz w:val="22"/>
          <w:szCs w:val="22"/>
          <w:color w:val="auto"/>
        </w:rPr>
        <w:t>”) AND THE WAIVER SET FORTH IN THE PRECEDING PARAGRAPH IS NOT ENFORCEABLE IN SUCH ACTION OR PROCEEDING, THE BORROWER AND THE LENDERS (BY ITS ACCEPTANCE HEREOF) AGREE AS FOLLOWS:</w:t>
      </w:r>
    </w:p>
    <w:p>
      <w:pPr>
        <w:spacing w:after="0" w:line="196" w:lineRule="exact"/>
        <w:rPr>
          <w:sz w:val="20"/>
          <w:szCs w:val="20"/>
          <w:color w:val="auto"/>
        </w:rPr>
      </w:pPr>
    </w:p>
    <w:p>
      <w:pPr>
        <w:jc w:val="both"/>
        <w:ind w:firstLine="656"/>
        <w:spacing w:after="0" w:line="247" w:lineRule="auto"/>
        <w:tabs>
          <w:tab w:leader="none" w:pos="113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WITH THE EXCEPTION OF THE MATTERS SPECIFIED IN PARAGRAPH (2) BELOW, ANY CLAIM WILL BE DETERMINED BY A GENERAL REFERENCE PROCEEDING IN ACCORDANCE WITH THE PROVISIONS OF CALIFORNIA CODE OF CIVIL PROCEDURE SECTIONS 638 THROUGH 645.2, INCLUDING ANY REVISION OR REPLACEMENT OF SUCH STATUTES OR RULES HEREAFTER ENACTED. THE BORROWER AND THE LENDERS INTEND THIS GENERAL REFERENCE AGREEMENT TO BE SPECIFICALLY ENFORCEABLE IN ACCORDANCE WITH CALIFORNIA CODE OF CIVIL PROCEDURE SECTION 638, INCLUDING ANY REVISION OR REPLACEMENT OF SUCH STATUTE OR RULE HEREAFTER ENACTED. EXCEPT AS OTHERWISE PROVIDED IN THIS AND THE OTHER RELATED DOCUMENTS, VENUE FOR THE REFERENCE PROCEEDING WILL BE IN THE STATE OR FEDERAL COURT IN THE COUNTY OR DISTRICT WHERE VENUE IS OTHERWISE APPROPRIATE UNDER APPLICABLE LAW.</w:t>
      </w:r>
    </w:p>
    <w:p>
      <w:pPr>
        <w:spacing w:after="0" w:line="191" w:lineRule="exact"/>
        <w:rPr>
          <w:rFonts w:ascii="Arial" w:cs="Arial" w:eastAsia="Arial" w:hAnsi="Arial"/>
          <w:sz w:val="22"/>
          <w:szCs w:val="22"/>
          <w:color w:val="auto"/>
        </w:rPr>
      </w:pPr>
    </w:p>
    <w:p>
      <w:pPr>
        <w:jc w:val="both"/>
        <w:ind w:firstLine="656"/>
        <w:spacing w:after="0" w:line="248" w:lineRule="auto"/>
        <w:tabs>
          <w:tab w:leader="none" w:pos="109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THIS DOCUMENT DOES NOT LIMIT THE RIGHT OF THE BORROWER OR THE LENDER TO EXERCISE OR OPPOSE ANY OF THE RIGHTS AND REMEDIES DESCRIBED IN CLAUSES (A) - (D) AND ANY SUCH EXERCISE OR OPPOSITION DOES NOT WAIVE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604"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RIGHT OF THE BORROWER OR THE LENDER TO A REFERENCE PROCEEDING PURSUANT TO THIS DOCUMENT.</w:t>
      </w:r>
    </w:p>
    <w:p>
      <w:pPr>
        <w:spacing w:after="0" w:line="254" w:lineRule="exact"/>
        <w:rPr>
          <w:sz w:val="20"/>
          <w:szCs w:val="20"/>
          <w:color w:val="auto"/>
        </w:rPr>
      </w:pPr>
    </w:p>
    <w:p>
      <w:pPr>
        <w:jc w:val="both"/>
        <w:ind w:firstLine="656"/>
        <w:spacing w:after="0" w:line="249" w:lineRule="auto"/>
        <w:tabs>
          <w:tab w:leader="none" w:pos="117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UPON THE WRITTEN REQUEST OF THE BORROWER OR THE LENDER, THE BORROWER AND THE LENDER SHALL SELECT A SINGLE REFEREE, WHO SHALL BE A RETIRED JUDGE OR JUSTICE. IF THE BORROWER AND THE LENDER DO NOT AGREE UPON A REFEREE WITHIN TEN DAYS OF SUCH WRITTEN REQUEST THEN THE BORROWER OR THE LENDER MAY REQUEST THE COURT TO APPOINT A REFEREE PURSUANT TO CALIFORNIA CODE OF CIVIL PROCEDURE SECTION 640(B), INCLUDING ANY REVISION OR REPLACEMENT OF SUCH STATUTE OR RULE HEREAFTER ENACTED.</w:t>
      </w:r>
    </w:p>
    <w:p>
      <w:pPr>
        <w:spacing w:after="0" w:line="193" w:lineRule="exact"/>
        <w:rPr>
          <w:rFonts w:ascii="Arial" w:cs="Arial" w:eastAsia="Arial" w:hAnsi="Arial"/>
          <w:sz w:val="22"/>
          <w:szCs w:val="22"/>
          <w:color w:val="auto"/>
        </w:rPr>
      </w:pPr>
    </w:p>
    <w:p>
      <w:pPr>
        <w:jc w:val="both"/>
        <w:ind w:firstLine="656"/>
        <w:spacing w:after="0" w:line="248" w:lineRule="auto"/>
        <w:tabs>
          <w:tab w:leader="none" w:pos="125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PROCEEDINGS AND HEARINGS CONDUCTED BEFORE THE REFEREE, EXCEPT FOR TRIAL, SHALL BE CONDUCTED WITHOUT A COURT REPORTER, EXCEPT WHEN THE BORROWER OR THE LENDER SO REQUESTS, A COURT REPORTER WILL BE USED AND THE REFEREE WILL BE PROVIDED A COURTESY COPY OF THE TRANSCRIPT. THE PARTY MAKING SUCH REQUEST SHALL HAVE THE OBLIGATION TO ARRANGE FOR AND PAY COSTS OF THE COURT REPORTER, PROVIDED THAT SUCH COSTS, ALONG WITH THE REFEREE’S FEES, SHALL ULTIMATELY BE BORNE BY THE PARTY WHO DOES NOT PREVAIL, AS DETERMINED BY THE REFEREE.</w:t>
      </w:r>
    </w:p>
    <w:p>
      <w:pPr>
        <w:spacing w:after="0" w:line="195" w:lineRule="exact"/>
        <w:rPr>
          <w:rFonts w:ascii="Arial" w:cs="Arial" w:eastAsia="Arial" w:hAnsi="Arial"/>
          <w:sz w:val="22"/>
          <w:szCs w:val="22"/>
          <w:color w:val="auto"/>
        </w:rPr>
      </w:pPr>
    </w:p>
    <w:p>
      <w:pPr>
        <w:jc w:val="both"/>
        <w:ind w:firstLine="656"/>
        <w:spacing w:after="0" w:line="260" w:lineRule="auto"/>
        <w:tabs>
          <w:tab w:leader="none" w:pos="116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REFEREE MAY REQUIRE ONE OR MORE PREHEARING CONFERENCES. THE BORROWER AND THE LENDER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 WHICH REPORT SHALL ALSO INCLUDE FINDINGS OF FACT AND CONCLUSIONS OF LAW.</w:t>
      </w:r>
    </w:p>
    <w:p>
      <w:pPr>
        <w:spacing w:after="0" w:line="178" w:lineRule="exact"/>
        <w:rPr>
          <w:rFonts w:ascii="Arial" w:cs="Arial" w:eastAsia="Arial" w:hAnsi="Arial"/>
          <w:sz w:val="21"/>
          <w:szCs w:val="21"/>
          <w:color w:val="auto"/>
        </w:rPr>
      </w:pPr>
    </w:p>
    <w:p>
      <w:pPr>
        <w:jc w:val="both"/>
        <w:ind w:firstLine="656"/>
        <w:spacing w:after="0" w:line="259" w:lineRule="auto"/>
        <w:tabs>
          <w:tab w:leader="none" w:pos="116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BORROWER AND THE LENDER RECOGNIZE AND AGREE THAT ALL CLAIMS RESOLVED IN A GENERAL REFERENCE PROCEEDING PURSUANT HERETO WILL BE DECIDED BY A REFEREE AND NOT BY A JURY.</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604" w:right="339" w:bottom="1440" w:gutter="0" w:footer="0" w:header="0"/>
        </w:sectPr>
      </w:pPr>
    </w:p>
    <w:bookmarkStart w:id="109" w:name="page110"/>
    <w:bookmarkEnd w:id="109"/>
    <w:p>
      <w:pPr>
        <w:jc w:val="both"/>
        <w:ind w:firstLine="1296"/>
        <w:spacing w:after="0" w:line="285"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(g) with the consent of the Borrower or (h) to the extent such Information (x) becomes publicly available other than as a result of a breach of this Section or (y) becomes available to the Lender on a non-confidential basis from a source other than the Borrower.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 relating to the Borrower or its business, other than any such information that is available to the Lender on a non-confidential basis prior to disclosure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Nonreliance; Violation of Law</w:t>
      </w:r>
      <w:r>
        <w:rPr>
          <w:rFonts w:ascii="Arial" w:cs="Arial" w:eastAsia="Arial" w:hAnsi="Arial"/>
          <w:sz w:val="22"/>
          <w:szCs w:val="22"/>
          <w:color w:val="auto"/>
        </w:rPr>
        <w:t>. The Lender hereby represents that it is not relying on or looking to any margin stock (as defined in Regulation U of the Board) for the repayment of the Borrowings provided for herein. Anything contained in this Agreement to the contrary notwithstanding, the Lender shall not be obligated to extend credit to the Borrower in violation of any Requirement of Law.</w:t>
      </w:r>
    </w:p>
    <w:p>
      <w:pPr>
        <w:spacing w:after="0" w:line="185"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8.14. </w:t>
      </w:r>
      <w:r>
        <w:rPr>
          <w:rFonts w:ascii="Arial" w:cs="Arial" w:eastAsia="Arial" w:hAnsi="Arial"/>
          <w:sz w:val="19"/>
          <w:szCs w:val="19"/>
          <w:u w:val="single" w:color="auto"/>
          <w:color w:val="auto"/>
        </w:rPr>
        <w:t>USA PATRIOT Act</w:t>
      </w:r>
      <w:r>
        <w:rPr>
          <w:rFonts w:ascii="Arial" w:cs="Arial" w:eastAsia="Arial" w:hAnsi="Arial"/>
          <w:sz w:val="19"/>
          <w:szCs w:val="19"/>
          <w:color w:val="auto"/>
        </w:rPr>
        <w:t>. The Lender is subject to the requirements of the USA PATRIOT Act and hereby notifies the Borrower that pursuant to the requirements of the USA PATRIOT Act, it is required to obtain, verify and record information that identifies the Borrower, which information includes the name and address of the Borrower and other information that will allow the Lender to identify the Borrower in accordance with the USA PATRIOT Act.</w:t>
      </w:r>
    </w:p>
    <w:p>
      <w:pPr>
        <w:spacing w:after="0" w:line="138"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 xml:space="preserve">SECTION 8.15. </w:t>
      </w:r>
      <w:r>
        <w:rPr>
          <w:rFonts w:ascii="Arial" w:cs="Arial" w:eastAsia="Arial" w:hAnsi="Arial"/>
          <w:sz w:val="19"/>
          <w:szCs w:val="19"/>
          <w:u w:val="single" w:color="auto"/>
          <w:color w:val="auto"/>
        </w:rPr>
        <w:t>Disclosure</w:t>
      </w:r>
      <w:r>
        <w:rPr>
          <w:rFonts w:ascii="Arial" w:cs="Arial" w:eastAsia="Arial" w:hAnsi="Arial"/>
          <w:sz w:val="19"/>
          <w:szCs w:val="19"/>
          <w:color w:val="auto"/>
        </w:rPr>
        <w:t>. The Borrower hereby acknowledges and agrees that the Lender and/or its Affiliates from time to time may hold investments in, make other loans to or have other relationships with, the Borrower and its Affiliates.</w:t>
      </w:r>
    </w:p>
    <w:p>
      <w:pPr>
        <w:spacing w:after="0" w:line="91"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8.16. </w:t>
      </w:r>
      <w:r>
        <w:rPr>
          <w:rFonts w:ascii="Arial" w:cs="Arial" w:eastAsia="Arial" w:hAnsi="Arial"/>
          <w:sz w:val="22"/>
          <w:szCs w:val="22"/>
          <w:u w:val="single" w:color="auto"/>
          <w:color w:val="auto"/>
        </w:rPr>
        <w:t>Interest Rate Limitation</w:t>
      </w:r>
      <w:r>
        <w:rPr>
          <w:rFonts w:ascii="Arial" w:cs="Arial" w:eastAsia="Arial" w:hAnsi="Arial"/>
          <w:sz w:val="22"/>
          <w:szCs w:val="22"/>
          <w:color w:val="auto"/>
        </w:rPr>
        <w:t>. Notwithstanding anything herein to the contrary, if at any time the interest rate applicable to any Loan, together with all fees, charges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604" w:right="339" w:bottom="1440" w:gutter="0" w:footer="0" w:header="0"/>
        </w:sectPr>
      </w:pPr>
    </w:p>
    <w:bookmarkStart w:id="110" w:name="page111"/>
    <w:bookmarkEnd w:id="110"/>
    <w:p>
      <w:pPr>
        <w:jc w:val="both"/>
        <w:spacing w:after="0" w:line="290" w:lineRule="auto"/>
        <w:rPr>
          <w:sz w:val="20"/>
          <w:szCs w:val="20"/>
          <w:color w:val="auto"/>
        </w:rPr>
      </w:pPr>
      <w:r>
        <w:rPr>
          <w:rFonts w:ascii="Arial" w:cs="Arial" w:eastAsia="Arial" w:hAnsi="Arial"/>
          <w:sz w:val="19"/>
          <w:szCs w:val="19"/>
          <w:color w:val="auto"/>
        </w:rPr>
        <w:t>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the Lender in respect of other Loans or periods shall be increased (but not above the Maximum Rate therefor) until such cumulated amount, together with interest thereon at the Federal Funds Effective Rate to the date of repayment, shall have been received by the Lender.</w:t>
      </w:r>
    </w:p>
    <w:p>
      <w:pPr>
        <w:spacing w:after="0" w:line="15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 are arm’s-length commercial transactions between the Borrower and its Affiliates, on the one hand, and the Lender and its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Lender and each of its Affiliates is and has been acting solely as a principal and, except as expressly agreed in writing by the relevant parties, has not been, is not, and will not be acting as an advisor, agent or fiduciary for the Borrower or any of its Affiliates, or any other Person and (B) neither the Lender nor any of its Affiliates has any obligation to the Borrower or any of its Affiliates with respect to the transactions contemplated hereby except, in the case of the Lender, those obligations expressly set forth herein and in the other Loan Documents; and (iii) the Lender and its Affiliates may be engaged in a broad range of transactions that involve interests that differ from those of the Borrower and its Affiliates, and neither the Lender nor any of its Affiliates has any obligation to disclose any of such interests to the Borrower or its Affiliates. To the fullest extent permitted by law, the Borrower hereby waives and releases any claims that it may have against the Lender and its Affiliates with respect to any breach or alleged breach of agency or fiduciary duty in connection with any aspect of any transaction contemplated hereby.</w:t>
      </w:r>
    </w:p>
    <w:p>
      <w:pPr>
        <w:spacing w:after="0" w:line="168"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SECTION 8.18. </w:t>
      </w:r>
      <w:r>
        <w:rPr>
          <w:rFonts w:ascii="Arial" w:cs="Arial" w:eastAsia="Arial" w:hAnsi="Arial"/>
          <w:sz w:val="19"/>
          <w:szCs w:val="19"/>
          <w:u w:val="single" w:color="auto"/>
          <w:color w:val="auto"/>
        </w:rPr>
        <w:t>Acknowledgment Regarding Any Supported QFCs</w:t>
      </w:r>
      <w:r>
        <w:rPr>
          <w:rFonts w:ascii="Arial" w:cs="Arial" w:eastAsia="Arial" w:hAnsi="Arial"/>
          <w:sz w:val="19"/>
          <w:szCs w:val="19"/>
          <w:color w:val="auto"/>
        </w:rPr>
        <w:t>. To the extent that the Loan Documents provide support, through a guarantee or otherwise, for Swap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604" w:right="339" w:bottom="1440" w:gutter="0" w:footer="0" w:header="0"/>
        </w:sectPr>
      </w:pPr>
    </w:p>
    <w:bookmarkStart w:id="111" w:name="page112"/>
    <w:bookmarkEnd w:id="111"/>
    <w:p>
      <w:pPr>
        <w:jc w:val="both"/>
        <w:ind w:left="500" w:firstLine="1296"/>
        <w:spacing w:after="0" w:line="283"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i w:val="1"/>
          <w:iCs w:val="1"/>
          <w:color w:val="auto"/>
        </w:rPr>
        <w:t>C</w:t>
      </w:r>
      <w:r>
        <w:rPr>
          <w:rFonts w:ascii="Arial" w:cs="Arial" w:eastAsia="Arial" w:hAnsi="Arial"/>
          <w:sz w:val="19"/>
          <w:szCs w:val="19"/>
          <w:u w:val="single" w:color="auto"/>
          <w:color w:val="auto"/>
        </w:rPr>
        <w:t>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3"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120"/>
          </w:cols>
          <w:pgMar w:left="1440" w:top="604" w:right="339" w:bottom="1440" w:gutter="0" w:footer="0" w:header="0"/>
        </w:sectPr>
      </w:pPr>
    </w:p>
    <w:bookmarkStart w:id="112" w:name="page113"/>
    <w:bookmarkEnd w:id="11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SAN JOSE WATER COMPANY</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54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James P. Lynch</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Nancy R. Barwig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668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Nancy R. Barwig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San Jose Water Company Credit Agreement</w:t>
      </w:r>
    </w:p>
    <w:p>
      <w:pPr>
        <w:sectPr>
          <w:pgSz w:w="11900" w:h="16838" w:orient="portrait"/>
          <w:cols w:equalWidth="0" w:num="1">
            <w:col w:w="11240"/>
          </w:cols>
          <w:pgMar w:left="320" w:top="60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u w:val="single" w:color="auto"/>
          <w:color w:val="auto"/>
        </w:rPr>
        <w:t>SECOND AMENDMENT TO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SECOND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May 11,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entered into by and between SAN JOSE WATER COMPANY, a California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JPMORGAN CHASE BANK, N.A., as lender (in such capacity, the “</w:t>
      </w:r>
      <w:r>
        <w:rPr>
          <w:rFonts w:ascii="Arial" w:cs="Arial" w:eastAsia="Arial" w:hAnsi="Arial"/>
          <w:sz w:val="22"/>
          <w:szCs w:val="22"/>
          <w:u w:val="single" w:color="auto"/>
          <w:color w:val="auto"/>
        </w:rPr>
        <w:t>Lender</w:t>
      </w:r>
      <w:r>
        <w:rPr>
          <w:rFonts w:ascii="Arial" w:cs="Arial" w:eastAsia="Arial" w:hAnsi="Arial"/>
          <w:sz w:val="22"/>
          <w:szCs w:val="22"/>
          <w:color w:val="auto"/>
        </w:rPr>
        <w:t>”). Unless otherwise specified herein, capitalized terms used in this Amendment shall have the meanings ascribed to them in the Credit Agreement (as hereinafter defined) as amended hereby.</w:t>
      </w:r>
    </w:p>
    <w:p>
      <w:pPr>
        <w:spacing w:after="0" w:line="165" w:lineRule="exact"/>
        <w:rPr>
          <w:sz w:val="20"/>
          <w:szCs w:val="20"/>
          <w:color w:val="auto"/>
        </w:rPr>
      </w:pPr>
    </w:p>
    <w:p>
      <w:pPr>
        <w:jc w:val="both"/>
        <w:ind w:firstLine="656"/>
        <w:spacing w:after="0" w:line="268" w:lineRule="auto"/>
        <w:tabs>
          <w:tab w:leader="none" w:pos="150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WHEREAS, the Borrower and the Lender are parties to that certain Credit Agreement, dated as of June 1, 2016 (as amended by that certain First Amendment to Credit Agreement, dated as of January 12, 2018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and as further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left="1040" w:hanging="384"/>
        <w:spacing w:after="0"/>
        <w:tabs>
          <w:tab w:leader="none" w:pos="10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WHEREAS, the Borrower has requested amendments to the Credit Agreement as set forth herein; and</w:t>
      </w:r>
    </w:p>
    <w:p>
      <w:pPr>
        <w:spacing w:after="0" w:line="233" w:lineRule="exact"/>
        <w:rPr>
          <w:rFonts w:ascii="Arial" w:cs="Arial" w:eastAsia="Arial" w:hAnsi="Arial"/>
          <w:sz w:val="22"/>
          <w:szCs w:val="22"/>
          <w:color w:val="auto"/>
        </w:rPr>
      </w:pPr>
    </w:p>
    <w:p>
      <w:pPr>
        <w:ind w:firstLine="656"/>
        <w:spacing w:after="0" w:line="276"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WHEREAS, subject to the terms and conditions set forth herein, the Lender has agreed to amend the Credit Agreement as set forth herein.</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NOW, THEREFORE, for and in consideration of the premises and mutual agreements herein contained and for the purposes of setting forth the terms and conditions of this Amendment and for other valuable consideration, the receipt and sufficiency of which are hereby acknowledged, the parties hereto, intending to be bound, hereby agree as follows:</w:t>
      </w:r>
    </w:p>
    <w:p>
      <w:pPr>
        <w:spacing w:after="0" w:line="133" w:lineRule="exact"/>
        <w:rPr>
          <w:sz w:val="20"/>
          <w:szCs w:val="20"/>
          <w:color w:val="auto"/>
        </w:rPr>
      </w:pPr>
    </w:p>
    <w:p>
      <w:pPr>
        <w:jc w:val="both"/>
        <w:ind w:firstLine="656"/>
        <w:spacing w:after="0" w:line="248" w:lineRule="auto"/>
        <w:tabs>
          <w:tab w:leader="none" w:pos="103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xml:space="preserve">. Effective as of the Effective Date but subject to the satisfaction of the conditions precedent set forth in Section 2 below, each of the Credit Agreement (but excluding all Schedules, which shall remain in the original form delivered), Exhibit A and Exhibit B are hereby amended as set forth in the marked terms on Exhibit A-1 attached hereto. In Exhibit A-1 hereto, deletions of text in each of the Credit Agreement, Exhibit A and Exhibit B as amended hereby are indicated by </w:t>
      </w:r>
      <w:r>
        <w:rPr>
          <w:rFonts w:ascii="Arial" w:cs="Arial" w:eastAsia="Arial" w:hAnsi="Arial"/>
          <w:sz w:val="22"/>
          <w:szCs w:val="22"/>
          <w:color w:val="auto"/>
          <w:strike w:val="1"/>
        </w:rPr>
        <w:t>struck-through text</w:t>
      </w:r>
      <w:r>
        <w:rPr>
          <w:rFonts w:ascii="Arial" w:cs="Arial" w:eastAsia="Arial" w:hAnsi="Arial"/>
          <w:sz w:val="22"/>
          <w:szCs w:val="22"/>
          <w:color w:val="auto"/>
        </w:rPr>
        <w:t xml:space="preserve">, and insertions of text are indicated by </w:t>
      </w:r>
      <w:r>
        <w:rPr>
          <w:rFonts w:ascii="Arial" w:cs="Arial" w:eastAsia="Arial" w:hAnsi="Arial"/>
          <w:sz w:val="22"/>
          <w:szCs w:val="22"/>
          <w:b w:val="1"/>
          <w:bCs w:val="1"/>
          <w:u w:val="single" w:color="auto"/>
          <w:color w:val="auto"/>
        </w:rPr>
        <w:t>bold, double-underlined text</w:t>
      </w:r>
      <w:r>
        <w:rPr>
          <w:rFonts w:ascii="Arial" w:cs="Arial" w:eastAsia="Arial" w:hAnsi="Arial"/>
          <w:sz w:val="22"/>
          <w:szCs w:val="22"/>
          <w:color w:val="auto"/>
        </w:rPr>
        <w:t>. Exhibit A-2 attached hereto sets forth a clean copy of each of the Credit Agreement, Exhibit A and Exhibit B as amended hereby, after giving effect to such amendments set forth herein.</w:t>
      </w:r>
    </w:p>
    <w:p>
      <w:pPr>
        <w:spacing w:after="0" w:line="195" w:lineRule="exact"/>
        <w:rPr>
          <w:rFonts w:ascii="Arial" w:cs="Arial" w:eastAsia="Arial" w:hAnsi="Arial"/>
          <w:sz w:val="22"/>
          <w:szCs w:val="22"/>
          <w:color w:val="auto"/>
        </w:rPr>
      </w:pPr>
    </w:p>
    <w:p>
      <w:pPr>
        <w:ind w:firstLine="656"/>
        <w:spacing w:after="0" w:line="301" w:lineRule="auto"/>
        <w:tabs>
          <w:tab w:leader="none" w:pos="1152"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Conditions Precedent to Effectiveness</w:t>
      </w:r>
      <w:r>
        <w:rPr>
          <w:rFonts w:ascii="Arial" w:cs="Arial" w:eastAsia="Arial" w:hAnsi="Arial"/>
          <w:sz w:val="21"/>
          <w:szCs w:val="21"/>
          <w:color w:val="auto"/>
        </w:rPr>
        <w:t>. This Amendment shall become effective as of the Effective Date upon satisfaction of the following conditions (in each case, in form and substance reasonably acceptable to the Lender):</w:t>
      </w:r>
    </w:p>
    <w:p>
      <w:pPr>
        <w:spacing w:after="0" w:line="136" w:lineRule="exact"/>
        <w:rPr>
          <w:rFonts w:ascii="Arial" w:cs="Arial" w:eastAsia="Arial" w:hAnsi="Arial"/>
          <w:sz w:val="21"/>
          <w:szCs w:val="21"/>
          <w:color w:val="auto"/>
        </w:rPr>
      </w:pPr>
    </w:p>
    <w:p>
      <w:pPr>
        <w:ind w:left="1720" w:hanging="416"/>
        <w:spacing w:after="0"/>
        <w:tabs>
          <w:tab w:leader="none" w:pos="172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Lender shall have received a copy of this Amendment duly executed by each of the parties hereto.</w:t>
      </w:r>
    </w:p>
    <w:p>
      <w:pPr>
        <w:spacing w:after="0" w:line="308" w:lineRule="exact"/>
        <w:rPr>
          <w:rFonts w:ascii="Arial" w:cs="Arial" w:eastAsia="Arial" w:hAnsi="Arial"/>
          <w:sz w:val="19"/>
          <w:szCs w:val="19"/>
          <w:color w:val="auto"/>
        </w:rPr>
      </w:pPr>
    </w:p>
    <w:p>
      <w:pPr>
        <w:jc w:val="both"/>
        <w:ind w:left="660" w:firstLine="644"/>
        <w:spacing w:after="0" w:line="259" w:lineRule="auto"/>
        <w:tabs>
          <w:tab w:leader="none" w:pos="17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Borrower shall have delivered to the Lender a Beneficial Ownership Certification in relation to it (or a certification or written confirmation that the Borrower qualifies for an express exclusion from the “legal entity customer” definition under the</w:t>
      </w:r>
    </w:p>
    <w:p>
      <w:pPr>
        <w:sectPr>
          <w:pgSz w:w="11900" w:h="16838" w:orient="portrait"/>
          <w:cols w:equalWidth="0" w:num="1">
            <w:col w:w="11240"/>
          </w:cols>
          <w:pgMar w:left="320" w:top="598"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Beneficial Ownership Regulations), in each case at least three (3) Business Days prior to the date hereof.</w:t>
      </w:r>
    </w:p>
    <w:p>
      <w:pPr>
        <w:spacing w:after="0" w:line="260" w:lineRule="exact"/>
        <w:rPr>
          <w:sz w:val="20"/>
          <w:szCs w:val="20"/>
          <w:color w:val="auto"/>
        </w:rPr>
      </w:pPr>
    </w:p>
    <w:p>
      <w:pPr>
        <w:jc w:val="both"/>
        <w:ind w:left="660" w:firstLine="644"/>
        <w:spacing w:after="0" w:line="319" w:lineRule="auto"/>
        <w:tabs>
          <w:tab w:leader="none" w:pos="1755" w:val="left"/>
        </w:tabs>
        <w:numPr>
          <w:ilvl w:val="2"/>
          <w:numId w:val="108"/>
        </w:numPr>
        <w:rPr>
          <w:rFonts w:ascii="Arial" w:cs="Arial" w:eastAsia="Arial" w:hAnsi="Arial"/>
          <w:sz w:val="19"/>
          <w:szCs w:val="19"/>
          <w:color w:val="auto"/>
        </w:rPr>
      </w:pPr>
      <w:r>
        <w:rPr>
          <w:rFonts w:ascii="Arial" w:cs="Arial" w:eastAsia="Arial" w:hAnsi="Arial"/>
          <w:sz w:val="19"/>
          <w:szCs w:val="19"/>
          <w:color w:val="auto"/>
        </w:rPr>
        <w:t>The Lender shall have received such documents and certificates as the Lender or its counsel may reasonably request relating to the organization, existence and good standing of the Borrower, and the authorization of the transactions contemplated hereby, all in form and substance reasonably satisfactory to the Lender and its counsel.</w:t>
      </w:r>
    </w:p>
    <w:p>
      <w:pPr>
        <w:spacing w:after="0" w:line="168" w:lineRule="exact"/>
        <w:rPr>
          <w:rFonts w:ascii="Arial" w:cs="Arial" w:eastAsia="Arial" w:hAnsi="Arial"/>
          <w:sz w:val="19"/>
          <w:szCs w:val="19"/>
          <w:color w:val="auto"/>
        </w:rPr>
      </w:pPr>
    </w:p>
    <w:p>
      <w:pPr>
        <w:jc w:val="both"/>
        <w:ind w:firstLine="656"/>
        <w:spacing w:after="0" w:line="319" w:lineRule="auto"/>
        <w:tabs>
          <w:tab w:leader="none" w:pos="1044"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The Borrower agrees to pay on demand all reasonable and documented out-of-pocket costs and expenses of the Lender in connection with this Amendment, including, but not limited to, reasonable legal fees and expenses in connection with the preparation, negotiation, execution, closing, delivery and administration of this Amendment.</w:t>
      </w:r>
    </w:p>
    <w:p>
      <w:pPr>
        <w:spacing w:after="0" w:line="168" w:lineRule="exact"/>
        <w:rPr>
          <w:rFonts w:ascii="Arial" w:cs="Arial" w:eastAsia="Arial" w:hAnsi="Arial"/>
          <w:sz w:val="19"/>
          <w:szCs w:val="19"/>
          <w:color w:val="auto"/>
        </w:rPr>
      </w:pPr>
    </w:p>
    <w:p>
      <w:pPr>
        <w:ind w:left="1060" w:hanging="404"/>
        <w:spacing w:after="0"/>
        <w:tabs>
          <w:tab w:leader="none" w:pos="1060"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Borrower hereby represents and warrants to the Lender after giving effect to this Amendment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that: (a) it has all necessary power and authority to execute and deliver this Amendment and perform its obligations hereunder,</w:t>
      </w:r>
    </w:p>
    <w:p>
      <w:pPr>
        <w:spacing w:after="0" w:line="51" w:lineRule="exact"/>
        <w:rPr>
          <w:rFonts w:ascii="Arial" w:cs="Arial" w:eastAsia="Arial" w:hAnsi="Arial"/>
          <w:sz w:val="19"/>
          <w:szCs w:val="19"/>
          <w:color w:val="auto"/>
        </w:rPr>
      </w:pPr>
    </w:p>
    <w:p>
      <w:pPr>
        <w:jc w:val="both"/>
        <w:ind w:firstLine="8"/>
        <w:spacing w:after="0" w:line="285" w:lineRule="auto"/>
        <w:tabs>
          <w:tab w:leader="none" w:pos="30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 Default or Event of Default exists both before and after giving effect to this Amendment, (c) this Amendment and the Loan Documents, as amended hereby, constitute the legal, valid and binding obligations of the Borrower and are enforceable against the Borrower in accordance with their terms, subject to applicable bankruptcy, insolvency, reorganization, moratorium or other laws affecting creditors’ rights generally and subject to general principles of equity, regardless of whether considered in a proceeding in equity or at law, (d) all representations and warranties of the Borrower contained in the Credit Agreement, as amended hereby, and all other Loan Documents are true and correct in all material respects (or in all respects if the applicable representation or warranty is qualified by Material Adverse Effect or materiality) as though made on and as of the date hereof and after giving effect to this Amendment, except to the extent such representations and warranties relate to an earlier date, in which case they are true and correct in all materials respects (or in all respects if the applicable representation or warranty is qualified by Material Adverse Effect or materiality) as of such earlier date and (e) the execution and delivery of this Amendment will not contravene or result in a violation of any contract or agreement to which the Borrower is a party.</w:t>
      </w:r>
    </w:p>
    <w:p>
      <w:pPr>
        <w:spacing w:after="0" w:line="206" w:lineRule="exact"/>
        <w:rPr>
          <w:rFonts w:ascii="Arial" w:cs="Arial" w:eastAsia="Arial" w:hAnsi="Arial"/>
          <w:sz w:val="19"/>
          <w:szCs w:val="19"/>
          <w:color w:val="auto"/>
        </w:rPr>
      </w:pPr>
    </w:p>
    <w:p>
      <w:pPr>
        <w:jc w:val="both"/>
        <w:ind w:firstLine="656"/>
        <w:spacing w:after="0" w:line="289" w:lineRule="auto"/>
        <w:tabs>
          <w:tab w:leader="none" w:pos="1098"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Except as expressly modified in this Amendment, all of the terms, provisions and conditions of the Credit Agreement, as heretofore amended, shall remain unchanged and in full force and effect. Except as herein specifically agreed, the Credit Agreement and each other Loan Document are hereby ratified and confirmed and shall remain in full force and effect according to their terms. Except as specifically set forth herein, the execution, delivery and effectiveness of this Amendment shall not operate as a waiver of any right, power, privilege or remedy of the Lender under the Credit Agreement or any of the other Loan Documents, or constitute a waiver of any provision of the Credit Agreement or any of the other Loan Documents. This Amendment shall not constitute a course of dealing with the Lender at variance with the Credit Agreement or the other Loan Documents such as to require further notice by such Person to require strict compliance with the terms of the Credit Agreement and the other Loan Documents in the future. The Borrower acknowledges and expressly agrees that the Lender reserves the right to, and does in fact, require strict compliance with all terms and provisions of the Credit Agreement and the other Loan Documents. The Borrower hereby affirms that it is indebted to the Lender under</w:t>
      </w:r>
    </w:p>
    <w:p>
      <w:pPr>
        <w:sectPr>
          <w:pgSz w:w="11900" w:h="16838" w:orient="portrait"/>
          <w:cols w:equalWidth="0" w:num="1">
            <w:col w:w="11240"/>
          </w:cols>
          <w:pgMar w:left="320" w:top="604" w:right="339" w:bottom="1440" w:gutter="0" w:footer="0" w:header="0"/>
        </w:sectPr>
      </w:pPr>
    </w:p>
    <w:bookmarkStart w:id="115" w:name="page116"/>
    <w:bookmarkEnd w:id="115"/>
    <w:p>
      <w:pPr>
        <w:jc w:val="both"/>
        <w:spacing w:after="0" w:line="249" w:lineRule="auto"/>
        <w:rPr>
          <w:sz w:val="20"/>
          <w:szCs w:val="20"/>
          <w:color w:val="auto"/>
        </w:rPr>
      </w:pPr>
      <w:r>
        <w:rPr>
          <w:rFonts w:ascii="Arial" w:cs="Arial" w:eastAsia="Arial" w:hAnsi="Arial"/>
          <w:sz w:val="22"/>
          <w:szCs w:val="22"/>
          <w:color w:val="auto"/>
        </w:rPr>
        <w:t>the terms and conditions of the Credit Agreement and the other Loan Documents, each of which constitutes the valid and binding obligation of the Borrower, enforceable in accordance with their respective terms, and that no offsets, expenses or counterclaims to its obligations thereunder exist.</w:t>
      </w:r>
    </w:p>
    <w:p>
      <w:pPr>
        <w:ind w:firstLine="656"/>
        <w:spacing w:after="0" w:line="283" w:lineRule="auto"/>
        <w:tabs>
          <w:tab w:leader="none" w:pos="1030" w:val="left"/>
        </w:tabs>
        <w:numPr>
          <w:ilvl w:val="1"/>
          <w:numId w:val="11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governed by and construed in accordance with the internal laws (and not the law of conflicts) of the State of California, but giving effect to federal laws applicable to national banks.</w:t>
      </w:r>
    </w:p>
    <w:p>
      <w:pPr>
        <w:spacing w:after="0" w:line="149" w:lineRule="exact"/>
        <w:rPr>
          <w:rFonts w:ascii="Arial" w:cs="Arial" w:eastAsia="Arial" w:hAnsi="Arial"/>
          <w:sz w:val="21"/>
          <w:szCs w:val="21"/>
          <w:color w:val="auto"/>
        </w:rPr>
      </w:pPr>
    </w:p>
    <w:p>
      <w:pPr>
        <w:jc w:val="both"/>
        <w:ind w:firstLine="656"/>
        <w:spacing w:after="0" w:line="262" w:lineRule="auto"/>
        <w:tabs>
          <w:tab w:leader="none" w:pos="1084" w:val="left"/>
        </w:tabs>
        <w:numPr>
          <w:ilvl w:val="1"/>
          <w:numId w:val="111"/>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EACH PARTY HERETO HEREBY WAIVES, TO THE FULLEST EXTENT PERMITTED BY APPLICABLE LAW, ANY RIGHT IT MAY HAVE TO A TRIAL BY JURY IN ANY LEGAL PROCEEDING DIRECTLY OR INDIRECTLY ARISING OUT OF OR RELATING TO THIS AMENDMENT, THE CREDIT AGREEMENT, ANY OTHER LOAN DOCUMENT OR THE TRANSACTIONS CONTEMPLATED HEREBY OR THEREBY (WHETHER BASED ON CONTRACT, TORT OR ANY OTHER THEORY). EACH PARTY HERETO</w:t>
      </w:r>
    </w:p>
    <w:p>
      <w:pPr>
        <w:spacing w:after="0" w:line="1" w:lineRule="exact"/>
        <w:rPr>
          <w:rFonts w:ascii="Arial" w:cs="Arial" w:eastAsia="Arial" w:hAnsi="Arial"/>
          <w:sz w:val="21"/>
          <w:szCs w:val="21"/>
          <w:color w:val="auto"/>
        </w:rPr>
      </w:pPr>
    </w:p>
    <w:p>
      <w:pPr>
        <w:jc w:val="both"/>
        <w:ind w:firstLine="8"/>
        <w:spacing w:after="0" w:line="244" w:lineRule="auto"/>
        <w:tabs>
          <w:tab w:leader="none" w:pos="399"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w:t>
      </w:r>
      <w:r>
        <w:rPr>
          <w:rFonts w:ascii="Arial" w:cs="Arial" w:eastAsia="Arial" w:hAnsi="Arial"/>
          <w:sz w:val="22"/>
          <w:szCs w:val="22"/>
          <w:b w:val="1"/>
          <w:bCs w:val="1"/>
          <w:u w:val="single" w:color="auto"/>
          <w:color w:val="auto"/>
        </w:rPr>
        <w:t>SECTION 7</w:t>
      </w:r>
      <w:r>
        <w:rPr>
          <w:rFonts w:ascii="Arial" w:cs="Arial" w:eastAsia="Arial" w:hAnsi="Arial"/>
          <w:sz w:val="22"/>
          <w:szCs w:val="22"/>
          <w:b w:val="1"/>
          <w:bCs w:val="1"/>
          <w:color w:val="auto"/>
        </w:rPr>
        <w:t>.</w:t>
      </w:r>
    </w:p>
    <w:p>
      <w:pPr>
        <w:spacing w:after="0" w:line="193" w:lineRule="exact"/>
        <w:rPr>
          <w:rFonts w:ascii="Arial" w:cs="Arial" w:eastAsia="Arial" w:hAnsi="Arial"/>
          <w:sz w:val="22"/>
          <w:szCs w:val="22"/>
          <w:b w:val="1"/>
          <w:bCs w:val="1"/>
          <w:color w:val="auto"/>
        </w:rPr>
      </w:pPr>
    </w:p>
    <w:p>
      <w:pPr>
        <w:jc w:val="both"/>
        <w:ind w:firstLine="656"/>
        <w:spacing w:after="0" w:line="262" w:lineRule="auto"/>
        <w:tabs>
          <w:tab w:leader="none" w:pos="990"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JUDICIAL REFERENCE</w:t>
      </w:r>
      <w:r>
        <w:rPr>
          <w:rFonts w:ascii="Arial" w:cs="Arial" w:eastAsia="Arial" w:hAnsi="Arial"/>
          <w:sz w:val="21"/>
          <w:szCs w:val="21"/>
          <w:color w:val="auto"/>
        </w:rPr>
        <w:t>. IN THE EVENT ANY LEGAL PROCEEDING IS FILED IN A COURT OF THE STATE OF CALIFORNIA (THE “</w:t>
      </w:r>
      <w:r>
        <w:rPr>
          <w:rFonts w:ascii="Arial" w:cs="Arial" w:eastAsia="Arial" w:hAnsi="Arial"/>
          <w:sz w:val="21"/>
          <w:szCs w:val="21"/>
          <w:u w:val="single" w:color="auto"/>
          <w:color w:val="auto"/>
        </w:rPr>
        <w:t>COURT</w:t>
      </w:r>
      <w:r>
        <w:rPr>
          <w:rFonts w:ascii="Arial" w:cs="Arial" w:eastAsia="Arial" w:hAnsi="Arial"/>
          <w:sz w:val="21"/>
          <w:szCs w:val="21"/>
          <w:color w:val="auto"/>
        </w:rPr>
        <w:t>”) BY OR AGAINST THE BORROWER OR THE LENDER IN CONNECTION WITH ANY CONTROVERSY, DISPUTE OR CLAIM DIRECTLY OR INDIRECTLY ARISING OUT OF OR RELATING TO THIS AMENDMENT, THE CREDIT AGREEMENT, THE OTHER LOAN DOCUMENTS OR THE TRANSACTIONS CONTEMPLATED HEREBY OR THEREBY (WHETHER BASED ON CONTRACT, TORT OR ANY OTHER THEORY) (EACH, A “</w:t>
      </w:r>
      <w:r>
        <w:rPr>
          <w:rFonts w:ascii="Arial" w:cs="Arial" w:eastAsia="Arial" w:hAnsi="Arial"/>
          <w:sz w:val="21"/>
          <w:szCs w:val="21"/>
          <w:u w:val="single" w:color="auto"/>
          <w:color w:val="auto"/>
        </w:rPr>
        <w:t>CLAIM</w:t>
      </w:r>
      <w:r>
        <w:rPr>
          <w:rFonts w:ascii="Arial" w:cs="Arial" w:eastAsia="Arial" w:hAnsi="Arial"/>
          <w:sz w:val="21"/>
          <w:szCs w:val="21"/>
          <w:color w:val="auto"/>
        </w:rPr>
        <w:t xml:space="preserve">”) AND THE WAIVER SET FORTH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IS NOT ENFORCEABLE IN SUCH ACTION OR PROCEEDING, THE BORROWER AND THE LENDER (BY ITS ACCEPTANCE HEREOF) AGREE AS FOLLOWS:</w:t>
      </w:r>
    </w:p>
    <w:p>
      <w:pPr>
        <w:spacing w:after="0" w:line="179" w:lineRule="exact"/>
        <w:rPr>
          <w:rFonts w:ascii="Arial" w:cs="Arial" w:eastAsia="Arial" w:hAnsi="Arial"/>
          <w:sz w:val="21"/>
          <w:szCs w:val="21"/>
          <w:color w:val="auto"/>
        </w:rPr>
      </w:pPr>
    </w:p>
    <w:p>
      <w:pPr>
        <w:jc w:val="both"/>
        <w:ind w:left="660" w:firstLine="644"/>
        <w:spacing w:after="0" w:line="260" w:lineRule="auto"/>
        <w:tabs>
          <w:tab w:leader="none" w:pos="1728" w:val="left"/>
        </w:tabs>
        <w:numPr>
          <w:ilvl w:val="2"/>
          <w:numId w:val="112"/>
        </w:numPr>
        <w:rPr>
          <w:rFonts w:ascii="Arial" w:cs="Arial" w:eastAsia="Arial" w:hAnsi="Arial"/>
          <w:sz w:val="21"/>
          <w:szCs w:val="21"/>
          <w:color w:val="auto"/>
        </w:rPr>
      </w:pPr>
      <w:r>
        <w:rPr>
          <w:rFonts w:ascii="Arial" w:cs="Arial" w:eastAsia="Arial" w:hAnsi="Arial"/>
          <w:sz w:val="21"/>
          <w:szCs w:val="21"/>
          <w:color w:val="auto"/>
        </w:rPr>
        <w:t xml:space="preserve">WITH THE EXCEPTION OF THE MATTERS SPECIFIED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BELOW, ANY CLAIM WILL BE DETERMINED BY A GENERAL REFERENCE PROCEEDING IN ACCORDANCE WITH THE PROVISIONS OF CALIFORNIA CODE OF CIVIL PROCEDURE SECTIONS 638 THROUGH 645.2, INCLUDING ANY REVISION OR REPLACEMENT OF SUCH STATUTES OR RULES HEREAFTER ENACTED. THE BORROWER AND THE LENDER INTEND THIS GENERAL REFERENCE AGREEMENT TOBE SPECIFICALLY ENFORCEABLE IN ACCORDANCE WITH CALIFORNIA CODE OF CIVIL PROCEDURE SECTION 638, INCLUDING ANY REVISION OR REPLACEMENT OF SUCH STATUTE OR RULE HEREAFTER ENAXTED. EXCEPT AS OTHERWISE PROVIDED IN THIS AMENDMENT, THE CREDIT AGREEMENT AND THE OTHER LOAN DOCUMENTS, VENUE FOR THE REFERENCE PROCEEDING WILL BE IN THE STATE OR</w:t>
      </w:r>
    </w:p>
    <w:p>
      <w:pPr>
        <w:sectPr>
          <w:pgSz w:w="11900" w:h="16838" w:orient="portrait"/>
          <w:cols w:equalWidth="0" w:num="1">
            <w:col w:w="11240"/>
          </w:cols>
          <w:pgMar w:left="320" w:top="604" w:right="339" w:bottom="1440" w:gutter="0" w:footer="0" w:header="0"/>
        </w:sectPr>
      </w:pPr>
    </w:p>
    <w:bookmarkStart w:id="116" w:name="page117"/>
    <w:bookmarkEnd w:id="116"/>
    <w:p>
      <w:pPr>
        <w:spacing w:after="0" w:line="263" w:lineRule="auto"/>
        <w:rPr>
          <w:sz w:val="20"/>
          <w:szCs w:val="20"/>
          <w:color w:val="auto"/>
        </w:rPr>
      </w:pPr>
      <w:r>
        <w:rPr>
          <w:rFonts w:ascii="Arial" w:cs="Arial" w:eastAsia="Arial" w:hAnsi="Arial"/>
          <w:sz w:val="22"/>
          <w:szCs w:val="22"/>
          <w:color w:val="auto"/>
        </w:rPr>
        <w:t>FEDERAL COURT IN THE COUNTY OR DISTRICT WHERE VENUE IS OTHERWISE APPROPRIATE UNDER APPLICABLE LAW.</w:t>
      </w:r>
    </w:p>
    <w:p>
      <w:pPr>
        <w:spacing w:after="0" w:line="175" w:lineRule="exact"/>
        <w:rPr>
          <w:sz w:val="20"/>
          <w:szCs w:val="20"/>
          <w:color w:val="auto"/>
        </w:rPr>
      </w:pPr>
    </w:p>
    <w:p>
      <w:pPr>
        <w:jc w:val="both"/>
        <w:ind w:firstLine="644"/>
        <w:spacing w:after="0" w:line="290" w:lineRule="auto"/>
        <w:tabs>
          <w:tab w:leader="none" w:pos="143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NEITHER THIS AMENDMENT NOR THE CREDIT AGREEMENT LIMITS THE RIGHT OF THE BORROWER OR THE LENDER TO EXERCISE OR OPPOSE ANY OF THE RIGHTS AND REMEDIES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AND ANY SUCH EXERCISE OR OPPOSITION DOES NOT WAIVE THE RIGHT OF THE BORROWER OR THE LENDER TO A REFERENCE PROCEEDING PURSUANT TO THIS AMENDMENT OR THE CREDIT AGREEMENT.</w:t>
      </w:r>
    </w:p>
    <w:p>
      <w:pPr>
        <w:spacing w:after="0" w:line="154" w:lineRule="exact"/>
        <w:rPr>
          <w:rFonts w:ascii="Arial" w:cs="Arial" w:eastAsia="Arial" w:hAnsi="Arial"/>
          <w:sz w:val="19"/>
          <w:szCs w:val="19"/>
          <w:color w:val="auto"/>
        </w:rPr>
      </w:pPr>
    </w:p>
    <w:p>
      <w:pPr>
        <w:jc w:val="both"/>
        <w:ind w:firstLine="644"/>
        <w:spacing w:after="0" w:line="264" w:lineRule="auto"/>
        <w:tabs>
          <w:tab w:leader="none" w:pos="112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UPON THE WRITTEN REQUEST OF THE BORROWER OR THE LENDER, THE BORROWER AND THE LENDER SHALL SELECT A SINGLE REFEREE, WHO SHALL BE A RETIRED JUDGE OR JUSTICE. IF THE BORROWER AND THE LENDER DO NOT AGREE UPON A REFEREE WITHIN TEN DAYS OF SUCH WRITTEN REQUEST, THEN THE BORROWER OR THE LENDER MAY REQUEST THE COURT TO APPOINT A REFEREE PURSUANT TO CALIFORNIA CODE OF CIVIL PROCEDURE SECTION 640(B), INCLUDING ANY REVISION OR REPLACEMENT OF SUCH STATUTE OR RULE HEREAFTER ENACTED.</w:t>
      </w:r>
    </w:p>
    <w:p>
      <w:pPr>
        <w:spacing w:after="0" w:line="174" w:lineRule="exact"/>
        <w:rPr>
          <w:rFonts w:ascii="Arial" w:cs="Arial" w:eastAsia="Arial" w:hAnsi="Arial"/>
          <w:sz w:val="21"/>
          <w:szCs w:val="21"/>
          <w:color w:val="auto"/>
        </w:rPr>
      </w:pPr>
    </w:p>
    <w:p>
      <w:pPr>
        <w:jc w:val="both"/>
        <w:ind w:firstLine="644"/>
        <w:spacing w:after="0" w:line="248" w:lineRule="auto"/>
        <w:tabs>
          <w:tab w:leader="none" w:pos="10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ALL PROCEEDINGS AND HEARINGS CONDUCTED BEFORE THE REFEREE, EXCEPT FOR TRIAL, SHALL BE CONDUCTED WITHOUT A COURT REPORTER, EXCEPT WHEN THE BORROWER OR THE LENDER SO REQUESTS, A COURT REPORTER WILL BE USED AND THE REFEREE WILL BE PROVIDED A COURTESY COPY OF THE TRANSCRIPT. THE PARTY MAKING SUCH REQUEST SHALL HAVE THE OBLIGATION TO ARRANGE FOR AND PAY COSTS OF THE COURT REPORTER, PROVIDED THAT SUCH COSTS, ALONG WITH THE REFEREE’S FEES, SHALL ULTIMATELY BE BORNE BY THE PARTY WHO DOES NOT PREVAIL, AS DETERMINED BY THE REFEREE.</w:t>
      </w:r>
    </w:p>
    <w:p>
      <w:pPr>
        <w:spacing w:after="0" w:line="195" w:lineRule="exact"/>
        <w:rPr>
          <w:rFonts w:ascii="Arial" w:cs="Arial" w:eastAsia="Arial" w:hAnsi="Arial"/>
          <w:sz w:val="22"/>
          <w:szCs w:val="22"/>
          <w:color w:val="auto"/>
        </w:rPr>
      </w:pPr>
    </w:p>
    <w:p>
      <w:pPr>
        <w:jc w:val="both"/>
        <w:ind w:firstLine="644"/>
        <w:spacing w:after="0" w:line="264" w:lineRule="auto"/>
        <w:tabs>
          <w:tab w:leader="none" w:pos="112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REFEREE MAY REQUIRE ONE OR MORE PREHEARING CONFERENCES. THE BORROWER AND THE LENDER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w:t>
      </w:r>
    </w:p>
    <w:p>
      <w:pPr>
        <w:sectPr>
          <w:pgSz w:w="11900" w:h="16838" w:orient="portrait"/>
          <w:cols w:equalWidth="0" w:num="1">
            <w:col w:w="10580"/>
          </w:cols>
          <w:pgMar w:left="980" w:top="604" w:right="339" w:bottom="1440" w:gutter="0" w:footer="0" w:header="0"/>
        </w:sectPr>
      </w:pPr>
    </w:p>
    <w:bookmarkStart w:id="117" w:name="page118"/>
    <w:bookmarkEnd w:id="117"/>
    <w:p>
      <w:pPr>
        <w:jc w:val="both"/>
        <w:ind w:left="4"/>
        <w:spacing w:after="0" w:line="263" w:lineRule="auto"/>
        <w:rPr>
          <w:sz w:val="20"/>
          <w:szCs w:val="20"/>
          <w:color w:val="auto"/>
        </w:rPr>
      </w:pPr>
      <w:r>
        <w:rPr>
          <w:rFonts w:ascii="Arial" w:cs="Arial" w:eastAsia="Arial" w:hAnsi="Arial"/>
          <w:sz w:val="21"/>
          <w:szCs w:val="21"/>
          <w:color w:val="auto"/>
        </w:rPr>
        <w:t>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 WHICH REPORT SHALL ALSO INCLUDE FINDINGS OF FACT AND CONCLUSIONS OF LAW.</w:t>
      </w:r>
    </w:p>
    <w:p>
      <w:pPr>
        <w:spacing w:after="0" w:line="175" w:lineRule="exact"/>
        <w:rPr>
          <w:sz w:val="20"/>
          <w:szCs w:val="20"/>
          <w:color w:val="auto"/>
        </w:rPr>
      </w:pPr>
    </w:p>
    <w:p>
      <w:pPr>
        <w:jc w:val="both"/>
        <w:ind w:left="4" w:firstLine="644"/>
        <w:spacing w:after="0" w:line="259" w:lineRule="auto"/>
        <w:tabs>
          <w:tab w:leader="none" w:pos="1115"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THE BORROWER AND THE LENDER RECOGNIZE AND AGREE THAT ALL CLAIMS RESOLVED IN A GENERAL REFERENCE PROCEEDING PURSUANT TO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WILL BE DECIDED BY A REFEREE AND NOT BY A JURY.</w:t>
      </w:r>
    </w:p>
    <w:p>
      <w:pPr>
        <w:spacing w:after="0" w:line="180" w:lineRule="exact"/>
        <w:rPr>
          <w:rFonts w:ascii="Arial" w:cs="Arial" w:eastAsia="Arial" w:hAnsi="Arial"/>
          <w:sz w:val="22"/>
          <w:szCs w:val="22"/>
          <w:color w:val="auto"/>
        </w:rPr>
      </w:pPr>
    </w:p>
    <w:p>
      <w:pPr>
        <w:ind w:left="344" w:hanging="344"/>
        <w:spacing w:after="0"/>
        <w:tabs>
          <w:tab w:leader="none" w:pos="344"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4" w:firstLine="644"/>
        <w:spacing w:after="0" w:line="259" w:lineRule="auto"/>
        <w:tabs>
          <w:tab w:leader="none" w:pos="1166"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rFonts w:ascii="Arial" w:cs="Arial" w:eastAsia="Arial" w:hAnsi="Arial"/>
          <w:sz w:val="21"/>
          <w:szCs w:val="21"/>
          <w:color w:val="auto"/>
        </w:rPr>
      </w:pPr>
    </w:p>
    <w:p>
      <w:pPr>
        <w:ind w:left="4" w:firstLine="644"/>
        <w:spacing w:after="0" w:line="301" w:lineRule="auto"/>
        <w:tabs>
          <w:tab w:leader="none" w:pos="1097"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Amendment shall be binding upon and inure to the benefit of the parties hereto and their respective successors and assigns permitted under the Credit Agreement.</w:t>
      </w:r>
    </w:p>
    <w:p>
      <w:pPr>
        <w:spacing w:after="0" w:line="136" w:lineRule="exact"/>
        <w:rPr>
          <w:rFonts w:ascii="Arial" w:cs="Arial" w:eastAsia="Arial" w:hAnsi="Arial"/>
          <w:sz w:val="21"/>
          <w:szCs w:val="21"/>
          <w:color w:val="auto"/>
        </w:rPr>
      </w:pPr>
    </w:p>
    <w:p>
      <w:pPr>
        <w:jc w:val="both"/>
        <w:ind w:left="4" w:firstLine="644"/>
        <w:spacing w:after="0" w:line="307" w:lineRule="auto"/>
        <w:tabs>
          <w:tab w:leader="none" w:pos="1126"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Incorporation</w:t>
      </w:r>
      <w:r>
        <w:rPr>
          <w:rFonts w:ascii="Arial" w:cs="Arial" w:eastAsia="Arial" w:hAnsi="Arial"/>
          <w:sz w:val="19"/>
          <w:szCs w:val="19"/>
          <w:color w:val="auto"/>
        </w:rPr>
        <w:t>. This Amendment shall form a part of the Credit Agreement, and all references to the Credit Agreement shall mean that document as hereby modified. Upon the effectiveness of this Amendment, each reference in the Credit Agreement to “this Agreement”, “hereunder”, “hereof”, “herein” or words of similar import shall mean and be a reference to the Credit Agreement as amended hereby. This Amendment is a Loan Document.</w:t>
      </w:r>
    </w:p>
    <w:p>
      <w:pPr>
        <w:spacing w:after="0" w:line="137" w:lineRule="exact"/>
        <w:rPr>
          <w:rFonts w:ascii="Arial" w:cs="Arial" w:eastAsia="Arial" w:hAnsi="Arial"/>
          <w:sz w:val="19"/>
          <w:szCs w:val="19"/>
          <w:color w:val="auto"/>
        </w:rPr>
      </w:pPr>
    </w:p>
    <w:p>
      <w:pPr>
        <w:jc w:val="both"/>
        <w:ind w:left="4" w:firstLine="644"/>
        <w:spacing w:after="0" w:line="259" w:lineRule="auto"/>
        <w:tabs>
          <w:tab w:leader="none" w:pos="1219"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No Prejudice; No Impairment</w:t>
      </w:r>
      <w:r>
        <w:rPr>
          <w:rFonts w:ascii="Arial" w:cs="Arial" w:eastAsia="Arial" w:hAnsi="Arial"/>
          <w:sz w:val="22"/>
          <w:szCs w:val="22"/>
          <w:color w:val="auto"/>
        </w:rPr>
        <w:t>. This Amendment shall not prejudice, limit, restrict or impair any rights, privileges, powers or remedies of the Lender under the Credit Agreement or any other Loan Documents as hereby amended. The Lender reserves, without</w:t>
      </w:r>
    </w:p>
    <w:p>
      <w:pPr>
        <w:sectPr>
          <w:pgSz w:w="11900" w:h="16838" w:orient="portrait"/>
          <w:cols w:equalWidth="0" w:num="1">
            <w:col w:w="10584"/>
          </w:cols>
          <w:pgMar w:left="976" w:top="604" w:right="33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limitation, all rights which the Lender has now or in the future against any guarantor or endorser of the Obligations.</w:t>
      </w:r>
    </w:p>
    <w:p>
      <w:pPr>
        <w:spacing w:after="0" w:line="254" w:lineRule="exact"/>
        <w:rPr>
          <w:sz w:val="20"/>
          <w:szCs w:val="20"/>
          <w:color w:val="auto"/>
        </w:rPr>
      </w:pPr>
    </w:p>
    <w:p>
      <w:pPr>
        <w:jc w:val="both"/>
        <w:ind w:firstLine="644"/>
        <w:spacing w:after="0" w:line="259" w:lineRule="auto"/>
        <w:tabs>
          <w:tab w:leader="none" w:pos="114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Novation</w:t>
      </w:r>
      <w:r>
        <w:rPr>
          <w:rFonts w:ascii="Arial" w:cs="Arial" w:eastAsia="Arial" w:hAnsi="Arial"/>
          <w:sz w:val="22"/>
          <w:szCs w:val="22"/>
          <w:color w:val="auto"/>
        </w:rPr>
        <w:t>. This Amendment shall not extinguish the Loans or other Obligations outstanding under the Credit Agreement, as amended hereby. The Credit Agreement shall continue to be in full force and effect, and is hereby ratified and confirmed by the Borrower.</w:t>
      </w:r>
    </w:p>
    <w:p>
      <w:pPr>
        <w:spacing w:after="0" w:line="180" w:lineRule="exact"/>
        <w:rPr>
          <w:sz w:val="20"/>
          <w:szCs w:val="20"/>
          <w:color w:val="auto"/>
        </w:rPr>
      </w:pPr>
    </w:p>
    <w:p>
      <w:pPr>
        <w:ind w:left="3520"/>
        <w:spacing w:after="0"/>
        <w:rPr>
          <w:sz w:val="20"/>
          <w:szCs w:val="20"/>
          <w:color w:val="auto"/>
        </w:rPr>
      </w:pPr>
      <w:r>
        <w:rPr>
          <w:rFonts w:ascii="Arial" w:cs="Arial" w:eastAsia="Arial" w:hAnsi="Arial"/>
          <w:sz w:val="22"/>
          <w:szCs w:val="22"/>
          <w:i w:val="1"/>
          <w:iCs w:val="1"/>
          <w:color w:val="auto"/>
        </w:rPr>
        <w:t>[Signatures Immediately Follow]</w:t>
      </w:r>
    </w:p>
    <w:p>
      <w:pPr>
        <w:sectPr>
          <w:pgSz w:w="11900" w:h="16838" w:orient="portrait"/>
          <w:cols w:equalWidth="0" w:num="1">
            <w:col w:w="10580"/>
          </w:cols>
          <w:pgMar w:left="980" w:top="604" w:right="339" w:bottom="1440" w:gutter="0" w:footer="0" w:header="0"/>
        </w:sectPr>
      </w:pPr>
    </w:p>
    <w:bookmarkStart w:id="119" w:name="page120"/>
    <w:bookmarkEnd w:id="119"/>
    <w:p>
      <w:pPr>
        <w:ind w:firstLine="648"/>
        <w:spacing w:after="0" w:line="263" w:lineRule="auto"/>
        <w:rPr>
          <w:sz w:val="20"/>
          <w:szCs w:val="20"/>
          <w:color w:val="auto"/>
        </w:rPr>
      </w:pPr>
      <w:r>
        <w:rPr>
          <w:rFonts w:ascii="Arial" w:cs="Arial" w:eastAsia="Arial" w:hAnsi="Arial"/>
          <w:sz w:val="22"/>
          <w:szCs w:val="22"/>
          <w:color w:val="auto"/>
        </w:rPr>
        <w:t>IN WITNESS WHEREOF, the undersigned have executed this Second Amendment to Credit Agreement as of the date first written above.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SAN JOSE WATER COMPANY</w:t>
      </w:r>
    </w:p>
    <w:p>
      <w:pPr>
        <w:spacing w:after="0" w:line="200" w:lineRule="exact"/>
        <w:rPr>
          <w:sz w:val="20"/>
          <w:szCs w:val="20"/>
          <w:color w:val="auto"/>
        </w:rPr>
      </w:pPr>
    </w:p>
    <w:p>
      <w:pPr>
        <w:spacing w:after="0" w:line="330"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-17780</wp:posOffset>
            </wp:positionV>
            <wp:extent cx="11430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James P. Lynch</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Second Amendment to Credit Agreement</w:t>
      </w:r>
    </w:p>
    <w:p>
      <w:pPr>
        <w:sectPr>
          <w:pgSz w:w="11900" w:h="16838" w:orient="portrait"/>
          <w:cols w:equalWidth="0" w:num="1">
            <w:col w:w="11240"/>
          </w:cols>
          <w:pgMar w:left="320" w:top="604" w:right="339" w:bottom="1440" w:gutter="0" w:footer="0" w:header="0"/>
        </w:sectPr>
      </w:pPr>
    </w:p>
    <w:bookmarkStart w:id="120" w:name="page121"/>
    <w:bookmarkEnd w:id="120"/>
    <w:p>
      <w:pPr>
        <w:ind w:left="2780"/>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330"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tab/>
        <w:t>/s/ Nancy R. Barwig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-17780</wp:posOffset>
            </wp:positionV>
            <wp:extent cx="12573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Nancy R. Barwig</w:t>
      </w:r>
    </w:p>
    <w:p>
      <w:pPr>
        <w:spacing w:after="0" w:line="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Second Amendment to Credit Agreement</w:t>
      </w:r>
    </w:p>
    <w:p>
      <w:pPr>
        <w:sectPr>
          <w:pgSz w:w="11900" w:h="16838" w:orient="portrait"/>
          <w:cols w:equalWidth="0" w:num="1">
            <w:col w:w="9019"/>
          </w:cols>
          <w:pgMar w:left="1440" w:top="861"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b w:val="1"/>
          <w:bCs w:val="1"/>
          <w:color w:val="auto"/>
        </w:rPr>
        <w:t>EXHIBIT A-1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Amended Credit Agreement, Exhibit A and Exhibit B (Marked)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598" w:right="1440"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June 1,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SAN JOSE WATER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372110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gridSpan w:val="41"/>
          </w:tcPr>
          <w:p>
            <w:pPr>
              <w:spacing w:after="0"/>
              <w:rPr>
                <w:sz w:val="20"/>
                <w:szCs w:val="20"/>
                <w:color w:val="auto"/>
              </w:rPr>
            </w:pPr>
            <w:r>
              <w:rPr>
                <w:rFonts w:ascii="Arial" w:cs="Arial" w:eastAsia="Arial" w:hAnsi="Arial"/>
                <w:sz w:val="22"/>
                <w:szCs w:val="22"/>
                <w:b w:val="1"/>
                <w:bCs w:val="1"/>
                <w:color w:val="auto"/>
              </w:rPr>
              <w:t>TABLE OF CONTENTS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0"/>
        </w:trPr>
        <w:tc>
          <w:tcPr>
            <w:tcW w:w="1320" w:type="dxa"/>
            <w:vAlign w:val="bottom"/>
            <w:gridSpan w:val="2"/>
          </w:tcPr>
          <w:p>
            <w:pPr>
              <w:spacing w:after="0"/>
              <w:rPr>
                <w:sz w:val="20"/>
                <w:szCs w:val="20"/>
                <w:color w:val="auto"/>
              </w:rPr>
            </w:pPr>
            <w:r>
              <w:rPr>
                <w:rFonts w:ascii="Arial" w:cs="Arial" w:eastAsia="Arial" w:hAnsi="Arial"/>
                <w:sz w:val="22"/>
                <w:szCs w:val="22"/>
                <w:color w:val="auto"/>
              </w:rPr>
              <w:t>ARTICLE I</w:t>
            </w:r>
          </w:p>
        </w:tc>
        <w:tc>
          <w:tcPr>
            <w:tcW w:w="1780" w:type="dxa"/>
            <w:vAlign w:val="bottom"/>
            <w:gridSpan w:val="3"/>
          </w:tcPr>
          <w:p>
            <w:pPr>
              <w:ind w:left="220"/>
              <w:spacing w:after="0"/>
              <w:rPr>
                <w:sz w:val="20"/>
                <w:szCs w:val="20"/>
                <w:color w:val="auto"/>
              </w:rPr>
            </w:pPr>
            <w:r>
              <w:rPr>
                <w:rFonts w:ascii="Arial" w:cs="Arial" w:eastAsia="Arial" w:hAnsi="Arial"/>
                <w:sz w:val="22"/>
                <w:szCs w:val="22"/>
                <w:color w:val="auto"/>
              </w:rPr>
              <w:t>DEFINITIONS</w:t>
            </w:r>
          </w:p>
        </w:tc>
        <w:tc>
          <w:tcPr>
            <w:tcW w:w="1360" w:type="dxa"/>
            <w:vAlign w:val="bottom"/>
            <w:gridSpan w:val="16"/>
          </w:tcPr>
          <w:p>
            <w:pPr>
              <w:jc w:val="right"/>
              <w:ind w:right="1132"/>
              <w:spacing w:after="0"/>
              <w:rPr>
                <w:sz w:val="20"/>
                <w:szCs w:val="20"/>
                <w:color w:val="auto"/>
              </w:rPr>
            </w:pPr>
            <w:r>
              <w:rPr>
                <w:rFonts w:ascii="Arial" w:cs="Arial" w:eastAsia="Arial" w:hAnsi="Arial"/>
                <w:sz w:val="22"/>
                <w:szCs w:val="22"/>
                <w:color w:val="auto"/>
                <w:w w:val="81"/>
              </w:rPr>
              <w:t>1</w:t>
            </w:r>
          </w:p>
        </w:tc>
        <w:tc>
          <w:tcPr>
            <w:tcW w:w="2320" w:type="dxa"/>
            <w:vAlign w:val="bottom"/>
            <w:tcBorders>
              <w:top w:val="single" w:sz="8" w:color="auto"/>
            </w:tcBorders>
            <w:gridSpan w:val="38"/>
          </w:tcPr>
          <w:p>
            <w:pPr>
              <w:spacing w:after="0"/>
              <w:rPr>
                <w:sz w:val="24"/>
                <w:szCs w:val="24"/>
                <w:color w:val="auto"/>
              </w:rPr>
            </w:pPr>
          </w:p>
        </w:tc>
        <w:tc>
          <w:tcPr>
            <w:tcW w:w="4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1.01.</w:t>
            </w:r>
          </w:p>
        </w:tc>
        <w:tc>
          <w:tcPr>
            <w:tcW w:w="480" w:type="dxa"/>
            <w:vAlign w:val="bottom"/>
          </w:tcPr>
          <w:p>
            <w:pPr>
              <w:spacing w:after="0"/>
              <w:rPr>
                <w:sz w:val="24"/>
                <w:szCs w:val="24"/>
                <w:color w:val="auto"/>
              </w:rPr>
            </w:pPr>
          </w:p>
        </w:tc>
        <w:tc>
          <w:tcPr>
            <w:tcW w:w="1440" w:type="dxa"/>
            <w:vAlign w:val="bottom"/>
            <w:gridSpan w:val="11"/>
          </w:tcPr>
          <w:p>
            <w:pPr>
              <w:spacing w:after="0"/>
              <w:rPr>
                <w:sz w:val="20"/>
                <w:szCs w:val="20"/>
                <w:color w:val="auto"/>
              </w:rPr>
            </w:pPr>
            <w:r>
              <w:rPr>
                <w:rFonts w:ascii="Arial" w:cs="Arial" w:eastAsia="Arial" w:hAnsi="Arial"/>
                <w:sz w:val="22"/>
                <w:szCs w:val="22"/>
                <w:color w:val="auto"/>
                <w:w w:val="98"/>
              </w:rPr>
              <w:t>Defined Terms</w:t>
            </w:r>
          </w:p>
        </w:tc>
        <w:tc>
          <w:tcPr>
            <w:tcW w:w="200" w:type="dxa"/>
            <w:vAlign w:val="bottom"/>
            <w:gridSpan w:val="3"/>
          </w:tcPr>
          <w:p>
            <w:pPr>
              <w:jc w:val="right"/>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1.02.</w:t>
            </w:r>
          </w:p>
        </w:tc>
        <w:tc>
          <w:tcPr>
            <w:tcW w:w="480" w:type="dxa"/>
            <w:vAlign w:val="bottom"/>
          </w:tcPr>
          <w:p>
            <w:pPr>
              <w:spacing w:after="0"/>
              <w:rPr>
                <w:sz w:val="24"/>
                <w:szCs w:val="24"/>
                <w:color w:val="auto"/>
              </w:rPr>
            </w:pPr>
          </w:p>
        </w:tc>
        <w:tc>
          <w:tcPr>
            <w:tcW w:w="3460" w:type="dxa"/>
            <w:vAlign w:val="bottom"/>
            <w:gridSpan w:val="44"/>
          </w:tcPr>
          <w:p>
            <w:pPr>
              <w:spacing w:after="0"/>
              <w:rPr>
                <w:sz w:val="20"/>
                <w:szCs w:val="20"/>
                <w:color w:val="auto"/>
              </w:rPr>
            </w:pPr>
            <w:r>
              <w:rPr>
                <w:rFonts w:ascii="Arial" w:cs="Arial" w:eastAsia="Arial" w:hAnsi="Arial"/>
                <w:sz w:val="22"/>
                <w:szCs w:val="22"/>
                <w:color w:val="auto"/>
                <w:w w:val="90"/>
              </w:rPr>
              <w:t>Classification of Loans and Borrowings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4"/>
          </w:tcPr>
          <w:p>
            <w:pPr>
              <w:spacing w:after="0"/>
              <w:rPr>
                <w:sz w:val="20"/>
                <w:szCs w:val="20"/>
                <w:color w:val="auto"/>
              </w:rPr>
            </w:pPr>
            <w:r>
              <w:rPr>
                <w:rFonts w:ascii="Arial" w:cs="Arial" w:eastAsia="Arial" w:hAnsi="Arial"/>
                <w:sz w:val="22"/>
                <w:szCs w:val="22"/>
                <w:color w:val="FF0000"/>
                <w:strike w:val="1"/>
                <w:w w:val="81"/>
              </w:rPr>
              <w:t>18</w:t>
            </w:r>
          </w:p>
        </w:tc>
        <w:tc>
          <w:tcPr>
            <w:tcW w:w="300" w:type="dxa"/>
            <w:vAlign w:val="bottom"/>
            <w:gridSpan w:val="3"/>
          </w:tcPr>
          <w:p>
            <w:pPr>
              <w:jc w:val="right"/>
              <w:ind w:right="80"/>
              <w:spacing w:after="0"/>
              <w:rPr>
                <w:sz w:val="20"/>
                <w:szCs w:val="20"/>
                <w:color w:val="auto"/>
              </w:rPr>
            </w:pPr>
            <w:r>
              <w:rPr>
                <w:rFonts w:ascii="Arial" w:cs="Arial" w:eastAsia="Arial" w:hAnsi="Arial"/>
                <w:sz w:val="22"/>
                <w:szCs w:val="22"/>
                <w:b w:val="1"/>
                <w:bCs w:val="1"/>
                <w:color w:val="0000FF"/>
                <w:w w:val="81"/>
              </w:rPr>
              <w:t>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1.03.</w:t>
            </w:r>
          </w:p>
        </w:tc>
        <w:tc>
          <w:tcPr>
            <w:tcW w:w="480" w:type="dxa"/>
            <w:vAlign w:val="bottom"/>
          </w:tcPr>
          <w:p>
            <w:pPr>
              <w:spacing w:after="0"/>
              <w:rPr>
                <w:sz w:val="24"/>
                <w:szCs w:val="24"/>
                <w:color w:val="auto"/>
              </w:rPr>
            </w:pPr>
          </w:p>
        </w:tc>
        <w:tc>
          <w:tcPr>
            <w:tcW w:w="1580" w:type="dxa"/>
            <w:vAlign w:val="bottom"/>
            <w:gridSpan w:val="13"/>
          </w:tcPr>
          <w:p>
            <w:pPr>
              <w:spacing w:after="0"/>
              <w:rPr>
                <w:sz w:val="20"/>
                <w:szCs w:val="20"/>
                <w:color w:val="auto"/>
              </w:rPr>
            </w:pPr>
            <w:r>
              <w:rPr>
                <w:rFonts w:ascii="Arial" w:cs="Arial" w:eastAsia="Arial" w:hAnsi="Arial"/>
                <w:sz w:val="22"/>
                <w:szCs w:val="22"/>
                <w:color w:val="auto"/>
                <w:w w:val="95"/>
              </w:rPr>
              <w:t>Terms Generally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18</w:t>
            </w:r>
          </w:p>
        </w:tc>
        <w:tc>
          <w:tcPr>
            <w:tcW w:w="22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b w:val="1"/>
                <w:bCs w:val="1"/>
                <w:color w:val="0000FF"/>
                <w:w w:val="81"/>
              </w:rPr>
              <w:t>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20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1.04.</w:t>
            </w:r>
          </w:p>
        </w:tc>
        <w:tc>
          <w:tcPr>
            <w:tcW w:w="480" w:type="dxa"/>
            <w:vAlign w:val="bottom"/>
          </w:tcPr>
          <w:p>
            <w:pPr>
              <w:spacing w:after="0"/>
              <w:rPr>
                <w:sz w:val="24"/>
                <w:szCs w:val="24"/>
                <w:color w:val="auto"/>
              </w:rPr>
            </w:pPr>
          </w:p>
        </w:tc>
        <w:tc>
          <w:tcPr>
            <w:tcW w:w="2400" w:type="dxa"/>
            <w:vAlign w:val="bottom"/>
            <w:gridSpan w:val="28"/>
          </w:tcPr>
          <w:p>
            <w:pPr>
              <w:spacing w:after="0"/>
              <w:rPr>
                <w:sz w:val="20"/>
                <w:szCs w:val="20"/>
                <w:color w:val="auto"/>
              </w:rPr>
            </w:pPr>
            <w:r>
              <w:rPr>
                <w:rFonts w:ascii="Arial" w:cs="Arial" w:eastAsia="Arial" w:hAnsi="Arial"/>
                <w:sz w:val="22"/>
                <w:szCs w:val="22"/>
                <w:color w:val="auto"/>
                <w:w w:val="94"/>
              </w:rPr>
              <w:t>Accounting Terms; GAAP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2"/>
                <w:szCs w:val="22"/>
                <w:color w:val="FF0000"/>
                <w:strike w:val="1"/>
                <w:w w:val="73"/>
              </w:rPr>
              <w:t>19</w:t>
            </w:r>
          </w:p>
        </w:tc>
        <w:tc>
          <w:tcPr>
            <w:tcW w:w="220" w:type="dxa"/>
            <w:vAlign w:val="bottom"/>
            <w:tcBorders>
              <w:bottom w:val="single" w:sz="8" w:color="0000FF"/>
            </w:tcBorders>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b w:val="1"/>
                <w:bCs w:val="1"/>
                <w:color w:val="0000FF"/>
                <w:w w:val="94"/>
              </w:rPr>
              <w:t>SECTION 1.05.</w:t>
            </w:r>
          </w:p>
        </w:tc>
        <w:tc>
          <w:tcPr>
            <w:tcW w:w="480" w:type="dxa"/>
            <w:vAlign w:val="bottom"/>
          </w:tcPr>
          <w:p>
            <w:pPr>
              <w:spacing w:after="0"/>
              <w:rPr>
                <w:sz w:val="24"/>
                <w:szCs w:val="24"/>
                <w:color w:val="auto"/>
              </w:rPr>
            </w:pPr>
          </w:p>
        </w:tc>
        <w:tc>
          <w:tcPr>
            <w:tcW w:w="3460" w:type="dxa"/>
            <w:vAlign w:val="bottom"/>
            <w:gridSpan w:val="44"/>
          </w:tcPr>
          <w:p>
            <w:pPr>
              <w:spacing w:after="0"/>
              <w:rPr>
                <w:sz w:val="20"/>
                <w:szCs w:val="20"/>
                <w:color w:val="auto"/>
              </w:rPr>
            </w:pPr>
            <w:r>
              <w:rPr>
                <w:rFonts w:ascii="Arial" w:cs="Arial" w:eastAsia="Arial" w:hAnsi="Arial"/>
                <w:sz w:val="22"/>
                <w:szCs w:val="22"/>
                <w:b w:val="1"/>
                <w:bCs w:val="1"/>
                <w:color w:val="0000FF"/>
                <w:w w:val="97"/>
              </w:rPr>
              <w:t>Interest Rates; LIBOR Notification</w:t>
            </w:r>
          </w:p>
        </w:tc>
        <w:tc>
          <w:tcPr>
            <w:tcW w:w="220" w:type="dxa"/>
            <w:vAlign w:val="bottom"/>
            <w:gridSpan w:val="5"/>
          </w:tcPr>
          <w:p>
            <w:pPr>
              <w:jc w:val="right"/>
              <w:spacing w:after="0"/>
              <w:rPr>
                <w:sz w:val="20"/>
                <w:szCs w:val="20"/>
                <w:color w:val="auto"/>
              </w:rPr>
            </w:pPr>
            <w:r>
              <w:rPr>
                <w:rFonts w:ascii="Arial" w:cs="Arial" w:eastAsia="Arial" w:hAnsi="Arial"/>
                <w:sz w:val="22"/>
                <w:szCs w:val="22"/>
                <w:b w:val="1"/>
                <w:bCs w:val="1"/>
                <w:color w:val="0000FF"/>
                <w:w w:val="81"/>
              </w:rPr>
              <w:t>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0"/>
                <w:szCs w:val="20"/>
                <w:color w:val="auto"/>
              </w:rPr>
            </w:pPr>
            <w:r>
              <w:rPr>
                <w:rFonts w:ascii="Arial" w:cs="Arial" w:eastAsia="Arial" w:hAnsi="Arial"/>
                <w:sz w:val="22"/>
                <w:szCs w:val="22"/>
                <w:b w:val="1"/>
                <w:bCs w:val="1"/>
                <w:color w:val="0000FF"/>
                <w:w w:val="94"/>
              </w:rPr>
              <w:t>SECTION 1.06.</w:t>
            </w:r>
          </w:p>
        </w:tc>
        <w:tc>
          <w:tcPr>
            <w:tcW w:w="480" w:type="dxa"/>
            <w:vAlign w:val="bottom"/>
          </w:tcPr>
          <w:p>
            <w:pPr>
              <w:spacing w:after="0"/>
              <w:rPr>
                <w:sz w:val="24"/>
                <w:szCs w:val="24"/>
                <w:color w:val="auto"/>
              </w:rPr>
            </w:pPr>
          </w:p>
        </w:tc>
        <w:tc>
          <w:tcPr>
            <w:tcW w:w="1140" w:type="dxa"/>
            <w:vAlign w:val="bottom"/>
            <w:tcBorders>
              <w:top w:val="single" w:sz="8" w:color="0000FF"/>
            </w:tcBorders>
            <w:gridSpan w:val="8"/>
          </w:tcPr>
          <w:p>
            <w:pPr>
              <w:spacing w:after="0"/>
              <w:rPr>
                <w:sz w:val="20"/>
                <w:szCs w:val="20"/>
                <w:color w:val="auto"/>
              </w:rPr>
            </w:pPr>
            <w:r>
              <w:rPr>
                <w:rFonts w:ascii="Arial" w:cs="Arial" w:eastAsia="Arial" w:hAnsi="Arial"/>
                <w:sz w:val="22"/>
                <w:szCs w:val="22"/>
                <w:b w:val="1"/>
                <w:bCs w:val="1"/>
                <w:color w:val="0000FF"/>
              </w:rPr>
              <w:t>Divisions</w:t>
            </w:r>
          </w:p>
        </w:tc>
        <w:tc>
          <w:tcPr>
            <w:tcW w:w="2120" w:type="dxa"/>
            <w:vAlign w:val="bottom"/>
            <w:tcBorders>
              <w:top w:val="single" w:sz="8" w:color="0000FF"/>
            </w:tcBorders>
            <w:gridSpan w:val="32"/>
          </w:tcPr>
          <w:p>
            <w:pPr>
              <w:jc w:val="right"/>
              <w:ind w:right="1980"/>
              <w:spacing w:after="0"/>
              <w:rPr>
                <w:sz w:val="20"/>
                <w:szCs w:val="20"/>
                <w:color w:val="auto"/>
              </w:rPr>
            </w:pPr>
            <w:r>
              <w:rPr>
                <w:rFonts w:ascii="Arial" w:cs="Arial" w:eastAsia="Arial" w:hAnsi="Arial"/>
                <w:sz w:val="15"/>
                <w:szCs w:val="15"/>
                <w:b w:val="1"/>
                <w:bCs w:val="1"/>
                <w:color w:val="0000FF"/>
                <w:w w:val="71"/>
              </w:rPr>
              <w:t>21</w:t>
            </w:r>
          </w:p>
        </w:tc>
        <w:tc>
          <w:tcPr>
            <w:tcW w:w="200" w:type="dxa"/>
            <w:vAlign w:val="bottom"/>
            <w:gridSpan w:val="4"/>
          </w:tcPr>
          <w:p>
            <w:pPr>
              <w:spacing w:after="0"/>
              <w:rPr>
                <w:sz w:val="24"/>
                <w:szCs w:val="24"/>
                <w:color w:val="auto"/>
              </w:rPr>
            </w:pPr>
          </w:p>
        </w:tc>
        <w:tc>
          <w:tcPr>
            <w:tcW w:w="220" w:type="dxa"/>
            <w:vAlign w:val="bottom"/>
            <w:tcBorders>
              <w:top w:val="single" w:sz="8" w:color="0000FF"/>
            </w:tcBorders>
            <w:gridSpan w:val="5"/>
          </w:tcPr>
          <w:p>
            <w:pPr>
              <w:spacing w:after="0"/>
              <w:rPr>
                <w:sz w:val="24"/>
                <w:szCs w:val="24"/>
                <w:color w:val="auto"/>
              </w:rPr>
            </w:pPr>
          </w:p>
        </w:tc>
        <w:tc>
          <w:tcPr>
            <w:tcW w:w="48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0000FF"/>
            </w:tcBorders>
            <w:gridSpan w:val="8"/>
          </w:tcPr>
          <w:p>
            <w:pPr>
              <w:spacing w:after="0" w:line="20" w:lineRule="exact"/>
              <w:rPr>
                <w:sz w:val="1"/>
                <w:szCs w:val="1"/>
                <w:color w:val="auto"/>
              </w:rPr>
            </w:pPr>
          </w:p>
        </w:tc>
        <w:tc>
          <w:tcPr>
            <w:tcW w:w="300" w:type="dxa"/>
            <w:vAlign w:val="bottom"/>
            <w:tcBorders>
              <w:right w:val="single" w:sz="8" w:color="0000FF"/>
            </w:tcBorders>
            <w:gridSpan w:val="4"/>
          </w:tcPr>
          <w:p>
            <w:pPr>
              <w:spacing w:after="0" w:line="20" w:lineRule="exact"/>
              <w:rPr>
                <w:sz w:val="1"/>
                <w:szCs w:val="1"/>
                <w:color w:val="auto"/>
              </w:rPr>
            </w:pPr>
          </w:p>
        </w:tc>
        <w:tc>
          <w:tcPr>
            <w:tcW w:w="7340" w:type="dxa"/>
            <w:vAlign w:val="bottom"/>
            <w:gridSpan w:val="5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20" w:type="dxa"/>
            <w:vAlign w:val="bottom"/>
            <w:gridSpan w:val="2"/>
          </w:tcPr>
          <w:p>
            <w:pPr>
              <w:spacing w:after="0"/>
              <w:rPr>
                <w:sz w:val="20"/>
                <w:szCs w:val="20"/>
                <w:color w:val="auto"/>
              </w:rPr>
            </w:pPr>
            <w:r>
              <w:rPr>
                <w:rFonts w:ascii="Arial" w:cs="Arial" w:eastAsia="Arial" w:hAnsi="Arial"/>
                <w:sz w:val="22"/>
                <w:szCs w:val="22"/>
                <w:color w:val="auto"/>
              </w:rPr>
              <w:t>ARTICLE II</w:t>
            </w:r>
          </w:p>
        </w:tc>
        <w:tc>
          <w:tcPr>
            <w:tcW w:w="1780" w:type="dxa"/>
            <w:vAlign w:val="bottom"/>
            <w:gridSpan w:val="3"/>
          </w:tcPr>
          <w:p>
            <w:pPr>
              <w:ind w:left="220"/>
              <w:spacing w:after="0"/>
              <w:rPr>
                <w:sz w:val="20"/>
                <w:szCs w:val="20"/>
                <w:color w:val="auto"/>
              </w:rPr>
            </w:pPr>
            <w:r>
              <w:rPr>
                <w:rFonts w:ascii="Arial" w:cs="Arial" w:eastAsia="Arial" w:hAnsi="Arial"/>
                <w:sz w:val="22"/>
                <w:szCs w:val="22"/>
                <w:color w:val="auto"/>
              </w:rPr>
              <w:t>THE CREDITS</w:t>
            </w:r>
          </w:p>
        </w:tc>
        <w:tc>
          <w:tcPr>
            <w:tcW w:w="260" w:type="dxa"/>
            <w:vAlign w:val="bottom"/>
            <w:gridSpan w:val="2"/>
          </w:tcPr>
          <w:p>
            <w:pPr>
              <w:jc w:val="right"/>
              <w:spacing w:after="0"/>
              <w:rPr>
                <w:sz w:val="20"/>
                <w:szCs w:val="20"/>
                <w:color w:val="auto"/>
              </w:rPr>
            </w:pPr>
            <w:r>
              <w:rPr>
                <w:rFonts w:ascii="Arial" w:cs="Arial" w:eastAsia="Arial" w:hAnsi="Arial"/>
                <w:sz w:val="22"/>
                <w:szCs w:val="22"/>
                <w:color w:val="FF0000"/>
                <w:strike w:val="1"/>
                <w:w w:val="97"/>
              </w:rPr>
              <w:t>19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73"/>
              </w:rPr>
              <w:t>22</w:t>
            </w:r>
          </w:p>
        </w:tc>
        <w:tc>
          <w:tcPr>
            <w:tcW w:w="700" w:type="dxa"/>
            <w:vAlign w:val="bottom"/>
            <w:gridSpan w:val="9"/>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22</w:t>
            </w:r>
          </w:p>
        </w:tc>
        <w:tc>
          <w:tcPr>
            <w:tcW w:w="6600" w:type="dxa"/>
            <w:vAlign w:val="bottom"/>
            <w:gridSpan w:val="46"/>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2.01.</w:t>
            </w:r>
          </w:p>
        </w:tc>
        <w:tc>
          <w:tcPr>
            <w:tcW w:w="480" w:type="dxa"/>
            <w:vAlign w:val="bottom"/>
          </w:tcPr>
          <w:p>
            <w:pPr>
              <w:spacing w:after="0"/>
              <w:rPr>
                <w:sz w:val="24"/>
                <w:szCs w:val="24"/>
                <w:color w:val="auto"/>
              </w:rPr>
            </w:pPr>
          </w:p>
        </w:tc>
        <w:tc>
          <w:tcPr>
            <w:tcW w:w="1440" w:type="dxa"/>
            <w:vAlign w:val="bottom"/>
            <w:gridSpan w:val="11"/>
          </w:tcPr>
          <w:p>
            <w:pPr>
              <w:spacing w:after="0"/>
              <w:rPr>
                <w:sz w:val="20"/>
                <w:szCs w:val="20"/>
                <w:color w:val="auto"/>
              </w:rPr>
            </w:pPr>
            <w:r>
              <w:rPr>
                <w:rFonts w:ascii="Arial" w:cs="Arial" w:eastAsia="Arial" w:hAnsi="Arial"/>
                <w:sz w:val="22"/>
                <w:szCs w:val="22"/>
                <w:color w:val="auto"/>
              </w:rPr>
              <w:t>Commitments</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19</w:t>
            </w:r>
          </w:p>
        </w:tc>
        <w:tc>
          <w:tcPr>
            <w:tcW w:w="220" w:type="dxa"/>
            <w:vAlign w:val="bottom"/>
            <w:tcBorders>
              <w:bottom w:val="single" w:sz="8" w:color="0000FF"/>
            </w:tcBorders>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2.02.</w:t>
            </w:r>
          </w:p>
        </w:tc>
        <w:tc>
          <w:tcPr>
            <w:tcW w:w="480" w:type="dxa"/>
            <w:vAlign w:val="bottom"/>
          </w:tcPr>
          <w:p>
            <w:pPr>
              <w:spacing w:after="0"/>
              <w:rPr>
                <w:sz w:val="24"/>
                <w:szCs w:val="24"/>
                <w:color w:val="auto"/>
              </w:rPr>
            </w:pPr>
          </w:p>
        </w:tc>
        <w:tc>
          <w:tcPr>
            <w:tcW w:w="2060" w:type="dxa"/>
            <w:vAlign w:val="bottom"/>
            <w:gridSpan w:val="21"/>
          </w:tcPr>
          <w:p>
            <w:pPr>
              <w:spacing w:after="0"/>
              <w:rPr>
                <w:sz w:val="20"/>
                <w:szCs w:val="20"/>
                <w:color w:val="auto"/>
              </w:rPr>
            </w:pPr>
            <w:r>
              <w:rPr>
                <w:rFonts w:ascii="Arial" w:cs="Arial" w:eastAsia="Arial" w:hAnsi="Arial"/>
                <w:sz w:val="22"/>
                <w:szCs w:val="22"/>
                <w:color w:val="auto"/>
                <w:w w:val="93"/>
              </w:rPr>
              <w:t>Loans and Borrowings</w:t>
            </w: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2"/>
                <w:szCs w:val="22"/>
                <w:color w:val="FF0000"/>
                <w:strike w:val="1"/>
                <w:w w:val="89"/>
              </w:rPr>
              <w:t>20</w:t>
            </w:r>
          </w:p>
        </w:tc>
        <w:tc>
          <w:tcPr>
            <w:tcW w:w="220" w:type="dxa"/>
            <w:vAlign w:val="bottom"/>
            <w:tcBorders>
              <w:bottom w:val="single" w:sz="8" w:color="0000FF"/>
            </w:tcBorders>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3"/>
            <w:vMerge w:val="restart"/>
          </w:tcPr>
          <w:p>
            <w:pPr>
              <w:jc w:val="right"/>
              <w:ind w:right="140"/>
              <w:spacing w:after="0"/>
              <w:rPr>
                <w:sz w:val="20"/>
                <w:szCs w:val="20"/>
                <w:color w:val="auto"/>
              </w:rPr>
            </w:pPr>
            <w:r>
              <w:rPr>
                <w:rFonts w:ascii="Arial" w:cs="Arial" w:eastAsia="Arial" w:hAnsi="Arial"/>
                <w:sz w:val="22"/>
                <w:szCs w:val="22"/>
                <w:b w:val="1"/>
                <w:bCs w:val="1"/>
                <w:color w:val="0000FF"/>
                <w:w w:val="81"/>
              </w:rPr>
              <w:t>22</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2.03.</w:t>
            </w:r>
          </w:p>
        </w:tc>
        <w:tc>
          <w:tcPr>
            <w:tcW w:w="480" w:type="dxa"/>
            <w:vAlign w:val="bottom"/>
          </w:tcPr>
          <w:p>
            <w:pPr>
              <w:spacing w:after="0"/>
              <w:rPr>
                <w:sz w:val="24"/>
                <w:szCs w:val="24"/>
                <w:color w:val="auto"/>
              </w:rPr>
            </w:pPr>
          </w:p>
        </w:tc>
        <w:tc>
          <w:tcPr>
            <w:tcW w:w="4440" w:type="dxa"/>
            <w:vAlign w:val="bottom"/>
            <w:gridSpan w:val="58"/>
          </w:tcPr>
          <w:p>
            <w:pPr>
              <w:spacing w:after="0"/>
              <w:rPr>
                <w:sz w:val="20"/>
                <w:szCs w:val="20"/>
                <w:color w:val="auto"/>
              </w:rPr>
            </w:pPr>
            <w:r>
              <w:rPr>
                <w:rFonts w:ascii="Arial" w:cs="Arial" w:eastAsia="Arial" w:hAnsi="Arial"/>
                <w:sz w:val="22"/>
                <w:szCs w:val="22"/>
                <w:color w:val="auto"/>
                <w:w w:val="93"/>
              </w:rPr>
              <w:t>Borrowing Procedures; Requests for Borrowings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20</w:t>
            </w:r>
          </w:p>
        </w:tc>
        <w:tc>
          <w:tcPr>
            <w:tcW w:w="360" w:type="dxa"/>
            <w:vAlign w:val="bottom"/>
            <w:gridSpan w:val="3"/>
            <w:vMerge w:val="continue"/>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2.04.</w:t>
            </w:r>
          </w:p>
        </w:tc>
        <w:tc>
          <w:tcPr>
            <w:tcW w:w="480" w:type="dxa"/>
            <w:vAlign w:val="bottom"/>
          </w:tcPr>
          <w:p>
            <w:pPr>
              <w:spacing w:after="0"/>
              <w:rPr>
                <w:sz w:val="24"/>
                <w:szCs w:val="24"/>
                <w:color w:val="auto"/>
              </w:rPr>
            </w:pPr>
          </w:p>
        </w:tc>
        <w:tc>
          <w:tcPr>
            <w:tcW w:w="1440" w:type="dxa"/>
            <w:vAlign w:val="bottom"/>
            <w:gridSpan w:val="11"/>
          </w:tcPr>
          <w:p>
            <w:pPr>
              <w:spacing w:after="0"/>
              <w:rPr>
                <w:sz w:val="20"/>
                <w:szCs w:val="20"/>
                <w:color w:val="auto"/>
              </w:rPr>
            </w:pPr>
            <w:r>
              <w:rPr>
                <w:rFonts w:ascii="Arial" w:cs="Arial" w:eastAsia="Arial" w:hAnsi="Arial"/>
                <w:sz w:val="22"/>
                <w:szCs w:val="22"/>
                <w:color w:val="auto"/>
                <w:w w:val="90"/>
              </w:rPr>
              <w:t>Letters of Credit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21</w:t>
            </w:r>
          </w:p>
        </w:tc>
        <w:tc>
          <w:tcPr>
            <w:tcW w:w="22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b w:val="1"/>
                <w:bCs w:val="1"/>
                <w:color w:val="0000FF"/>
                <w:w w:val="81"/>
              </w:rPr>
              <w:t>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4"/>
            <w:vMerge w:val="restart"/>
          </w:tcPr>
          <w:p>
            <w:pPr>
              <w:jc w:val="right"/>
              <w:ind w:right="40"/>
              <w:spacing w:after="0"/>
              <w:rPr>
                <w:sz w:val="20"/>
                <w:szCs w:val="20"/>
                <w:color w:val="auto"/>
              </w:rPr>
            </w:pPr>
            <w:r>
              <w:rPr>
                <w:rFonts w:ascii="Arial" w:cs="Arial" w:eastAsia="Arial" w:hAnsi="Arial"/>
                <w:sz w:val="22"/>
                <w:szCs w:val="22"/>
                <w:b w:val="1"/>
                <w:bCs w:val="1"/>
                <w:color w:val="0000FF"/>
                <w:w w:val="81"/>
              </w:rPr>
              <w:t>26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2.05.</w:t>
            </w:r>
          </w:p>
        </w:tc>
        <w:tc>
          <w:tcPr>
            <w:tcW w:w="480" w:type="dxa"/>
            <w:vAlign w:val="bottom"/>
          </w:tcPr>
          <w:p>
            <w:pPr>
              <w:spacing w:after="0"/>
              <w:rPr>
                <w:sz w:val="24"/>
                <w:szCs w:val="24"/>
                <w:color w:val="auto"/>
              </w:rPr>
            </w:pPr>
          </w:p>
        </w:tc>
        <w:tc>
          <w:tcPr>
            <w:tcW w:w="2060" w:type="dxa"/>
            <w:vAlign w:val="bottom"/>
            <w:gridSpan w:val="21"/>
          </w:tcPr>
          <w:p>
            <w:pPr>
              <w:spacing w:after="0"/>
              <w:rPr>
                <w:sz w:val="20"/>
                <w:szCs w:val="20"/>
                <w:color w:val="auto"/>
              </w:rPr>
            </w:pPr>
            <w:r>
              <w:rPr>
                <w:rFonts w:ascii="Arial" w:cs="Arial" w:eastAsia="Arial" w:hAnsi="Arial"/>
                <w:sz w:val="22"/>
                <w:szCs w:val="22"/>
                <w:color w:val="auto"/>
                <w:w w:val="92"/>
              </w:rPr>
              <w:t>Funding of Borrowings</w:t>
            </w: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2"/>
                <w:szCs w:val="22"/>
                <w:color w:val="FF0000"/>
                <w:strike w:val="1"/>
              </w:rPr>
              <w:t>24</w:t>
            </w:r>
          </w:p>
        </w:tc>
        <w:tc>
          <w:tcPr>
            <w:tcW w:w="26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2.06.</w:t>
            </w:r>
          </w:p>
        </w:tc>
        <w:tc>
          <w:tcPr>
            <w:tcW w:w="480" w:type="dxa"/>
            <w:vAlign w:val="bottom"/>
          </w:tcPr>
          <w:p>
            <w:pPr>
              <w:spacing w:after="0"/>
              <w:rPr>
                <w:sz w:val="24"/>
                <w:szCs w:val="24"/>
                <w:color w:val="auto"/>
              </w:rPr>
            </w:pPr>
          </w:p>
        </w:tc>
        <w:tc>
          <w:tcPr>
            <w:tcW w:w="1580" w:type="dxa"/>
            <w:vAlign w:val="bottom"/>
            <w:gridSpan w:val="13"/>
          </w:tcPr>
          <w:p>
            <w:pPr>
              <w:spacing w:after="0"/>
              <w:rPr>
                <w:sz w:val="20"/>
                <w:szCs w:val="20"/>
                <w:color w:val="auto"/>
              </w:rPr>
            </w:pPr>
            <w:r>
              <w:rPr>
                <w:rFonts w:ascii="Arial" w:cs="Arial" w:eastAsia="Arial" w:hAnsi="Arial"/>
                <w:sz w:val="22"/>
                <w:szCs w:val="22"/>
                <w:color w:val="auto"/>
                <w:w w:val="92"/>
              </w:rPr>
              <w:t>Interest Elections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2"/>
                <w:szCs w:val="22"/>
                <w:color w:val="FF0000"/>
                <w:strike w:val="1"/>
              </w:rPr>
              <w:t>24</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22"/>
                <w:szCs w:val="22"/>
                <w:b w:val="1"/>
                <w:bCs w:val="1"/>
                <w:color w:val="0000FF"/>
                <w:w w:val="81"/>
              </w:rPr>
              <w:t>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27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2.07.</w:t>
            </w:r>
          </w:p>
        </w:tc>
        <w:tc>
          <w:tcPr>
            <w:tcW w:w="480" w:type="dxa"/>
            <w:vAlign w:val="bottom"/>
          </w:tcPr>
          <w:p>
            <w:pPr>
              <w:spacing w:after="0"/>
              <w:rPr>
                <w:sz w:val="24"/>
                <w:szCs w:val="24"/>
                <w:color w:val="auto"/>
              </w:rPr>
            </w:pPr>
          </w:p>
        </w:tc>
        <w:tc>
          <w:tcPr>
            <w:tcW w:w="3880" w:type="dxa"/>
            <w:vAlign w:val="bottom"/>
            <w:gridSpan w:val="52"/>
          </w:tcPr>
          <w:p>
            <w:pPr>
              <w:spacing w:after="0"/>
              <w:rPr>
                <w:sz w:val="20"/>
                <w:szCs w:val="20"/>
                <w:color w:val="auto"/>
              </w:rPr>
            </w:pPr>
            <w:r>
              <w:rPr>
                <w:rFonts w:ascii="Arial" w:cs="Arial" w:eastAsia="Arial" w:hAnsi="Arial"/>
                <w:sz w:val="22"/>
                <w:szCs w:val="22"/>
                <w:color w:val="auto"/>
                <w:w w:val="92"/>
              </w:rPr>
              <w:t>Termination and Reduction of Commitment</w:t>
            </w:r>
          </w:p>
        </w:tc>
        <w:tc>
          <w:tcPr>
            <w:tcW w:w="340" w:type="dxa"/>
            <w:vAlign w:val="bottom"/>
            <w:gridSpan w:val="4"/>
          </w:tcPr>
          <w:p>
            <w:pPr>
              <w:jc w:val="right"/>
              <w:spacing w:after="0"/>
              <w:rPr>
                <w:sz w:val="20"/>
                <w:szCs w:val="20"/>
                <w:color w:val="auto"/>
              </w:rPr>
            </w:pPr>
            <w:r>
              <w:rPr>
                <w:rFonts w:ascii="Arial" w:cs="Arial" w:eastAsia="Arial" w:hAnsi="Arial"/>
                <w:sz w:val="22"/>
                <w:szCs w:val="22"/>
                <w:color w:val="FF0000"/>
                <w:strike w:val="1"/>
              </w:rPr>
              <w:t>25</w:t>
            </w:r>
          </w:p>
        </w:tc>
        <w:tc>
          <w:tcPr>
            <w:tcW w:w="220" w:type="dxa"/>
            <w:vAlign w:val="bottom"/>
            <w:tcBorders>
              <w:bottom w:val="single" w:sz="8" w:color="0000FF"/>
            </w:tcBorders>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2.08.</w:t>
            </w:r>
          </w:p>
        </w:tc>
        <w:tc>
          <w:tcPr>
            <w:tcW w:w="480" w:type="dxa"/>
            <w:vAlign w:val="bottom"/>
          </w:tcPr>
          <w:p>
            <w:pPr>
              <w:spacing w:after="0"/>
              <w:rPr>
                <w:sz w:val="24"/>
                <w:szCs w:val="24"/>
                <w:color w:val="auto"/>
              </w:rPr>
            </w:pPr>
          </w:p>
        </w:tc>
        <w:tc>
          <w:tcPr>
            <w:tcW w:w="3460" w:type="dxa"/>
            <w:vAlign w:val="bottom"/>
            <w:gridSpan w:val="44"/>
          </w:tcPr>
          <w:p>
            <w:pPr>
              <w:spacing w:after="0"/>
              <w:rPr>
                <w:sz w:val="20"/>
                <w:szCs w:val="20"/>
                <w:color w:val="auto"/>
              </w:rPr>
            </w:pPr>
            <w:r>
              <w:rPr>
                <w:rFonts w:ascii="Arial" w:cs="Arial" w:eastAsia="Arial" w:hAnsi="Arial"/>
                <w:sz w:val="22"/>
                <w:szCs w:val="22"/>
                <w:color w:val="auto"/>
                <w:w w:val="90"/>
              </w:rPr>
              <w:t>Repayment and Amortization of Loans;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vMerge w:val="restart"/>
          </w:tcPr>
          <w:p>
            <w:pPr>
              <w:jc w:val="right"/>
              <w:spacing w:after="0"/>
              <w:rPr>
                <w:sz w:val="20"/>
                <w:szCs w:val="20"/>
                <w:color w:val="auto"/>
              </w:rPr>
            </w:pPr>
            <w:r>
              <w:rPr>
                <w:rFonts w:ascii="Arial" w:cs="Arial" w:eastAsia="Arial" w:hAnsi="Arial"/>
                <w:sz w:val="22"/>
                <w:szCs w:val="22"/>
                <w:color w:val="auto"/>
              </w:rPr>
              <w:t>Evidence of</w:t>
            </w:r>
          </w:p>
        </w:tc>
        <w:tc>
          <w:tcPr>
            <w:tcW w:w="0" w:type="dxa"/>
            <w:vAlign w:val="bottom"/>
          </w:tcPr>
          <w:p>
            <w:pPr>
              <w:spacing w:after="0"/>
              <w:rPr>
                <w:sz w:val="1"/>
                <w:szCs w:val="1"/>
                <w:color w:val="auto"/>
              </w:rPr>
            </w:pPr>
          </w:p>
        </w:tc>
      </w:tr>
      <w:tr>
        <w:trPr>
          <w:trHeight w:val="257"/>
        </w:trPr>
        <w:tc>
          <w:tcPr>
            <w:tcW w:w="2600" w:type="dxa"/>
            <w:vAlign w:val="bottom"/>
            <w:gridSpan w:val="4"/>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22"/>
                <w:szCs w:val="22"/>
                <w:color w:val="auto"/>
              </w:rPr>
              <w:t>Debt</w:t>
            </w:r>
          </w:p>
        </w:tc>
        <w:tc>
          <w:tcPr>
            <w:tcW w:w="140" w:type="dxa"/>
            <w:vAlign w:val="bottom"/>
          </w:tcPr>
          <w:p>
            <w:pPr>
              <w:spacing w:after="0"/>
              <w:rPr>
                <w:sz w:val="22"/>
                <w:szCs w:val="2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color w:val="FF0000"/>
                <w:strike w:val="1"/>
                <w:w w:val="81"/>
              </w:rPr>
              <w:t>26</w:t>
            </w:r>
          </w:p>
        </w:tc>
        <w:tc>
          <w:tcPr>
            <w:tcW w:w="300" w:type="dxa"/>
            <w:vAlign w:val="bottom"/>
            <w:gridSpan w:val="4"/>
            <w:vMerge w:val="restart"/>
          </w:tcPr>
          <w:p>
            <w:pPr>
              <w:ind w:left="20"/>
              <w:spacing w:after="0"/>
              <w:rPr>
                <w:sz w:val="20"/>
                <w:szCs w:val="20"/>
                <w:color w:val="auto"/>
              </w:rPr>
            </w:pPr>
            <w:r>
              <w:rPr>
                <w:rFonts w:ascii="Arial" w:cs="Arial" w:eastAsia="Arial" w:hAnsi="Arial"/>
                <w:sz w:val="22"/>
                <w:szCs w:val="22"/>
                <w:b w:val="1"/>
                <w:bCs w:val="1"/>
                <w:color w:val="0000FF"/>
                <w:w w:val="97"/>
              </w:rPr>
              <w:t>28</w:t>
            </w:r>
          </w:p>
        </w:tc>
        <w:tc>
          <w:tcPr>
            <w:tcW w:w="3880" w:type="dxa"/>
            <w:vAlign w:val="bottom"/>
            <w:gridSpan w:val="55"/>
          </w:tcPr>
          <w:p>
            <w:pPr>
              <w:spacing w:after="0"/>
              <w:rPr>
                <w:sz w:val="22"/>
                <w:szCs w:val="22"/>
                <w:color w:val="auto"/>
              </w:rPr>
            </w:pPr>
          </w:p>
        </w:tc>
        <w:tc>
          <w:tcPr>
            <w:tcW w:w="3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00" w:type="dxa"/>
            <w:vAlign w:val="bottom"/>
            <w:gridSpan w:val="4"/>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Borders>
              <w:bottom w:val="single" w:sz="8" w:color="0000FF"/>
            </w:tcBorders>
            <w:gridSpan w:val="4"/>
            <w:vMerge w:val="continue"/>
          </w:tcPr>
          <w:p>
            <w:pPr>
              <w:spacing w:after="0"/>
              <w:rPr>
                <w:sz w:val="17"/>
                <w:szCs w:val="17"/>
                <w:color w:val="auto"/>
              </w:rPr>
            </w:pPr>
          </w:p>
        </w:tc>
        <w:tc>
          <w:tcPr>
            <w:tcW w:w="1140" w:type="dxa"/>
            <w:vAlign w:val="bottom"/>
            <w:gridSpan w:val="18"/>
          </w:tcPr>
          <w:p>
            <w:pPr>
              <w:spacing w:after="0"/>
              <w:rPr>
                <w:sz w:val="17"/>
                <w:szCs w:val="17"/>
                <w:color w:val="auto"/>
              </w:rPr>
            </w:pPr>
          </w:p>
        </w:tc>
        <w:tc>
          <w:tcPr>
            <w:tcW w:w="24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81"/>
              </w:rPr>
              <w:t>28</w:t>
            </w:r>
          </w:p>
        </w:tc>
        <w:tc>
          <w:tcPr>
            <w:tcW w:w="596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2.09.</w:t>
            </w:r>
          </w:p>
        </w:tc>
        <w:tc>
          <w:tcPr>
            <w:tcW w:w="480" w:type="dxa"/>
            <w:vAlign w:val="bottom"/>
          </w:tcPr>
          <w:p>
            <w:pPr>
              <w:spacing w:after="0"/>
              <w:rPr>
                <w:sz w:val="24"/>
                <w:szCs w:val="24"/>
                <w:color w:val="auto"/>
              </w:rPr>
            </w:pPr>
          </w:p>
        </w:tc>
        <w:tc>
          <w:tcPr>
            <w:tcW w:w="2060" w:type="dxa"/>
            <w:vAlign w:val="bottom"/>
            <w:gridSpan w:val="21"/>
          </w:tcPr>
          <w:p>
            <w:pPr>
              <w:spacing w:after="0"/>
              <w:rPr>
                <w:sz w:val="20"/>
                <w:szCs w:val="20"/>
                <w:color w:val="auto"/>
              </w:rPr>
            </w:pPr>
            <w:r>
              <w:rPr>
                <w:rFonts w:ascii="Arial" w:cs="Arial" w:eastAsia="Arial" w:hAnsi="Arial"/>
                <w:sz w:val="22"/>
                <w:szCs w:val="22"/>
                <w:color w:val="auto"/>
                <w:w w:val="97"/>
              </w:rPr>
              <w:t>Prepayment of Loans</w:t>
            </w:r>
          </w:p>
        </w:tc>
        <w:tc>
          <w:tcPr>
            <w:tcW w:w="2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26</w:t>
            </w:r>
          </w:p>
        </w:tc>
        <w:tc>
          <w:tcPr>
            <w:tcW w:w="240" w:type="dxa"/>
            <w:vAlign w:val="bottom"/>
            <w:tcBorders>
              <w:bottom w:val="single" w:sz="8" w:color="0000FF"/>
            </w:tcBorders>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600" w:type="dxa"/>
            <w:vAlign w:val="bottom"/>
            <w:gridSpan w:val="4"/>
          </w:tcPr>
          <w:p>
            <w:pPr>
              <w:spacing w:after="0"/>
              <w:rPr>
                <w:sz w:val="20"/>
                <w:szCs w:val="20"/>
                <w:color w:val="auto"/>
              </w:rPr>
            </w:pPr>
            <w:r>
              <w:rPr>
                <w:rFonts w:ascii="Arial" w:cs="Arial" w:eastAsia="Arial" w:hAnsi="Arial"/>
                <w:sz w:val="22"/>
                <w:szCs w:val="22"/>
                <w:color w:val="auto"/>
              </w:rPr>
              <w:t>SECTION 2.10.</w:t>
            </w:r>
          </w:p>
        </w:tc>
        <w:tc>
          <w:tcPr>
            <w:tcW w:w="500" w:type="dxa"/>
            <w:vAlign w:val="bottom"/>
          </w:tcPr>
          <w:p>
            <w:pPr>
              <w:spacing w:after="0"/>
              <w:rPr>
                <w:sz w:val="20"/>
                <w:szCs w:val="20"/>
                <w:color w:val="auto"/>
              </w:rPr>
            </w:pPr>
            <w:r>
              <w:rPr>
                <w:rFonts w:ascii="Arial" w:cs="Arial" w:eastAsia="Arial" w:hAnsi="Arial"/>
                <w:sz w:val="22"/>
                <w:szCs w:val="22"/>
                <w:color w:val="auto"/>
                <w:w w:val="98"/>
              </w:rPr>
              <w:t>Fees</w:t>
            </w:r>
          </w:p>
        </w:tc>
        <w:tc>
          <w:tcPr>
            <w:tcW w:w="340" w:type="dxa"/>
            <w:vAlign w:val="bottom"/>
            <w:gridSpan w:val="3"/>
          </w:tcPr>
          <w:p>
            <w:pPr>
              <w:jc w:val="right"/>
              <w:spacing w:after="0"/>
              <w:rPr>
                <w:sz w:val="20"/>
                <w:szCs w:val="20"/>
                <w:color w:val="auto"/>
              </w:rPr>
            </w:pPr>
            <w:r>
              <w:rPr>
                <w:rFonts w:ascii="Arial" w:cs="Arial" w:eastAsia="Arial" w:hAnsi="Arial"/>
                <w:sz w:val="22"/>
                <w:szCs w:val="22"/>
                <w:color w:val="FF0000"/>
                <w:strike w:val="1"/>
              </w:rPr>
              <w:t>27</w:t>
            </w:r>
          </w:p>
        </w:tc>
        <w:tc>
          <w:tcPr>
            <w:tcW w:w="300" w:type="dxa"/>
            <w:vAlign w:val="bottom"/>
            <w:gridSpan w:val="4"/>
          </w:tcPr>
          <w:p>
            <w:pPr>
              <w:jc w:val="right"/>
              <w:ind w:right="100"/>
              <w:spacing w:after="0"/>
              <w:rPr>
                <w:sz w:val="20"/>
                <w:szCs w:val="20"/>
                <w:color w:val="auto"/>
              </w:rPr>
            </w:pPr>
            <w:r>
              <w:rPr>
                <w:rFonts w:ascii="Arial" w:cs="Arial" w:eastAsia="Arial" w:hAnsi="Arial"/>
                <w:sz w:val="22"/>
                <w:szCs w:val="22"/>
                <w:b w:val="1"/>
                <w:bCs w:val="1"/>
                <w:color w:val="0000FF"/>
                <w:w w:val="73"/>
              </w:rPr>
              <w:t>29</w:t>
            </w: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0000FF"/>
                <w:w w:val="73"/>
              </w:rPr>
              <w:t>30</w:t>
            </w:r>
          </w:p>
        </w:tc>
        <w:tc>
          <w:tcPr>
            <w:tcW w:w="7180" w:type="dxa"/>
            <w:vAlign w:val="bottom"/>
            <w:gridSpan w:val="5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0000FF"/>
            </w:tcBorders>
            <w:gridSpan w:val="8"/>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718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600" w:type="dxa"/>
            <w:vAlign w:val="bottom"/>
            <w:gridSpan w:val="4"/>
          </w:tcPr>
          <w:p>
            <w:pPr>
              <w:spacing w:after="0"/>
              <w:rPr>
                <w:sz w:val="20"/>
                <w:szCs w:val="20"/>
                <w:color w:val="auto"/>
              </w:rPr>
            </w:pPr>
            <w:r>
              <w:rPr>
                <w:rFonts w:ascii="Arial" w:cs="Arial" w:eastAsia="Arial" w:hAnsi="Arial"/>
                <w:sz w:val="22"/>
                <w:szCs w:val="22"/>
                <w:color w:val="auto"/>
              </w:rPr>
              <w:t>SECTION 2.11.</w:t>
            </w:r>
          </w:p>
        </w:tc>
        <w:tc>
          <w:tcPr>
            <w:tcW w:w="840" w:type="dxa"/>
            <w:vAlign w:val="bottom"/>
            <w:gridSpan w:val="4"/>
          </w:tcPr>
          <w:p>
            <w:pPr>
              <w:spacing w:after="0"/>
              <w:rPr>
                <w:sz w:val="20"/>
                <w:szCs w:val="20"/>
                <w:color w:val="auto"/>
              </w:rPr>
            </w:pPr>
            <w:r>
              <w:rPr>
                <w:rFonts w:ascii="Arial" w:cs="Arial" w:eastAsia="Arial" w:hAnsi="Arial"/>
                <w:sz w:val="22"/>
                <w:szCs w:val="22"/>
                <w:color w:val="auto"/>
              </w:rPr>
              <w:t>Interest</w:t>
            </w:r>
          </w:p>
        </w:tc>
        <w:tc>
          <w:tcPr>
            <w:tcW w:w="300" w:type="dxa"/>
            <w:vAlign w:val="bottom"/>
            <w:gridSpan w:val="4"/>
          </w:tcPr>
          <w:p>
            <w:pPr>
              <w:ind w:left="20"/>
              <w:spacing w:after="0"/>
              <w:rPr>
                <w:sz w:val="20"/>
                <w:szCs w:val="20"/>
                <w:color w:val="auto"/>
              </w:rPr>
            </w:pPr>
            <w:r>
              <w:rPr>
                <w:rFonts w:ascii="Arial" w:cs="Arial" w:eastAsia="Arial" w:hAnsi="Arial"/>
                <w:sz w:val="22"/>
                <w:szCs w:val="22"/>
                <w:color w:val="FF0000"/>
                <w:strike w:val="1"/>
                <w:w w:val="97"/>
              </w:rPr>
              <w:t>28</w:t>
            </w:r>
          </w:p>
        </w:tc>
        <w:tc>
          <w:tcPr>
            <w:tcW w:w="160" w:type="dxa"/>
            <w:vAlign w:val="bottom"/>
            <w:tcBorders>
              <w:bottom w:val="single" w:sz="8" w:color="0000FF"/>
            </w:tcBorders>
            <w:gridSpan w:val="2"/>
            <w:vMerge w:val="continue"/>
          </w:tcPr>
          <w:p>
            <w:pPr>
              <w:spacing w:after="0"/>
              <w:rPr>
                <w:sz w:val="24"/>
                <w:szCs w:val="24"/>
                <w:color w:val="auto"/>
              </w:rPr>
            </w:pPr>
          </w:p>
        </w:tc>
        <w:tc>
          <w:tcPr>
            <w:tcW w:w="7180" w:type="dxa"/>
            <w:vAlign w:val="bottom"/>
            <w:gridSpan w:val="5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2.12.</w:t>
            </w:r>
          </w:p>
        </w:tc>
        <w:tc>
          <w:tcPr>
            <w:tcW w:w="480" w:type="dxa"/>
            <w:vAlign w:val="bottom"/>
          </w:tcPr>
          <w:p>
            <w:pPr>
              <w:spacing w:after="0"/>
              <w:rPr>
                <w:sz w:val="24"/>
                <w:szCs w:val="24"/>
                <w:color w:val="auto"/>
              </w:rPr>
            </w:pPr>
          </w:p>
        </w:tc>
        <w:tc>
          <w:tcPr>
            <w:tcW w:w="3340" w:type="dxa"/>
            <w:vAlign w:val="bottom"/>
            <w:gridSpan w:val="42"/>
          </w:tcPr>
          <w:p>
            <w:pPr>
              <w:spacing w:after="0"/>
              <w:rPr>
                <w:sz w:val="20"/>
                <w:szCs w:val="20"/>
                <w:color w:val="auto"/>
              </w:rPr>
            </w:pPr>
            <w:r>
              <w:rPr>
                <w:rFonts w:ascii="Arial" w:cs="Arial" w:eastAsia="Arial" w:hAnsi="Arial"/>
                <w:sz w:val="22"/>
                <w:szCs w:val="22"/>
                <w:color w:val="auto"/>
                <w:w w:val="95"/>
              </w:rPr>
              <w:t>Alternate Rate of Interest</w:t>
            </w:r>
            <w:r>
              <w:rPr>
                <w:rFonts w:ascii="Arial" w:cs="Arial" w:eastAsia="Arial" w:hAnsi="Arial"/>
                <w:sz w:val="22"/>
                <w:szCs w:val="22"/>
                <w:b w:val="1"/>
                <w:bCs w:val="1"/>
                <w:color w:val="0000FF"/>
                <w:w w:val="95"/>
              </w:rPr>
              <w:t>; Illegality</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28</w:t>
            </w:r>
          </w:p>
        </w:tc>
        <w:tc>
          <w:tcPr>
            <w:tcW w:w="280" w:type="dxa"/>
            <w:vAlign w:val="bottom"/>
            <w:gridSpan w:val="5"/>
          </w:tcPr>
          <w:p>
            <w:pPr>
              <w:jc w:val="right"/>
              <w:ind w:right="60"/>
              <w:spacing w:after="0"/>
              <w:rPr>
                <w:sz w:val="20"/>
                <w:szCs w:val="20"/>
                <w:color w:val="auto"/>
              </w:rPr>
            </w:pPr>
            <w:r>
              <w:rPr>
                <w:rFonts w:ascii="Arial" w:cs="Arial" w:eastAsia="Arial" w:hAnsi="Arial"/>
                <w:sz w:val="22"/>
                <w:szCs w:val="22"/>
                <w:b w:val="1"/>
                <w:bCs w:val="1"/>
                <w:color w:val="0000FF"/>
                <w:w w:val="81"/>
              </w:rPr>
              <w:t>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2.13.</w:t>
            </w:r>
          </w:p>
        </w:tc>
        <w:tc>
          <w:tcPr>
            <w:tcW w:w="480" w:type="dxa"/>
            <w:vAlign w:val="bottom"/>
          </w:tcPr>
          <w:p>
            <w:pPr>
              <w:spacing w:after="0"/>
              <w:rPr>
                <w:sz w:val="24"/>
                <w:szCs w:val="24"/>
                <w:color w:val="auto"/>
              </w:rPr>
            </w:pPr>
          </w:p>
        </w:tc>
        <w:tc>
          <w:tcPr>
            <w:tcW w:w="1440" w:type="dxa"/>
            <w:vAlign w:val="bottom"/>
            <w:gridSpan w:val="11"/>
          </w:tcPr>
          <w:p>
            <w:pPr>
              <w:spacing w:after="0"/>
              <w:rPr>
                <w:sz w:val="20"/>
                <w:szCs w:val="20"/>
                <w:color w:val="auto"/>
              </w:rPr>
            </w:pPr>
            <w:r>
              <w:rPr>
                <w:rFonts w:ascii="Arial" w:cs="Arial" w:eastAsia="Arial" w:hAnsi="Arial"/>
                <w:sz w:val="22"/>
                <w:szCs w:val="22"/>
                <w:color w:val="auto"/>
                <w:w w:val="89"/>
              </w:rPr>
              <w:t>Increased Costs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29</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73"/>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bottom w:val="single" w:sz="8" w:color="0000FF"/>
            </w:tcBorders>
            <w:gridSpan w:val="4"/>
            <w:vMerge w:val="restart"/>
          </w:tcPr>
          <w:p>
            <w:pPr>
              <w:jc w:val="right"/>
              <w:spacing w:after="0"/>
              <w:rPr>
                <w:sz w:val="20"/>
                <w:szCs w:val="20"/>
                <w:color w:val="auto"/>
              </w:rPr>
            </w:pPr>
            <w:r>
              <w:rPr>
                <w:rFonts w:ascii="Arial" w:cs="Arial" w:eastAsia="Arial" w:hAnsi="Arial"/>
                <w:sz w:val="22"/>
                <w:szCs w:val="22"/>
                <w:b w:val="1"/>
                <w:bCs w:val="1"/>
                <w:color w:val="0000FF"/>
                <w:w w:val="81"/>
              </w:rPr>
              <w:t>33</w:t>
            </w: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2.14.</w:t>
            </w:r>
          </w:p>
        </w:tc>
        <w:tc>
          <w:tcPr>
            <w:tcW w:w="480" w:type="dxa"/>
            <w:vAlign w:val="bottom"/>
          </w:tcPr>
          <w:p>
            <w:pPr>
              <w:spacing w:after="0"/>
              <w:rPr>
                <w:sz w:val="24"/>
                <w:szCs w:val="24"/>
                <w:color w:val="auto"/>
              </w:rPr>
            </w:pPr>
          </w:p>
        </w:tc>
        <w:tc>
          <w:tcPr>
            <w:tcW w:w="2400" w:type="dxa"/>
            <w:vAlign w:val="bottom"/>
            <w:gridSpan w:val="28"/>
          </w:tcPr>
          <w:p>
            <w:pPr>
              <w:spacing w:after="0"/>
              <w:rPr>
                <w:sz w:val="20"/>
                <w:szCs w:val="20"/>
                <w:color w:val="auto"/>
              </w:rPr>
            </w:pPr>
            <w:r>
              <w:rPr>
                <w:rFonts w:ascii="Arial" w:cs="Arial" w:eastAsia="Arial" w:hAnsi="Arial"/>
                <w:sz w:val="22"/>
                <w:szCs w:val="22"/>
                <w:color w:val="auto"/>
                <w:w w:val="96"/>
              </w:rPr>
              <w:t>Break Funding Payments</w:t>
            </w: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30</w:t>
            </w:r>
          </w:p>
        </w:tc>
        <w:tc>
          <w:tcPr>
            <w:tcW w:w="220" w:type="dxa"/>
            <w:vAlign w:val="bottom"/>
            <w:tcBorders>
              <w:bottom w:val="single" w:sz="8" w:color="0000FF"/>
            </w:tcBorders>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600" w:type="dxa"/>
            <w:vAlign w:val="bottom"/>
            <w:gridSpan w:val="4"/>
          </w:tcPr>
          <w:p>
            <w:pPr>
              <w:spacing w:after="0"/>
              <w:rPr>
                <w:sz w:val="20"/>
                <w:szCs w:val="20"/>
                <w:color w:val="auto"/>
              </w:rPr>
            </w:pPr>
            <w:r>
              <w:rPr>
                <w:rFonts w:ascii="Arial" w:cs="Arial" w:eastAsia="Arial" w:hAnsi="Arial"/>
                <w:sz w:val="22"/>
                <w:szCs w:val="22"/>
                <w:color w:val="auto"/>
              </w:rPr>
              <w:t>SECTION 2.15.</w:t>
            </w:r>
          </w:p>
        </w:tc>
        <w:tc>
          <w:tcPr>
            <w:tcW w:w="640" w:type="dxa"/>
            <w:vAlign w:val="bottom"/>
            <w:gridSpan w:val="2"/>
          </w:tcPr>
          <w:p>
            <w:pPr>
              <w:spacing w:after="0"/>
              <w:rPr>
                <w:sz w:val="20"/>
                <w:szCs w:val="20"/>
                <w:color w:val="auto"/>
              </w:rPr>
            </w:pPr>
            <w:r>
              <w:rPr>
                <w:rFonts w:ascii="Arial" w:cs="Arial" w:eastAsia="Arial" w:hAnsi="Arial"/>
                <w:sz w:val="22"/>
                <w:szCs w:val="22"/>
                <w:color w:val="auto"/>
                <w:w w:val="80"/>
              </w:rPr>
              <w:t>Taxes</w:t>
            </w:r>
          </w:p>
        </w:tc>
        <w:tc>
          <w:tcPr>
            <w:tcW w:w="300" w:type="dxa"/>
            <w:vAlign w:val="bottom"/>
            <w:gridSpan w:val="3"/>
          </w:tcPr>
          <w:p>
            <w:pPr>
              <w:jc w:val="right"/>
              <w:spacing w:after="0"/>
              <w:rPr>
                <w:sz w:val="20"/>
                <w:szCs w:val="20"/>
                <w:color w:val="auto"/>
              </w:rPr>
            </w:pPr>
            <w:r>
              <w:rPr>
                <w:rFonts w:ascii="Arial" w:cs="Arial" w:eastAsia="Arial" w:hAnsi="Arial"/>
                <w:sz w:val="22"/>
                <w:szCs w:val="22"/>
                <w:color w:val="FF0000"/>
                <w:strike w:val="1"/>
              </w:rPr>
              <w:t>30</w:t>
            </w:r>
          </w:p>
        </w:tc>
        <w:tc>
          <w:tcPr>
            <w:tcW w:w="3340" w:type="dxa"/>
            <w:vAlign w:val="bottom"/>
            <w:gridSpan w:val="52"/>
          </w:tcPr>
          <w:p>
            <w:pPr>
              <w:jc w:val="right"/>
              <w:ind w:right="3032"/>
              <w:spacing w:after="0"/>
              <w:rPr>
                <w:sz w:val="20"/>
                <w:szCs w:val="20"/>
                <w:color w:val="auto"/>
              </w:rPr>
            </w:pPr>
            <w:r>
              <w:rPr>
                <w:rFonts w:ascii="Arial" w:cs="Arial" w:eastAsia="Arial" w:hAnsi="Arial"/>
                <w:sz w:val="22"/>
                <w:szCs w:val="22"/>
                <w:b w:val="1"/>
                <w:bCs w:val="1"/>
                <w:color w:val="0000FF"/>
                <w:w w:val="73"/>
              </w:rPr>
              <w:t>34</w:t>
            </w: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73"/>
              </w:rPr>
              <w:t>37</w:t>
            </w:r>
          </w:p>
        </w:tc>
        <w:tc>
          <w:tcPr>
            <w:tcW w:w="4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2.16.</w:t>
            </w:r>
          </w:p>
        </w:tc>
        <w:tc>
          <w:tcPr>
            <w:tcW w:w="480" w:type="dxa"/>
            <w:vAlign w:val="bottom"/>
          </w:tcPr>
          <w:p>
            <w:pPr>
              <w:spacing w:after="0"/>
              <w:rPr>
                <w:sz w:val="24"/>
                <w:szCs w:val="24"/>
                <w:color w:val="auto"/>
              </w:rPr>
            </w:pPr>
          </w:p>
        </w:tc>
        <w:tc>
          <w:tcPr>
            <w:tcW w:w="3880" w:type="dxa"/>
            <w:vAlign w:val="bottom"/>
            <w:gridSpan w:val="52"/>
          </w:tcPr>
          <w:p>
            <w:pPr>
              <w:spacing w:after="0"/>
              <w:rPr>
                <w:sz w:val="20"/>
                <w:szCs w:val="20"/>
                <w:color w:val="auto"/>
              </w:rPr>
            </w:pPr>
            <w:r>
              <w:rPr>
                <w:rFonts w:ascii="Arial" w:cs="Arial" w:eastAsia="Arial" w:hAnsi="Arial"/>
                <w:sz w:val="22"/>
                <w:szCs w:val="22"/>
                <w:color w:val="auto"/>
                <w:w w:val="89"/>
              </w:rPr>
              <w:t>Payments Generally; Allocation of Proceeds</w:t>
            </w:r>
          </w:p>
        </w:tc>
        <w:tc>
          <w:tcPr>
            <w:tcW w:w="400" w:type="dxa"/>
            <w:vAlign w:val="bottom"/>
            <w:gridSpan w:val="5"/>
          </w:tcPr>
          <w:p>
            <w:pPr>
              <w:jc w:val="right"/>
              <w:spacing w:after="0"/>
              <w:rPr>
                <w:sz w:val="20"/>
                <w:szCs w:val="20"/>
                <w:color w:val="auto"/>
              </w:rPr>
            </w:pPr>
            <w:r>
              <w:rPr>
                <w:rFonts w:ascii="Arial" w:cs="Arial" w:eastAsia="Arial" w:hAnsi="Arial"/>
                <w:sz w:val="22"/>
                <w:szCs w:val="22"/>
                <w:color w:val="FF0000"/>
                <w:strike w:val="1"/>
              </w:rPr>
              <w:t>34</w:t>
            </w:r>
          </w:p>
        </w:tc>
        <w:tc>
          <w:tcPr>
            <w:tcW w:w="200" w:type="dxa"/>
            <w:vAlign w:val="bottom"/>
            <w:tcBorders>
              <w:bottom w:val="single" w:sz="8" w:color="0000FF"/>
            </w:tcBorders>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2.17.</w:t>
            </w:r>
          </w:p>
        </w:tc>
        <w:tc>
          <w:tcPr>
            <w:tcW w:w="480" w:type="dxa"/>
            <w:vAlign w:val="bottom"/>
          </w:tcPr>
          <w:p>
            <w:pPr>
              <w:spacing w:after="0"/>
              <w:rPr>
                <w:sz w:val="24"/>
                <w:szCs w:val="24"/>
                <w:color w:val="auto"/>
              </w:rPr>
            </w:pPr>
          </w:p>
        </w:tc>
        <w:tc>
          <w:tcPr>
            <w:tcW w:w="2940" w:type="dxa"/>
            <w:vAlign w:val="bottom"/>
            <w:gridSpan w:val="36"/>
          </w:tcPr>
          <w:p>
            <w:pPr>
              <w:spacing w:after="0"/>
              <w:rPr>
                <w:sz w:val="20"/>
                <w:szCs w:val="20"/>
                <w:color w:val="auto"/>
              </w:rPr>
            </w:pPr>
            <w:r>
              <w:rPr>
                <w:rFonts w:ascii="Arial" w:cs="Arial" w:eastAsia="Arial" w:hAnsi="Arial"/>
                <w:sz w:val="22"/>
                <w:szCs w:val="22"/>
                <w:color w:val="auto"/>
                <w:w w:val="89"/>
              </w:rPr>
              <w:t>Indemnity for Returned Payments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35</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540" w:type="dxa"/>
            <w:vAlign w:val="bottom"/>
            <w:gridSpan w:val="40"/>
          </w:tcPr>
          <w:p>
            <w:pPr>
              <w:spacing w:after="0"/>
              <w:rPr>
                <w:sz w:val="20"/>
                <w:szCs w:val="20"/>
                <w:color w:val="auto"/>
              </w:rPr>
            </w:pPr>
            <w:r>
              <w:rPr>
                <w:rFonts w:ascii="Arial" w:cs="Arial" w:eastAsia="Arial" w:hAnsi="Arial"/>
                <w:sz w:val="22"/>
                <w:szCs w:val="22"/>
                <w:color w:val="auto"/>
                <w:w w:val="97"/>
              </w:rPr>
              <w:t>ARTICLE III    REPRESENTATIONS AND WARRANTIES</w:t>
            </w:r>
          </w:p>
        </w:tc>
        <w:tc>
          <w:tcPr>
            <w:tcW w:w="4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rPr>
              <w:t>35</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3.01.</w:t>
            </w:r>
          </w:p>
        </w:tc>
        <w:tc>
          <w:tcPr>
            <w:tcW w:w="480" w:type="dxa"/>
            <w:vAlign w:val="bottom"/>
          </w:tcPr>
          <w:p>
            <w:pPr>
              <w:spacing w:after="0"/>
              <w:rPr>
                <w:sz w:val="24"/>
                <w:szCs w:val="24"/>
                <w:color w:val="auto"/>
              </w:rPr>
            </w:pPr>
          </w:p>
        </w:tc>
        <w:tc>
          <w:tcPr>
            <w:tcW w:w="2060" w:type="dxa"/>
            <w:vAlign w:val="bottom"/>
            <w:gridSpan w:val="21"/>
          </w:tcPr>
          <w:p>
            <w:pPr>
              <w:spacing w:after="0"/>
              <w:rPr>
                <w:sz w:val="20"/>
                <w:szCs w:val="20"/>
                <w:color w:val="auto"/>
              </w:rPr>
            </w:pPr>
            <w:r>
              <w:rPr>
                <w:rFonts w:ascii="Arial" w:cs="Arial" w:eastAsia="Arial" w:hAnsi="Arial"/>
                <w:sz w:val="22"/>
                <w:szCs w:val="22"/>
                <w:color w:val="auto"/>
                <w:w w:val="96"/>
              </w:rPr>
              <w:t>Organization; Powers</w:t>
            </w:r>
          </w:p>
        </w:tc>
        <w:tc>
          <w:tcPr>
            <w:tcW w:w="2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35</w:t>
            </w:r>
          </w:p>
        </w:tc>
        <w:tc>
          <w:tcPr>
            <w:tcW w:w="320" w:type="dxa"/>
            <w:vAlign w:val="bottom"/>
            <w:gridSpan w:val="4"/>
          </w:tcPr>
          <w:p>
            <w:pPr>
              <w:jc w:val="right"/>
              <w:spacing w:after="0"/>
              <w:rPr>
                <w:sz w:val="20"/>
                <w:szCs w:val="20"/>
                <w:color w:val="auto"/>
              </w:rPr>
            </w:pPr>
            <w:r>
              <w:rPr>
                <w:rFonts w:ascii="Arial" w:cs="Arial" w:eastAsia="Arial" w:hAnsi="Arial"/>
                <w:sz w:val="22"/>
                <w:szCs w:val="22"/>
                <w:b w:val="1"/>
                <w:bCs w:val="1"/>
                <w:color w:val="0000FF"/>
                <w:w w:val="81"/>
              </w:rPr>
              <w:t>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39</w:t>
            </w:r>
          </w:p>
        </w:tc>
        <w:tc>
          <w:tcPr>
            <w:tcW w:w="260" w:type="dxa"/>
            <w:vAlign w:val="bottom"/>
            <w:gridSpan w:val="5"/>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3.02.</w:t>
            </w:r>
          </w:p>
        </w:tc>
        <w:tc>
          <w:tcPr>
            <w:tcW w:w="480" w:type="dxa"/>
            <w:vAlign w:val="bottom"/>
          </w:tcPr>
          <w:p>
            <w:pPr>
              <w:spacing w:after="0"/>
              <w:rPr>
                <w:sz w:val="24"/>
                <w:szCs w:val="24"/>
                <w:color w:val="auto"/>
              </w:rPr>
            </w:pPr>
          </w:p>
        </w:tc>
        <w:tc>
          <w:tcPr>
            <w:tcW w:w="2760" w:type="dxa"/>
            <w:vAlign w:val="bottom"/>
            <w:gridSpan w:val="34"/>
          </w:tcPr>
          <w:p>
            <w:pPr>
              <w:spacing w:after="0"/>
              <w:rPr>
                <w:sz w:val="20"/>
                <w:szCs w:val="20"/>
                <w:color w:val="auto"/>
              </w:rPr>
            </w:pPr>
            <w:r>
              <w:rPr>
                <w:rFonts w:ascii="Arial" w:cs="Arial" w:eastAsia="Arial" w:hAnsi="Arial"/>
                <w:sz w:val="22"/>
                <w:szCs w:val="22"/>
                <w:color w:val="auto"/>
              </w:rPr>
              <w:t>Authorization; Enforceability</w:t>
            </w: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35</w:t>
            </w:r>
          </w:p>
        </w:tc>
        <w:tc>
          <w:tcPr>
            <w:tcW w:w="220" w:type="dxa"/>
            <w:vAlign w:val="bottom"/>
            <w:tcBorders>
              <w:bottom w:val="single" w:sz="8" w:color="0000FF"/>
            </w:tcBorders>
            <w:gridSpan w:val="2"/>
            <w:vMerge w:val="continue"/>
          </w:tcPr>
          <w:p>
            <w:pPr>
              <w:spacing w:after="0"/>
              <w:rPr>
                <w:sz w:val="24"/>
                <w:szCs w:val="24"/>
                <w:color w:val="auto"/>
              </w:rPr>
            </w:pPr>
          </w:p>
        </w:tc>
        <w:tc>
          <w:tcPr>
            <w:tcW w:w="26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vMerge w:val="restart"/>
          </w:tcPr>
          <w:p>
            <w:pPr>
              <w:jc w:val="right"/>
              <w:ind w:right="40"/>
              <w:spacing w:after="0"/>
              <w:rPr>
                <w:sz w:val="20"/>
                <w:szCs w:val="20"/>
                <w:color w:val="auto"/>
              </w:rPr>
            </w:pPr>
            <w:r>
              <w:rPr>
                <w:rFonts w:ascii="Arial" w:cs="Arial" w:eastAsia="Arial" w:hAnsi="Arial"/>
                <w:sz w:val="22"/>
                <w:szCs w:val="22"/>
                <w:b w:val="1"/>
                <w:bCs w:val="1"/>
                <w:color w:val="0000FF"/>
                <w:w w:val="81"/>
              </w:rPr>
              <w:t>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3.03.</w:t>
            </w:r>
          </w:p>
        </w:tc>
        <w:tc>
          <w:tcPr>
            <w:tcW w:w="480" w:type="dxa"/>
            <w:vAlign w:val="bottom"/>
          </w:tcPr>
          <w:p>
            <w:pPr>
              <w:spacing w:after="0"/>
              <w:rPr>
                <w:sz w:val="24"/>
                <w:szCs w:val="24"/>
                <w:color w:val="auto"/>
              </w:rPr>
            </w:pPr>
          </w:p>
        </w:tc>
        <w:tc>
          <w:tcPr>
            <w:tcW w:w="3460" w:type="dxa"/>
            <w:vAlign w:val="bottom"/>
            <w:gridSpan w:val="44"/>
          </w:tcPr>
          <w:p>
            <w:pPr>
              <w:spacing w:after="0"/>
              <w:rPr>
                <w:sz w:val="20"/>
                <w:szCs w:val="20"/>
                <w:color w:val="auto"/>
              </w:rPr>
            </w:pPr>
            <w:r>
              <w:rPr>
                <w:rFonts w:ascii="Arial" w:cs="Arial" w:eastAsia="Arial" w:hAnsi="Arial"/>
                <w:sz w:val="22"/>
                <w:szCs w:val="22"/>
                <w:color w:val="auto"/>
                <w:w w:val="92"/>
              </w:rPr>
              <w:t>Governmental Approvals; No Conflicts</w:t>
            </w:r>
          </w:p>
        </w:tc>
        <w:tc>
          <w:tcPr>
            <w:tcW w:w="120" w:type="dxa"/>
            <w:vAlign w:val="bottom"/>
            <w:gridSpan w:val="3"/>
          </w:tcPr>
          <w:p>
            <w:pPr>
              <w:spacing w:after="0"/>
              <w:rPr>
                <w:sz w:val="24"/>
                <w:szCs w:val="24"/>
                <w:color w:val="auto"/>
              </w:rPr>
            </w:pPr>
          </w:p>
        </w:tc>
        <w:tc>
          <w:tcPr>
            <w:tcW w:w="260" w:type="dxa"/>
            <w:vAlign w:val="bottom"/>
            <w:gridSpan w:val="4"/>
          </w:tcPr>
          <w:p>
            <w:pPr>
              <w:ind w:left="40"/>
              <w:spacing w:after="0"/>
              <w:rPr>
                <w:sz w:val="20"/>
                <w:szCs w:val="20"/>
                <w:color w:val="auto"/>
              </w:rPr>
            </w:pPr>
            <w:r>
              <w:rPr>
                <w:rFonts w:ascii="Arial" w:cs="Arial" w:eastAsia="Arial" w:hAnsi="Arial"/>
                <w:sz w:val="22"/>
                <w:szCs w:val="22"/>
                <w:color w:val="FF0000"/>
                <w:strike w:val="1"/>
                <w:w w:val="81"/>
              </w:rPr>
              <w:t>35</w:t>
            </w:r>
          </w:p>
        </w:tc>
        <w:tc>
          <w:tcPr>
            <w:tcW w:w="2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3"/>
            <w:vMerge w:val="restart"/>
          </w:tcPr>
          <w:p>
            <w:pPr>
              <w:jc w:val="right"/>
              <w:ind w:right="3352"/>
              <w:spacing w:after="0"/>
              <w:rPr>
                <w:sz w:val="20"/>
                <w:szCs w:val="20"/>
                <w:color w:val="auto"/>
              </w:rPr>
            </w:pPr>
            <w:r>
              <w:rPr>
                <w:rFonts w:ascii="Arial" w:cs="Arial" w:eastAsia="Arial" w:hAnsi="Arial"/>
                <w:sz w:val="22"/>
                <w:szCs w:val="22"/>
                <w:b w:val="1"/>
                <w:bCs w:val="1"/>
                <w:color w:val="0000FF"/>
                <w:w w:val="81"/>
              </w:rPr>
              <w:t>39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3.04.</w:t>
            </w:r>
          </w:p>
        </w:tc>
        <w:tc>
          <w:tcPr>
            <w:tcW w:w="480" w:type="dxa"/>
            <w:vAlign w:val="bottom"/>
          </w:tcPr>
          <w:p>
            <w:pPr>
              <w:spacing w:after="0"/>
              <w:rPr>
                <w:sz w:val="24"/>
                <w:szCs w:val="24"/>
                <w:color w:val="auto"/>
              </w:rPr>
            </w:pPr>
          </w:p>
        </w:tc>
        <w:tc>
          <w:tcPr>
            <w:tcW w:w="4440" w:type="dxa"/>
            <w:vAlign w:val="bottom"/>
            <w:gridSpan w:val="58"/>
          </w:tcPr>
          <w:p>
            <w:pPr>
              <w:spacing w:after="0"/>
              <w:rPr>
                <w:sz w:val="20"/>
                <w:szCs w:val="20"/>
                <w:color w:val="auto"/>
              </w:rPr>
            </w:pPr>
            <w:r>
              <w:rPr>
                <w:rFonts w:ascii="Arial" w:cs="Arial" w:eastAsia="Arial" w:hAnsi="Arial"/>
                <w:sz w:val="22"/>
                <w:szCs w:val="22"/>
                <w:color w:val="auto"/>
                <w:w w:val="91"/>
              </w:rPr>
              <w:t>Financial Condition; No Material Adverse Change</w:t>
            </w:r>
          </w:p>
        </w:tc>
        <w:tc>
          <w:tcPr>
            <w:tcW w:w="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rPr>
              <w:t>36</w:t>
            </w:r>
          </w:p>
        </w:tc>
        <w:tc>
          <w:tcPr>
            <w:tcW w:w="36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600" w:type="dxa"/>
            <w:vAlign w:val="bottom"/>
            <w:gridSpan w:val="4"/>
          </w:tcPr>
          <w:p>
            <w:pPr>
              <w:spacing w:after="0"/>
              <w:rPr>
                <w:sz w:val="20"/>
                <w:szCs w:val="20"/>
                <w:color w:val="auto"/>
              </w:rPr>
            </w:pPr>
            <w:r>
              <w:rPr>
                <w:rFonts w:ascii="Arial" w:cs="Arial" w:eastAsia="Arial" w:hAnsi="Arial"/>
                <w:sz w:val="22"/>
                <w:szCs w:val="22"/>
                <w:color w:val="auto"/>
              </w:rPr>
              <w:t>SECTION 3.05.</w:t>
            </w:r>
          </w:p>
        </w:tc>
        <w:tc>
          <w:tcPr>
            <w:tcW w:w="1140" w:type="dxa"/>
            <w:vAlign w:val="bottom"/>
            <w:gridSpan w:val="8"/>
          </w:tcPr>
          <w:p>
            <w:pPr>
              <w:spacing w:after="0"/>
              <w:rPr>
                <w:sz w:val="20"/>
                <w:szCs w:val="20"/>
                <w:color w:val="auto"/>
              </w:rPr>
            </w:pPr>
            <w:r>
              <w:rPr>
                <w:rFonts w:ascii="Arial" w:cs="Arial" w:eastAsia="Arial" w:hAnsi="Arial"/>
                <w:sz w:val="22"/>
                <w:szCs w:val="22"/>
                <w:color w:val="auto"/>
              </w:rPr>
              <w:t>Properties</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36</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39</w:t>
            </w:r>
          </w:p>
        </w:tc>
        <w:tc>
          <w:tcPr>
            <w:tcW w:w="3280" w:type="dxa"/>
            <w:vAlign w:val="bottom"/>
            <w:gridSpan w:val="49"/>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80"/>
          </w:cols>
          <w:pgMar w:left="320" w:top="103" w:right="4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47"/>
        </w:trPr>
        <w:tc>
          <w:tcPr>
            <w:tcW w:w="660" w:type="dxa"/>
            <w:vAlign w:val="bottom"/>
            <w:vMerge w:val="restart"/>
          </w:tcPr>
          <w:p>
            <w:pPr>
              <w:spacing w:after="0"/>
              <w:rPr>
                <w:sz w:val="4"/>
                <w:szCs w:val="4"/>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w w:val="94"/>
              </w:rPr>
              <w:t>SECTION 3.06.</w:t>
            </w:r>
          </w:p>
        </w:tc>
        <w:tc>
          <w:tcPr>
            <w:tcW w:w="480" w:type="dxa"/>
            <w:vAlign w:val="bottom"/>
            <w:vMerge w:val="restart"/>
          </w:tcPr>
          <w:p>
            <w:pPr>
              <w:spacing w:after="0"/>
              <w:rPr>
                <w:sz w:val="4"/>
                <w:szCs w:val="4"/>
                <w:color w:val="auto"/>
              </w:rPr>
            </w:pPr>
          </w:p>
        </w:tc>
        <w:tc>
          <w:tcPr>
            <w:tcW w:w="3400" w:type="dxa"/>
            <w:vAlign w:val="bottom"/>
            <w:gridSpan w:val="39"/>
            <w:vMerge w:val="restart"/>
          </w:tcPr>
          <w:p>
            <w:pPr>
              <w:spacing w:after="0"/>
              <w:rPr>
                <w:sz w:val="20"/>
                <w:szCs w:val="20"/>
                <w:color w:val="auto"/>
              </w:rPr>
            </w:pPr>
            <w:r>
              <w:rPr>
                <w:rFonts w:ascii="Arial" w:cs="Arial" w:eastAsia="Arial" w:hAnsi="Arial"/>
                <w:sz w:val="22"/>
                <w:szCs w:val="22"/>
                <w:color w:val="auto"/>
                <w:w w:val="94"/>
              </w:rPr>
              <w:t>Litigation and Environmental Matters</w:t>
            </w:r>
          </w:p>
        </w:tc>
        <w:tc>
          <w:tcPr>
            <w:tcW w:w="300" w:type="dxa"/>
            <w:vAlign w:val="bottom"/>
            <w:gridSpan w:val="2"/>
            <w:vMerge w:val="restart"/>
          </w:tcPr>
          <w:p>
            <w:pPr>
              <w:jc w:val="right"/>
              <w:spacing w:after="0"/>
              <w:rPr>
                <w:sz w:val="20"/>
                <w:szCs w:val="20"/>
                <w:color w:val="auto"/>
              </w:rPr>
            </w:pPr>
            <w:r>
              <w:rPr>
                <w:rFonts w:ascii="Arial" w:cs="Arial" w:eastAsia="Arial" w:hAnsi="Arial"/>
                <w:sz w:val="22"/>
                <w:szCs w:val="22"/>
                <w:color w:val="FF0000"/>
                <w:strike w:val="1"/>
              </w:rPr>
              <w:t>36</w:t>
            </w: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40</w:t>
            </w:r>
          </w:p>
        </w:tc>
        <w:tc>
          <w:tcPr>
            <w:tcW w:w="4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6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520" w:type="dxa"/>
            <w:vAlign w:val="bottom"/>
            <w:gridSpan w:val="2"/>
            <w:vMerge w:val="restart"/>
          </w:tcPr>
          <w:p>
            <w:pPr>
              <w:jc w:val="right"/>
              <w:ind w:right="300"/>
              <w:spacing w:after="0"/>
              <w:rPr>
                <w:sz w:val="20"/>
                <w:szCs w:val="20"/>
                <w:color w:val="auto"/>
              </w:rPr>
            </w:pPr>
            <w:r>
              <w:rPr>
                <w:rFonts w:ascii="Arial" w:cs="Arial" w:eastAsia="Arial" w:hAnsi="Arial"/>
                <w:sz w:val="22"/>
                <w:szCs w:val="22"/>
                <w:b w:val="1"/>
                <w:bCs w:val="1"/>
                <w:color w:val="0000FF"/>
                <w:w w:val="81"/>
              </w:rPr>
              <w:t>40</w:t>
            </w:r>
          </w:p>
        </w:tc>
        <w:tc>
          <w:tcPr>
            <w:tcW w:w="2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66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3400" w:type="dxa"/>
            <w:vAlign w:val="bottom"/>
            <w:gridSpan w:val="39"/>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220" w:type="dxa"/>
            <w:vAlign w:val="bottom"/>
            <w:tcBorders>
              <w:bottom w:val="single" w:sz="8" w:color="0000FF"/>
            </w:tcBorders>
            <w:gridSpan w:val="5"/>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3.07.</w:t>
            </w:r>
          </w:p>
        </w:tc>
        <w:tc>
          <w:tcPr>
            <w:tcW w:w="480" w:type="dxa"/>
            <w:vAlign w:val="bottom"/>
          </w:tcPr>
          <w:p>
            <w:pPr>
              <w:spacing w:after="0"/>
              <w:rPr>
                <w:sz w:val="24"/>
                <w:szCs w:val="24"/>
                <w:color w:val="auto"/>
              </w:rPr>
            </w:pPr>
          </w:p>
        </w:tc>
        <w:tc>
          <w:tcPr>
            <w:tcW w:w="4760" w:type="dxa"/>
            <w:vAlign w:val="bottom"/>
            <w:gridSpan w:val="49"/>
          </w:tcPr>
          <w:p>
            <w:pPr>
              <w:spacing w:after="0"/>
              <w:rPr>
                <w:sz w:val="20"/>
                <w:szCs w:val="20"/>
                <w:color w:val="auto"/>
              </w:rPr>
            </w:pPr>
            <w:r>
              <w:rPr>
                <w:rFonts w:ascii="Arial" w:cs="Arial" w:eastAsia="Arial" w:hAnsi="Arial"/>
                <w:sz w:val="22"/>
                <w:szCs w:val="22"/>
                <w:color w:val="auto"/>
                <w:w w:val="94"/>
              </w:rPr>
              <w:t>Compliance with Laws and Agreements; No Default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37</w:t>
            </w:r>
          </w:p>
        </w:tc>
        <w:tc>
          <w:tcPr>
            <w:tcW w:w="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3.08.</w:t>
            </w:r>
          </w:p>
        </w:tc>
        <w:tc>
          <w:tcPr>
            <w:tcW w:w="480" w:type="dxa"/>
            <w:vAlign w:val="bottom"/>
          </w:tcPr>
          <w:p>
            <w:pPr>
              <w:spacing w:after="0"/>
              <w:rPr>
                <w:sz w:val="24"/>
                <w:szCs w:val="24"/>
                <w:color w:val="auto"/>
              </w:rPr>
            </w:pPr>
          </w:p>
        </w:tc>
        <w:tc>
          <w:tcPr>
            <w:tcW w:w="2500" w:type="dxa"/>
            <w:vAlign w:val="bottom"/>
            <w:gridSpan w:val="25"/>
          </w:tcPr>
          <w:p>
            <w:pPr>
              <w:spacing w:after="0"/>
              <w:rPr>
                <w:sz w:val="20"/>
                <w:szCs w:val="20"/>
                <w:color w:val="auto"/>
              </w:rPr>
            </w:pPr>
            <w:r>
              <w:rPr>
                <w:rFonts w:ascii="Arial" w:cs="Arial" w:eastAsia="Arial" w:hAnsi="Arial"/>
                <w:sz w:val="22"/>
                <w:szCs w:val="22"/>
                <w:color w:val="auto"/>
                <w:w w:val="89"/>
              </w:rPr>
              <w:t>Investment Company Status</w:t>
            </w:r>
          </w:p>
        </w:tc>
        <w:tc>
          <w:tcPr>
            <w:tcW w:w="8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22"/>
                <w:szCs w:val="22"/>
                <w:color w:val="FF0000"/>
                <w:strike w:val="1"/>
              </w:rPr>
              <w:t>37</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40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3.09.</w:t>
            </w:r>
          </w:p>
        </w:tc>
        <w:tc>
          <w:tcPr>
            <w:tcW w:w="4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22"/>
                <w:szCs w:val="22"/>
                <w:color w:val="auto"/>
              </w:rPr>
              <w:t>Taxes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37</w:t>
            </w:r>
          </w:p>
        </w:tc>
        <w:tc>
          <w:tcPr>
            <w:tcW w:w="320" w:type="dxa"/>
            <w:vAlign w:val="bottom"/>
            <w:gridSpan w:val="3"/>
          </w:tcPr>
          <w:p>
            <w:pPr>
              <w:jc w:val="right"/>
              <w:ind w:right="120"/>
              <w:spacing w:after="0"/>
              <w:rPr>
                <w:sz w:val="20"/>
                <w:szCs w:val="20"/>
                <w:color w:val="auto"/>
              </w:rPr>
            </w:pPr>
            <w:r>
              <w:rPr>
                <w:rFonts w:ascii="Arial" w:cs="Arial" w:eastAsia="Arial" w:hAnsi="Arial"/>
                <w:sz w:val="22"/>
                <w:szCs w:val="22"/>
                <w:b w:val="1"/>
                <w:bCs w:val="1"/>
                <w:color w:val="0000FF"/>
                <w:w w:val="73"/>
              </w:rPr>
              <w:t>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3.10.</w:t>
            </w:r>
          </w:p>
        </w:tc>
        <w:tc>
          <w:tcPr>
            <w:tcW w:w="4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22"/>
                <w:szCs w:val="22"/>
                <w:color w:val="auto"/>
              </w:rPr>
              <w:t>ERISA</w:t>
            </w:r>
          </w:p>
        </w:tc>
        <w:tc>
          <w:tcPr>
            <w:tcW w:w="320" w:type="dxa"/>
            <w:vAlign w:val="bottom"/>
            <w:gridSpan w:val="3"/>
          </w:tcPr>
          <w:p>
            <w:pPr>
              <w:jc w:val="right"/>
              <w:spacing w:after="0"/>
              <w:rPr>
                <w:sz w:val="20"/>
                <w:szCs w:val="20"/>
                <w:color w:val="auto"/>
              </w:rPr>
            </w:pPr>
            <w:r>
              <w:rPr>
                <w:rFonts w:ascii="Arial" w:cs="Arial" w:eastAsia="Arial" w:hAnsi="Arial"/>
                <w:sz w:val="22"/>
                <w:szCs w:val="22"/>
                <w:color w:val="FF0000"/>
                <w:strike w:val="1"/>
              </w:rPr>
              <w:t>37</w:t>
            </w:r>
          </w:p>
        </w:tc>
        <w:tc>
          <w:tcPr>
            <w:tcW w:w="240" w:type="dxa"/>
            <w:vAlign w:val="bottom"/>
            <w:gridSpan w:val="3"/>
          </w:tcPr>
          <w:p>
            <w:pPr>
              <w:jc w:val="right"/>
              <w:spacing w:after="0"/>
              <w:rPr>
                <w:sz w:val="20"/>
                <w:szCs w:val="20"/>
                <w:color w:val="auto"/>
              </w:rPr>
            </w:pPr>
            <w:r>
              <w:rPr>
                <w:rFonts w:ascii="Arial" w:cs="Arial" w:eastAsia="Arial" w:hAnsi="Arial"/>
                <w:sz w:val="22"/>
                <w:szCs w:val="22"/>
                <w:b w:val="1"/>
                <w:bCs w:val="1"/>
                <w:color w:val="0000FF"/>
                <w:w w:val="81"/>
              </w:rPr>
              <w:t>41</w:t>
            </w:r>
          </w:p>
        </w:tc>
        <w:tc>
          <w:tcPr>
            <w:tcW w:w="8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3.11.</w:t>
            </w:r>
          </w:p>
        </w:tc>
        <w:tc>
          <w:tcPr>
            <w:tcW w:w="4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22"/>
                <w:szCs w:val="22"/>
                <w:color w:val="auto"/>
                <w:w w:val="89"/>
              </w:rPr>
              <w:t>Disclosure</w:t>
            </w:r>
          </w:p>
        </w:tc>
        <w:tc>
          <w:tcPr>
            <w:tcW w:w="10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rPr>
              <w:t>37</w:t>
            </w:r>
          </w:p>
        </w:tc>
        <w:tc>
          <w:tcPr>
            <w:tcW w:w="220" w:type="dxa"/>
            <w:vAlign w:val="bottom"/>
            <w:tcBorders>
              <w:bottom w:val="single" w:sz="8" w:color="0000FF"/>
            </w:tcBorders>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3.12.</w:t>
            </w:r>
          </w:p>
        </w:tc>
        <w:tc>
          <w:tcPr>
            <w:tcW w:w="480" w:type="dxa"/>
            <w:vAlign w:val="bottom"/>
          </w:tcPr>
          <w:p>
            <w:pPr>
              <w:spacing w:after="0"/>
              <w:rPr>
                <w:sz w:val="24"/>
                <w:szCs w:val="24"/>
                <w:color w:val="auto"/>
              </w:rPr>
            </w:pPr>
          </w:p>
        </w:tc>
        <w:tc>
          <w:tcPr>
            <w:tcW w:w="1960" w:type="dxa"/>
            <w:vAlign w:val="bottom"/>
            <w:gridSpan w:val="17"/>
          </w:tcPr>
          <w:p>
            <w:pPr>
              <w:spacing w:after="0"/>
              <w:rPr>
                <w:sz w:val="20"/>
                <w:szCs w:val="20"/>
                <w:color w:val="auto"/>
              </w:rPr>
            </w:pPr>
            <w:r>
              <w:rPr>
                <w:rFonts w:ascii="Arial" w:cs="Arial" w:eastAsia="Arial" w:hAnsi="Arial"/>
                <w:sz w:val="22"/>
                <w:szCs w:val="22"/>
                <w:color w:val="auto"/>
                <w:w w:val="95"/>
              </w:rPr>
              <w:t>Material Agreements</w:t>
            </w:r>
          </w:p>
        </w:tc>
        <w:tc>
          <w:tcPr>
            <w:tcW w:w="6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2"/>
                <w:szCs w:val="22"/>
                <w:color w:val="FF0000"/>
                <w:strike w:val="1"/>
                <w:w w:val="89"/>
              </w:rPr>
              <w:t>38</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3.13.</w:t>
            </w:r>
          </w:p>
        </w:tc>
        <w:tc>
          <w:tcPr>
            <w:tcW w:w="4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22"/>
                <w:szCs w:val="22"/>
                <w:color w:val="auto"/>
              </w:rPr>
              <w:t>Solvency</w:t>
            </w:r>
          </w:p>
        </w:tc>
        <w:tc>
          <w:tcPr>
            <w:tcW w:w="320" w:type="dxa"/>
            <w:vAlign w:val="bottom"/>
            <w:gridSpan w:val="3"/>
          </w:tcPr>
          <w:p>
            <w:pPr>
              <w:jc w:val="right"/>
              <w:ind w:right="20"/>
              <w:spacing w:after="0"/>
              <w:rPr>
                <w:sz w:val="20"/>
                <w:szCs w:val="20"/>
                <w:color w:val="auto"/>
              </w:rPr>
            </w:pPr>
            <w:r>
              <w:rPr>
                <w:rFonts w:ascii="Arial" w:cs="Arial" w:eastAsia="Arial" w:hAnsi="Arial"/>
                <w:sz w:val="22"/>
                <w:szCs w:val="22"/>
                <w:color w:val="FF0000"/>
                <w:strike w:val="1"/>
              </w:rPr>
              <w:t>38</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73"/>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3.14.</w:t>
            </w:r>
          </w:p>
        </w:tc>
        <w:tc>
          <w:tcPr>
            <w:tcW w:w="4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22"/>
                <w:szCs w:val="22"/>
                <w:color w:val="auto"/>
                <w:w w:val="95"/>
              </w:rPr>
              <w:t>Insurance</w:t>
            </w:r>
          </w:p>
        </w:tc>
        <w:tc>
          <w:tcPr>
            <w:tcW w:w="10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2"/>
                <w:szCs w:val="22"/>
                <w:color w:val="FF0000"/>
                <w:strike w:val="1"/>
                <w:w w:val="89"/>
              </w:rPr>
              <w:t>38</w:t>
            </w:r>
          </w:p>
        </w:tc>
        <w:tc>
          <w:tcPr>
            <w:tcW w:w="300" w:type="dxa"/>
            <w:vAlign w:val="bottom"/>
            <w:gridSpan w:val="3"/>
          </w:tcPr>
          <w:p>
            <w:pPr>
              <w:jc w:val="right"/>
              <w:spacing w:after="0"/>
              <w:rPr>
                <w:sz w:val="20"/>
                <w:szCs w:val="20"/>
                <w:color w:val="auto"/>
              </w:rPr>
            </w:pPr>
            <w:r>
              <w:rPr>
                <w:rFonts w:ascii="Arial" w:cs="Arial" w:eastAsia="Arial" w:hAnsi="Arial"/>
                <w:sz w:val="22"/>
                <w:szCs w:val="22"/>
                <w:b w:val="1"/>
                <w:bCs w:val="1"/>
                <w:color w:val="0000FF"/>
                <w:w w:val="73"/>
              </w:rPr>
              <w:t>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73"/>
              </w:rPr>
              <w:t>42</w:t>
            </w:r>
          </w:p>
        </w:tc>
        <w:tc>
          <w:tcPr>
            <w:tcW w:w="6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3.15.</w:t>
            </w:r>
          </w:p>
        </w:tc>
        <w:tc>
          <w:tcPr>
            <w:tcW w:w="480" w:type="dxa"/>
            <w:vAlign w:val="bottom"/>
          </w:tcPr>
          <w:p>
            <w:pPr>
              <w:spacing w:after="0"/>
              <w:rPr>
                <w:sz w:val="24"/>
                <w:szCs w:val="24"/>
                <w:color w:val="auto"/>
              </w:rPr>
            </w:pPr>
          </w:p>
        </w:tc>
        <w:tc>
          <w:tcPr>
            <w:tcW w:w="2840" w:type="dxa"/>
            <w:vAlign w:val="bottom"/>
            <w:gridSpan w:val="31"/>
          </w:tcPr>
          <w:p>
            <w:pPr>
              <w:spacing w:after="0"/>
              <w:rPr>
                <w:sz w:val="20"/>
                <w:szCs w:val="20"/>
                <w:color w:val="auto"/>
              </w:rPr>
            </w:pPr>
            <w:r>
              <w:rPr>
                <w:rFonts w:ascii="Arial" w:cs="Arial" w:eastAsia="Arial" w:hAnsi="Arial"/>
                <w:sz w:val="22"/>
                <w:szCs w:val="22"/>
                <w:color w:val="auto"/>
                <w:w w:val="93"/>
              </w:rPr>
              <w:t>Capitalization and Subsidiaries</w:t>
            </w:r>
          </w:p>
        </w:tc>
        <w:tc>
          <w:tcPr>
            <w:tcW w:w="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38</w:t>
            </w:r>
          </w:p>
        </w:tc>
        <w:tc>
          <w:tcPr>
            <w:tcW w:w="200" w:type="dxa"/>
            <w:vAlign w:val="bottom"/>
            <w:tcBorders>
              <w:bottom w:val="single" w:sz="8" w:color="0000FF"/>
            </w:tcBorders>
            <w:gridSpan w:val="2"/>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3.16.</w:t>
            </w:r>
          </w:p>
        </w:tc>
        <w:tc>
          <w:tcPr>
            <w:tcW w:w="480" w:type="dxa"/>
            <w:vAlign w:val="bottom"/>
          </w:tcPr>
          <w:p>
            <w:pPr>
              <w:spacing w:after="0"/>
              <w:rPr>
                <w:sz w:val="24"/>
                <w:szCs w:val="24"/>
                <w:color w:val="auto"/>
              </w:rPr>
            </w:pPr>
          </w:p>
        </w:tc>
        <w:tc>
          <w:tcPr>
            <w:tcW w:w="1960" w:type="dxa"/>
            <w:vAlign w:val="bottom"/>
            <w:gridSpan w:val="17"/>
          </w:tcPr>
          <w:p>
            <w:pPr>
              <w:spacing w:after="0"/>
              <w:rPr>
                <w:sz w:val="20"/>
                <w:szCs w:val="20"/>
                <w:color w:val="auto"/>
              </w:rPr>
            </w:pPr>
            <w:r>
              <w:rPr>
                <w:rFonts w:ascii="Arial" w:cs="Arial" w:eastAsia="Arial" w:hAnsi="Arial"/>
                <w:sz w:val="22"/>
                <w:szCs w:val="22"/>
                <w:color w:val="auto"/>
                <w:w w:val="96"/>
              </w:rPr>
              <w:t>Employment Matters</w:t>
            </w:r>
          </w:p>
        </w:tc>
        <w:tc>
          <w:tcPr>
            <w:tcW w:w="6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2"/>
                <w:szCs w:val="22"/>
                <w:color w:val="FF0000"/>
                <w:strike w:val="1"/>
                <w:w w:val="89"/>
              </w:rPr>
              <w:t>39</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3.17.</w:t>
            </w:r>
          </w:p>
        </w:tc>
        <w:tc>
          <w:tcPr>
            <w:tcW w:w="480" w:type="dxa"/>
            <w:vAlign w:val="bottom"/>
          </w:tcPr>
          <w:p>
            <w:pPr>
              <w:spacing w:after="0"/>
              <w:rPr>
                <w:sz w:val="24"/>
                <w:szCs w:val="24"/>
                <w:color w:val="auto"/>
              </w:rPr>
            </w:pPr>
          </w:p>
        </w:tc>
        <w:tc>
          <w:tcPr>
            <w:tcW w:w="2500" w:type="dxa"/>
            <w:vAlign w:val="bottom"/>
            <w:gridSpan w:val="25"/>
          </w:tcPr>
          <w:p>
            <w:pPr>
              <w:spacing w:after="0"/>
              <w:rPr>
                <w:sz w:val="20"/>
                <w:szCs w:val="20"/>
                <w:color w:val="auto"/>
              </w:rPr>
            </w:pPr>
            <w:r>
              <w:rPr>
                <w:rFonts w:ascii="Arial" w:cs="Arial" w:eastAsia="Arial" w:hAnsi="Arial"/>
                <w:sz w:val="22"/>
                <w:szCs w:val="22"/>
                <w:color w:val="auto"/>
                <w:w w:val="87"/>
              </w:rPr>
              <w:t>Federal Reserve Regulations</w:t>
            </w:r>
          </w:p>
        </w:tc>
        <w:tc>
          <w:tcPr>
            <w:tcW w:w="80" w:type="dxa"/>
            <w:vAlign w:val="bottom"/>
          </w:tcPr>
          <w:p>
            <w:pPr>
              <w:spacing w:after="0"/>
              <w:rPr>
                <w:sz w:val="24"/>
                <w:szCs w:val="24"/>
                <w:color w:val="auto"/>
              </w:rPr>
            </w:pPr>
          </w:p>
        </w:tc>
        <w:tc>
          <w:tcPr>
            <w:tcW w:w="340" w:type="dxa"/>
            <w:vAlign w:val="bottom"/>
            <w:gridSpan w:val="7"/>
          </w:tcPr>
          <w:p>
            <w:pPr>
              <w:jc w:val="right"/>
              <w:spacing w:after="0"/>
              <w:rPr>
                <w:sz w:val="20"/>
                <w:szCs w:val="20"/>
                <w:color w:val="auto"/>
              </w:rPr>
            </w:pPr>
            <w:r>
              <w:rPr>
                <w:rFonts w:ascii="Arial" w:cs="Arial" w:eastAsia="Arial" w:hAnsi="Arial"/>
                <w:sz w:val="22"/>
                <w:szCs w:val="22"/>
                <w:color w:val="FF0000"/>
                <w:strike w:val="1"/>
              </w:rPr>
              <w:t>39</w:t>
            </w:r>
          </w:p>
        </w:tc>
        <w:tc>
          <w:tcPr>
            <w:tcW w:w="220" w:type="dxa"/>
            <w:vAlign w:val="bottom"/>
            <w:tcBorders>
              <w:bottom w:val="single" w:sz="8" w:color="0000FF"/>
            </w:tcBorders>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3.18.</w:t>
            </w:r>
          </w:p>
        </w:tc>
        <w:tc>
          <w:tcPr>
            <w:tcW w:w="480" w:type="dxa"/>
            <w:vAlign w:val="bottom"/>
          </w:tcPr>
          <w:p>
            <w:pPr>
              <w:spacing w:after="0"/>
              <w:rPr>
                <w:sz w:val="24"/>
                <w:szCs w:val="24"/>
                <w:color w:val="auto"/>
              </w:rPr>
            </w:pPr>
          </w:p>
        </w:tc>
        <w:tc>
          <w:tcPr>
            <w:tcW w:w="1620" w:type="dxa"/>
            <w:vAlign w:val="bottom"/>
            <w:gridSpan w:val="13"/>
          </w:tcPr>
          <w:p>
            <w:pPr>
              <w:spacing w:after="0"/>
              <w:rPr>
                <w:sz w:val="20"/>
                <w:szCs w:val="20"/>
                <w:color w:val="auto"/>
              </w:rPr>
            </w:pPr>
            <w:r>
              <w:rPr>
                <w:rFonts w:ascii="Arial" w:cs="Arial" w:eastAsia="Arial" w:hAnsi="Arial"/>
                <w:sz w:val="22"/>
                <w:szCs w:val="22"/>
                <w:color w:val="auto"/>
                <w:w w:val="98"/>
              </w:rPr>
              <w:t>Use of Proceeds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39</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73"/>
              </w:rPr>
              <w:t>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3.19.</w:t>
            </w:r>
          </w:p>
        </w:tc>
        <w:tc>
          <w:tcPr>
            <w:tcW w:w="480" w:type="dxa"/>
            <w:vAlign w:val="bottom"/>
          </w:tcPr>
          <w:p>
            <w:pPr>
              <w:spacing w:after="0"/>
              <w:rPr>
                <w:sz w:val="24"/>
                <w:szCs w:val="24"/>
                <w:color w:val="auto"/>
              </w:rPr>
            </w:pPr>
          </w:p>
        </w:tc>
        <w:tc>
          <w:tcPr>
            <w:tcW w:w="2500" w:type="dxa"/>
            <w:vAlign w:val="bottom"/>
            <w:gridSpan w:val="25"/>
          </w:tcPr>
          <w:p>
            <w:pPr>
              <w:spacing w:after="0"/>
              <w:rPr>
                <w:sz w:val="20"/>
                <w:szCs w:val="20"/>
                <w:color w:val="auto"/>
              </w:rPr>
            </w:pPr>
            <w:r>
              <w:rPr>
                <w:rFonts w:ascii="Arial" w:cs="Arial" w:eastAsia="Arial" w:hAnsi="Arial"/>
                <w:sz w:val="22"/>
                <w:szCs w:val="22"/>
                <w:color w:val="auto"/>
                <w:w w:val="88"/>
              </w:rPr>
              <w:t>No Burdensome Restrictions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6"/>
          </w:tcPr>
          <w:p>
            <w:pPr>
              <w:jc w:val="right"/>
              <w:spacing w:after="0"/>
              <w:rPr>
                <w:sz w:val="20"/>
                <w:szCs w:val="20"/>
                <w:color w:val="auto"/>
              </w:rPr>
            </w:pPr>
            <w:r>
              <w:rPr>
                <w:rFonts w:ascii="Arial" w:cs="Arial" w:eastAsia="Arial" w:hAnsi="Arial"/>
                <w:sz w:val="22"/>
                <w:szCs w:val="22"/>
                <w:color w:val="FF0000"/>
                <w:strike w:val="1"/>
                <w:w w:val="73"/>
              </w:rPr>
              <w:t>39</w:t>
            </w:r>
          </w:p>
        </w:tc>
        <w:tc>
          <w:tcPr>
            <w:tcW w:w="200" w:type="dxa"/>
            <w:vAlign w:val="bottom"/>
            <w:tcBorders>
              <w:bottom w:val="single" w:sz="8" w:color="0000FF"/>
            </w:tcBorders>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42</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3.20.</w:t>
            </w:r>
          </w:p>
        </w:tc>
        <w:tc>
          <w:tcPr>
            <w:tcW w:w="480" w:type="dxa"/>
            <w:vAlign w:val="bottom"/>
          </w:tcPr>
          <w:p>
            <w:pPr>
              <w:spacing w:after="0"/>
              <w:rPr>
                <w:sz w:val="24"/>
                <w:szCs w:val="24"/>
                <w:color w:val="auto"/>
              </w:rPr>
            </w:pPr>
          </w:p>
        </w:tc>
        <w:tc>
          <w:tcPr>
            <w:tcW w:w="3400" w:type="dxa"/>
            <w:vAlign w:val="bottom"/>
            <w:gridSpan w:val="39"/>
          </w:tcPr>
          <w:p>
            <w:pPr>
              <w:spacing w:after="0"/>
              <w:rPr>
                <w:sz w:val="20"/>
                <w:szCs w:val="20"/>
                <w:color w:val="auto"/>
              </w:rPr>
            </w:pPr>
            <w:r>
              <w:rPr>
                <w:rFonts w:ascii="Arial" w:cs="Arial" w:eastAsia="Arial" w:hAnsi="Arial"/>
                <w:sz w:val="22"/>
                <w:szCs w:val="22"/>
                <w:color w:val="auto"/>
                <w:w w:val="95"/>
              </w:rPr>
              <w:t>Anti-Corruption Laws and Sanctions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39</w:t>
            </w:r>
          </w:p>
        </w:tc>
        <w:tc>
          <w:tcPr>
            <w:tcW w:w="220" w:type="dxa"/>
            <w:vAlign w:val="bottom"/>
            <w:tcBorders>
              <w:bottom w:val="single" w:sz="8" w:color="0000FF"/>
            </w:tcBorders>
            <w:gridSpan w:val="5"/>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b w:val="1"/>
                <w:bCs w:val="1"/>
                <w:color w:val="0000FF"/>
                <w:w w:val="94"/>
              </w:rPr>
              <w:t>SECTION 3.21.</w:t>
            </w:r>
          </w:p>
        </w:tc>
        <w:tc>
          <w:tcPr>
            <w:tcW w:w="480" w:type="dxa"/>
            <w:vAlign w:val="bottom"/>
          </w:tcPr>
          <w:p>
            <w:pPr>
              <w:spacing w:after="0"/>
              <w:rPr>
                <w:sz w:val="24"/>
                <w:szCs w:val="24"/>
                <w:color w:val="auto"/>
              </w:rPr>
            </w:pPr>
          </w:p>
        </w:tc>
        <w:tc>
          <w:tcPr>
            <w:tcW w:w="3400" w:type="dxa"/>
            <w:vAlign w:val="bottom"/>
            <w:gridSpan w:val="39"/>
          </w:tcPr>
          <w:p>
            <w:pPr>
              <w:spacing w:after="0"/>
              <w:rPr>
                <w:sz w:val="20"/>
                <w:szCs w:val="20"/>
                <w:color w:val="auto"/>
              </w:rPr>
            </w:pPr>
            <w:r>
              <w:rPr>
                <w:rFonts w:ascii="Arial" w:cs="Arial" w:eastAsia="Arial" w:hAnsi="Arial"/>
                <w:sz w:val="22"/>
                <w:szCs w:val="22"/>
                <w:b w:val="1"/>
                <w:bCs w:val="1"/>
                <w:color w:val="0000FF"/>
                <w:w w:val="86"/>
              </w:rPr>
              <w:t>Plan Assets; Prohibited Transactions</w:t>
            </w:r>
          </w:p>
        </w:tc>
        <w:tc>
          <w:tcPr>
            <w:tcW w:w="440" w:type="dxa"/>
            <w:vAlign w:val="bottom"/>
            <w:gridSpan w:val="6"/>
          </w:tcPr>
          <w:p>
            <w:pPr>
              <w:jc w:val="right"/>
              <w:ind w:right="20"/>
              <w:spacing w:after="0"/>
              <w:rPr>
                <w:sz w:val="20"/>
                <w:szCs w:val="20"/>
                <w:color w:val="auto"/>
              </w:rPr>
            </w:pPr>
            <w:r>
              <w:rPr>
                <w:rFonts w:ascii="Arial" w:cs="Arial" w:eastAsia="Arial" w:hAnsi="Arial"/>
                <w:sz w:val="22"/>
                <w:szCs w:val="22"/>
                <w:b w:val="1"/>
                <w:bCs w:val="1"/>
                <w:color w:val="0000FF"/>
              </w:rPr>
              <w:t>43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60" w:type="dxa"/>
            <w:vAlign w:val="bottom"/>
            <w:tcBorders>
              <w:right w:val="single" w:sz="8" w:color="0000FF"/>
            </w:tcBorders>
            <w:gridSpan w:val="12"/>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2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5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22"/>
                <w:szCs w:val="22"/>
                <w:color w:val="auto"/>
              </w:rPr>
              <w:t>ARTICLE IV</w:t>
            </w:r>
          </w:p>
        </w:tc>
        <w:tc>
          <w:tcPr>
            <w:tcW w:w="1720" w:type="dxa"/>
            <w:vAlign w:val="bottom"/>
            <w:gridSpan w:val="3"/>
          </w:tcPr>
          <w:p>
            <w:pPr>
              <w:ind w:left="180"/>
              <w:spacing w:after="0"/>
              <w:rPr>
                <w:sz w:val="20"/>
                <w:szCs w:val="20"/>
                <w:color w:val="auto"/>
              </w:rPr>
            </w:pPr>
            <w:r>
              <w:rPr>
                <w:rFonts w:ascii="Arial" w:cs="Arial" w:eastAsia="Arial" w:hAnsi="Arial"/>
                <w:sz w:val="22"/>
                <w:szCs w:val="22"/>
                <w:color w:val="auto"/>
              </w:rPr>
              <w:t>CONDITIONS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39</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43</w:t>
            </w:r>
          </w:p>
        </w:tc>
        <w:tc>
          <w:tcPr>
            <w:tcW w:w="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4.01.</w:t>
            </w:r>
          </w:p>
        </w:tc>
        <w:tc>
          <w:tcPr>
            <w:tcW w:w="480" w:type="dxa"/>
            <w:vAlign w:val="bottom"/>
          </w:tcPr>
          <w:p>
            <w:pPr>
              <w:spacing w:after="0"/>
              <w:rPr>
                <w:sz w:val="24"/>
                <w:szCs w:val="24"/>
                <w:color w:val="auto"/>
              </w:rPr>
            </w:pPr>
          </w:p>
        </w:tc>
        <w:tc>
          <w:tcPr>
            <w:tcW w:w="1480" w:type="dxa"/>
            <w:vAlign w:val="bottom"/>
            <w:gridSpan w:val="11"/>
          </w:tcPr>
          <w:p>
            <w:pPr>
              <w:spacing w:after="0"/>
              <w:rPr>
                <w:sz w:val="20"/>
                <w:szCs w:val="20"/>
                <w:color w:val="auto"/>
              </w:rPr>
            </w:pPr>
            <w:r>
              <w:rPr>
                <w:rFonts w:ascii="Arial" w:cs="Arial" w:eastAsia="Arial" w:hAnsi="Arial"/>
                <w:sz w:val="22"/>
                <w:szCs w:val="22"/>
                <w:color w:val="auto"/>
              </w:rPr>
              <w:t>Effective Date</w:t>
            </w:r>
          </w:p>
        </w:tc>
        <w:tc>
          <w:tcPr>
            <w:tcW w:w="200" w:type="dxa"/>
            <w:vAlign w:val="bottom"/>
            <w:gridSpan w:val="3"/>
          </w:tcPr>
          <w:p>
            <w:pPr>
              <w:jc w:val="right"/>
              <w:spacing w:after="0"/>
              <w:rPr>
                <w:sz w:val="20"/>
                <w:szCs w:val="20"/>
                <w:color w:val="auto"/>
              </w:rPr>
            </w:pPr>
            <w:r>
              <w:rPr>
                <w:rFonts w:ascii="Arial" w:cs="Arial" w:eastAsia="Arial" w:hAnsi="Arial"/>
                <w:sz w:val="22"/>
                <w:szCs w:val="22"/>
                <w:color w:val="FF0000"/>
                <w:strike w:val="1"/>
                <w:w w:val="73"/>
              </w:rPr>
              <w:t>39</w:t>
            </w:r>
          </w:p>
        </w:tc>
        <w:tc>
          <w:tcPr>
            <w:tcW w:w="220" w:type="dxa"/>
            <w:vAlign w:val="bottom"/>
            <w:tcBorders>
              <w:bottom w:val="single" w:sz="8" w:color="0000FF"/>
            </w:tcBorders>
            <w:gridSpan w:val="2"/>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45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4.02.</w:t>
            </w:r>
          </w:p>
        </w:tc>
        <w:tc>
          <w:tcPr>
            <w:tcW w:w="480" w:type="dxa"/>
            <w:vAlign w:val="bottom"/>
          </w:tcPr>
          <w:p>
            <w:pPr>
              <w:spacing w:after="0"/>
              <w:rPr>
                <w:sz w:val="24"/>
                <w:szCs w:val="24"/>
                <w:color w:val="auto"/>
              </w:rPr>
            </w:pPr>
          </w:p>
        </w:tc>
        <w:tc>
          <w:tcPr>
            <w:tcW w:w="1620" w:type="dxa"/>
            <w:vAlign w:val="bottom"/>
            <w:gridSpan w:val="13"/>
          </w:tcPr>
          <w:p>
            <w:pPr>
              <w:spacing w:after="0"/>
              <w:rPr>
                <w:sz w:val="20"/>
                <w:szCs w:val="20"/>
                <w:color w:val="auto"/>
              </w:rPr>
            </w:pPr>
            <w:r>
              <w:rPr>
                <w:rFonts w:ascii="Arial" w:cs="Arial" w:eastAsia="Arial" w:hAnsi="Arial"/>
                <w:sz w:val="22"/>
                <w:szCs w:val="22"/>
                <w:color w:val="auto"/>
                <w:w w:val="90"/>
              </w:rPr>
              <w:t>Each Credit Event</w:t>
            </w:r>
          </w:p>
        </w:tc>
        <w:tc>
          <w:tcPr>
            <w:tcW w:w="6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22"/>
                <w:szCs w:val="22"/>
                <w:color w:val="FF0000"/>
                <w:strike w:val="1"/>
              </w:rPr>
              <w:t>41</w:t>
            </w:r>
          </w:p>
        </w:tc>
        <w:tc>
          <w:tcPr>
            <w:tcW w:w="220" w:type="dxa"/>
            <w:vAlign w:val="bottom"/>
            <w:tcBorders>
              <w:bottom w:val="single" w:sz="8" w:color="0000FF"/>
            </w:tcBorders>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22"/>
                <w:szCs w:val="22"/>
                <w:color w:val="auto"/>
              </w:rPr>
              <w:t>ARTICLE V</w:t>
            </w:r>
          </w:p>
        </w:tc>
        <w:tc>
          <w:tcPr>
            <w:tcW w:w="3200" w:type="dxa"/>
            <w:vAlign w:val="bottom"/>
            <w:gridSpan w:val="19"/>
          </w:tcPr>
          <w:p>
            <w:pPr>
              <w:ind w:left="180"/>
              <w:spacing w:after="0"/>
              <w:rPr>
                <w:sz w:val="20"/>
                <w:szCs w:val="20"/>
                <w:color w:val="auto"/>
              </w:rPr>
            </w:pPr>
            <w:r>
              <w:rPr>
                <w:rFonts w:ascii="Arial" w:cs="Arial" w:eastAsia="Arial" w:hAnsi="Arial"/>
                <w:sz w:val="22"/>
                <w:szCs w:val="22"/>
                <w:color w:val="auto"/>
              </w:rPr>
              <w:t>AFFIRMATIVE COVENANTS</w:t>
            </w:r>
          </w:p>
        </w:tc>
        <w:tc>
          <w:tcPr>
            <w:tcW w:w="200" w:type="dxa"/>
            <w:vAlign w:val="bottom"/>
            <w:gridSpan w:val="3"/>
          </w:tcPr>
          <w:p>
            <w:pPr>
              <w:jc w:val="right"/>
              <w:spacing w:after="0"/>
              <w:rPr>
                <w:sz w:val="20"/>
                <w:szCs w:val="20"/>
                <w:color w:val="auto"/>
              </w:rPr>
            </w:pPr>
            <w:r>
              <w:rPr>
                <w:rFonts w:ascii="Arial" w:cs="Arial" w:eastAsia="Arial" w:hAnsi="Arial"/>
                <w:sz w:val="22"/>
                <w:szCs w:val="22"/>
                <w:color w:val="FF0000"/>
                <w:strike w:val="1"/>
                <w:w w:val="73"/>
              </w:rPr>
              <w:t>42</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1"/>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vMerge w:val="restart"/>
          </w:tcPr>
          <w:p>
            <w:pPr>
              <w:jc w:val="right"/>
              <w:ind w:right="1360"/>
              <w:spacing w:after="0"/>
              <w:rPr>
                <w:sz w:val="20"/>
                <w:szCs w:val="20"/>
                <w:color w:val="auto"/>
              </w:rPr>
            </w:pPr>
            <w:r>
              <w:rPr>
                <w:rFonts w:ascii="Arial" w:cs="Arial" w:eastAsia="Arial" w:hAnsi="Arial"/>
                <w:sz w:val="22"/>
                <w:szCs w:val="22"/>
                <w:b w:val="1"/>
                <w:bCs w:val="1"/>
                <w:color w:val="0000FF"/>
                <w:w w:val="81"/>
              </w:rPr>
              <w:t>46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5.01.</w:t>
            </w:r>
          </w:p>
        </w:tc>
        <w:tc>
          <w:tcPr>
            <w:tcW w:w="480" w:type="dxa"/>
            <w:vAlign w:val="bottom"/>
          </w:tcPr>
          <w:p>
            <w:pPr>
              <w:spacing w:after="0"/>
              <w:rPr>
                <w:sz w:val="24"/>
                <w:szCs w:val="24"/>
                <w:color w:val="auto"/>
              </w:rPr>
            </w:pPr>
          </w:p>
        </w:tc>
        <w:tc>
          <w:tcPr>
            <w:tcW w:w="3720" w:type="dxa"/>
            <w:vAlign w:val="bottom"/>
            <w:gridSpan w:val="42"/>
          </w:tcPr>
          <w:p>
            <w:pPr>
              <w:spacing w:after="0"/>
              <w:rPr>
                <w:sz w:val="20"/>
                <w:szCs w:val="20"/>
                <w:color w:val="auto"/>
              </w:rPr>
            </w:pPr>
            <w:r>
              <w:rPr>
                <w:rFonts w:ascii="Arial" w:cs="Arial" w:eastAsia="Arial" w:hAnsi="Arial"/>
                <w:sz w:val="22"/>
                <w:szCs w:val="22"/>
                <w:color w:val="auto"/>
                <w:w w:val="95"/>
              </w:rPr>
              <w:t>Financial Statements; Other Information</w:t>
            </w:r>
          </w:p>
        </w:tc>
        <w:tc>
          <w:tcPr>
            <w:tcW w:w="200" w:type="dxa"/>
            <w:vAlign w:val="bottom"/>
            <w:gridSpan w:val="4"/>
          </w:tcPr>
          <w:p>
            <w:pPr>
              <w:jc w:val="right"/>
              <w:spacing w:after="0"/>
              <w:rPr>
                <w:sz w:val="20"/>
                <w:szCs w:val="20"/>
                <w:color w:val="auto"/>
              </w:rPr>
            </w:pPr>
            <w:r>
              <w:rPr>
                <w:rFonts w:ascii="Arial" w:cs="Arial" w:eastAsia="Arial" w:hAnsi="Arial"/>
                <w:sz w:val="22"/>
                <w:szCs w:val="22"/>
                <w:color w:val="FF0000"/>
                <w:strike w:val="1"/>
                <w:w w:val="73"/>
              </w:rPr>
              <w:t>42</w:t>
            </w:r>
          </w:p>
        </w:tc>
        <w:tc>
          <w:tcPr>
            <w:tcW w:w="158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5.02.</w:t>
            </w:r>
          </w:p>
        </w:tc>
        <w:tc>
          <w:tcPr>
            <w:tcW w:w="480" w:type="dxa"/>
            <w:vAlign w:val="bottom"/>
          </w:tcPr>
          <w:p>
            <w:pPr>
              <w:spacing w:after="0"/>
              <w:rPr>
                <w:sz w:val="24"/>
                <w:szCs w:val="24"/>
                <w:color w:val="auto"/>
              </w:rPr>
            </w:pPr>
          </w:p>
        </w:tc>
        <w:tc>
          <w:tcPr>
            <w:tcW w:w="2500" w:type="dxa"/>
            <w:vAlign w:val="bottom"/>
            <w:gridSpan w:val="25"/>
          </w:tcPr>
          <w:p>
            <w:pPr>
              <w:spacing w:after="0"/>
              <w:rPr>
                <w:sz w:val="20"/>
                <w:szCs w:val="20"/>
                <w:color w:val="auto"/>
              </w:rPr>
            </w:pPr>
            <w:r>
              <w:rPr>
                <w:rFonts w:ascii="Arial" w:cs="Arial" w:eastAsia="Arial" w:hAnsi="Arial"/>
                <w:sz w:val="22"/>
                <w:szCs w:val="22"/>
                <w:color w:val="auto"/>
                <w:w w:val="97"/>
              </w:rPr>
              <w:t>Notices of Material Events</w:t>
            </w:r>
          </w:p>
        </w:tc>
        <w:tc>
          <w:tcPr>
            <w:tcW w:w="26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44</w:t>
            </w:r>
          </w:p>
        </w:tc>
        <w:tc>
          <w:tcPr>
            <w:tcW w:w="380" w:type="dxa"/>
            <w:vAlign w:val="bottom"/>
            <w:gridSpan w:val="7"/>
          </w:tcPr>
          <w:p>
            <w:pPr>
              <w:jc w:val="right"/>
              <w:ind w:right="72"/>
              <w:spacing w:after="0"/>
              <w:rPr>
                <w:sz w:val="20"/>
                <w:szCs w:val="20"/>
                <w:color w:val="auto"/>
              </w:rPr>
            </w:pPr>
            <w:r>
              <w:rPr>
                <w:rFonts w:ascii="Arial" w:cs="Arial" w:eastAsia="Arial" w:hAnsi="Arial"/>
                <w:sz w:val="22"/>
                <w:szCs w:val="22"/>
                <w:b w:val="1"/>
                <w:bCs w:val="1"/>
                <w:color w:val="0000FF"/>
                <w:w w:val="73"/>
              </w:rPr>
              <w:t>47</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22"/>
                <w:szCs w:val="22"/>
                <w:b w:val="1"/>
                <w:bCs w:val="1"/>
                <w:color w:val="0000FF"/>
                <w:w w:val="89"/>
              </w:rPr>
              <w:t>48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5.03.</w:t>
            </w:r>
          </w:p>
        </w:tc>
        <w:tc>
          <w:tcPr>
            <w:tcW w:w="480" w:type="dxa"/>
            <w:vAlign w:val="bottom"/>
          </w:tcPr>
          <w:p>
            <w:pPr>
              <w:spacing w:after="0"/>
              <w:rPr>
                <w:sz w:val="24"/>
                <w:szCs w:val="24"/>
                <w:color w:val="auto"/>
              </w:rPr>
            </w:pPr>
          </w:p>
        </w:tc>
        <w:tc>
          <w:tcPr>
            <w:tcW w:w="2760" w:type="dxa"/>
            <w:vAlign w:val="bottom"/>
            <w:gridSpan w:val="29"/>
          </w:tcPr>
          <w:p>
            <w:pPr>
              <w:spacing w:after="0"/>
              <w:rPr>
                <w:sz w:val="20"/>
                <w:szCs w:val="20"/>
                <w:color w:val="auto"/>
              </w:rPr>
            </w:pPr>
            <w:r>
              <w:rPr>
                <w:rFonts w:ascii="Arial" w:cs="Arial" w:eastAsia="Arial" w:hAnsi="Arial"/>
                <w:sz w:val="22"/>
                <w:szCs w:val="22"/>
                <w:color w:val="auto"/>
                <w:w w:val="88"/>
              </w:rPr>
              <w:t>Existence; Conduct of Business</w:t>
            </w:r>
          </w:p>
        </w:tc>
        <w:tc>
          <w:tcPr>
            <w:tcW w:w="8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gridSpan w:val="3"/>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FF0000"/>
                <w:strike w:val="1"/>
                <w:w w:val="81"/>
              </w:rPr>
              <w:t>44</w:t>
            </w:r>
          </w:p>
        </w:tc>
        <w:tc>
          <w:tcPr>
            <w:tcW w:w="2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5.04.</w:t>
            </w:r>
          </w:p>
        </w:tc>
        <w:tc>
          <w:tcPr>
            <w:tcW w:w="480" w:type="dxa"/>
            <w:vAlign w:val="bottom"/>
          </w:tcPr>
          <w:p>
            <w:pPr>
              <w:spacing w:after="0"/>
              <w:rPr>
                <w:sz w:val="24"/>
                <w:szCs w:val="24"/>
                <w:color w:val="auto"/>
              </w:rPr>
            </w:pPr>
          </w:p>
        </w:tc>
        <w:tc>
          <w:tcPr>
            <w:tcW w:w="2260" w:type="dxa"/>
            <w:vAlign w:val="bottom"/>
            <w:gridSpan w:val="22"/>
          </w:tcPr>
          <w:p>
            <w:pPr>
              <w:spacing w:after="0"/>
              <w:rPr>
                <w:sz w:val="20"/>
                <w:szCs w:val="20"/>
                <w:color w:val="auto"/>
              </w:rPr>
            </w:pPr>
            <w:r>
              <w:rPr>
                <w:rFonts w:ascii="Arial" w:cs="Arial" w:eastAsia="Arial" w:hAnsi="Arial"/>
                <w:sz w:val="22"/>
                <w:szCs w:val="22"/>
                <w:color w:val="auto"/>
                <w:w w:val="98"/>
              </w:rPr>
              <w:t>Payment of Obligations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45</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1"/>
              </w:rPr>
              <w:t>48</w:t>
            </w:r>
          </w:p>
        </w:tc>
        <w:tc>
          <w:tcPr>
            <w:tcW w:w="20" w:type="dxa"/>
            <w:vAlign w:val="bottom"/>
          </w:tcPr>
          <w:p>
            <w:pPr>
              <w:spacing w:after="0"/>
              <w:rPr>
                <w:sz w:val="24"/>
                <w:szCs w:val="24"/>
                <w:color w:val="auto"/>
              </w:rPr>
            </w:pPr>
          </w:p>
        </w:tc>
        <w:tc>
          <w:tcPr>
            <w:tcW w:w="220" w:type="dxa"/>
            <w:vAlign w:val="bottom"/>
            <w:gridSpan w:val="6"/>
            <w:vMerge w:val="restart"/>
          </w:tcPr>
          <w:p>
            <w:pPr>
              <w:jc w:val="right"/>
              <w:spacing w:after="0"/>
              <w:rPr>
                <w:sz w:val="20"/>
                <w:szCs w:val="20"/>
                <w:color w:val="auto"/>
              </w:rPr>
            </w:pPr>
            <w:r>
              <w:rPr>
                <w:rFonts w:ascii="Arial" w:cs="Arial" w:eastAsia="Arial" w:hAnsi="Arial"/>
                <w:sz w:val="22"/>
                <w:szCs w:val="22"/>
                <w:b w:val="1"/>
                <w:bCs w:val="1"/>
                <w:color w:val="0000FF"/>
                <w:w w:val="73"/>
              </w:rPr>
              <w:t>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5.05.</w:t>
            </w:r>
          </w:p>
        </w:tc>
        <w:tc>
          <w:tcPr>
            <w:tcW w:w="480" w:type="dxa"/>
            <w:vAlign w:val="bottom"/>
          </w:tcPr>
          <w:p>
            <w:pPr>
              <w:spacing w:after="0"/>
              <w:rPr>
                <w:sz w:val="24"/>
                <w:szCs w:val="24"/>
                <w:color w:val="auto"/>
              </w:rPr>
            </w:pPr>
          </w:p>
        </w:tc>
        <w:tc>
          <w:tcPr>
            <w:tcW w:w="2500" w:type="dxa"/>
            <w:vAlign w:val="bottom"/>
            <w:gridSpan w:val="25"/>
          </w:tcPr>
          <w:p>
            <w:pPr>
              <w:spacing w:after="0"/>
              <w:rPr>
                <w:sz w:val="20"/>
                <w:szCs w:val="20"/>
                <w:color w:val="auto"/>
              </w:rPr>
            </w:pPr>
            <w:r>
              <w:rPr>
                <w:rFonts w:ascii="Arial" w:cs="Arial" w:eastAsia="Arial" w:hAnsi="Arial"/>
                <w:sz w:val="22"/>
                <w:szCs w:val="22"/>
                <w:color w:val="auto"/>
                <w:w w:val="96"/>
              </w:rPr>
              <w:t>Maintenance of Properties</w:t>
            </w: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45</w:t>
            </w:r>
          </w:p>
        </w:tc>
        <w:tc>
          <w:tcPr>
            <w:tcW w:w="220" w:type="dxa"/>
            <w:vAlign w:val="bottom"/>
            <w:tcBorders>
              <w:bottom w:val="single" w:sz="8" w:color="0000FF"/>
            </w:tcBorders>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81"/>
              </w:rPr>
              <w:t>48</w:t>
            </w:r>
          </w:p>
        </w:tc>
        <w:tc>
          <w:tcPr>
            <w:tcW w:w="180" w:type="dxa"/>
            <w:vAlign w:val="bottom"/>
            <w:vMerge w:val="restart"/>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5.06.</w:t>
            </w:r>
          </w:p>
        </w:tc>
        <w:tc>
          <w:tcPr>
            <w:tcW w:w="480" w:type="dxa"/>
            <w:vAlign w:val="bottom"/>
          </w:tcPr>
          <w:p>
            <w:pPr>
              <w:spacing w:after="0"/>
              <w:rPr>
                <w:sz w:val="24"/>
                <w:szCs w:val="24"/>
                <w:color w:val="auto"/>
              </w:rPr>
            </w:pPr>
          </w:p>
        </w:tc>
        <w:tc>
          <w:tcPr>
            <w:tcW w:w="3400" w:type="dxa"/>
            <w:vAlign w:val="bottom"/>
            <w:gridSpan w:val="39"/>
          </w:tcPr>
          <w:p>
            <w:pPr>
              <w:spacing w:after="0"/>
              <w:rPr>
                <w:sz w:val="20"/>
                <w:szCs w:val="20"/>
                <w:color w:val="auto"/>
              </w:rPr>
            </w:pPr>
            <w:r>
              <w:rPr>
                <w:rFonts w:ascii="Arial" w:cs="Arial" w:eastAsia="Arial" w:hAnsi="Arial"/>
                <w:sz w:val="22"/>
                <w:szCs w:val="22"/>
                <w:color w:val="auto"/>
                <w:w w:val="90"/>
              </w:rPr>
              <w:t>Books and Records; Inspection Rights</w:t>
            </w:r>
          </w:p>
        </w:tc>
        <w:tc>
          <w:tcPr>
            <w:tcW w:w="340" w:type="dxa"/>
            <w:vAlign w:val="bottom"/>
            <w:gridSpan w:val="4"/>
          </w:tcPr>
          <w:p>
            <w:pPr>
              <w:jc w:val="right"/>
              <w:spacing w:after="0"/>
              <w:rPr>
                <w:sz w:val="20"/>
                <w:szCs w:val="20"/>
                <w:color w:val="auto"/>
              </w:rPr>
            </w:pPr>
            <w:r>
              <w:rPr>
                <w:rFonts w:ascii="Arial" w:cs="Arial" w:eastAsia="Arial" w:hAnsi="Arial"/>
                <w:sz w:val="22"/>
                <w:szCs w:val="22"/>
                <w:color w:val="FF0000"/>
                <w:strike w:val="1"/>
              </w:rPr>
              <w:t>45</w:t>
            </w:r>
          </w:p>
        </w:tc>
        <w:tc>
          <w:tcPr>
            <w:tcW w:w="220" w:type="dxa"/>
            <w:vAlign w:val="bottom"/>
            <w:tcBorders>
              <w:bottom w:val="single" w:sz="8" w:color="0000FF"/>
            </w:tcBorders>
            <w:gridSpan w:val="4"/>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73"/>
              </w:rPr>
              <w:t>49</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5.07.</w:t>
            </w:r>
          </w:p>
        </w:tc>
        <w:tc>
          <w:tcPr>
            <w:tcW w:w="480" w:type="dxa"/>
            <w:vAlign w:val="bottom"/>
          </w:tcPr>
          <w:p>
            <w:pPr>
              <w:spacing w:after="0"/>
              <w:rPr>
                <w:sz w:val="24"/>
                <w:szCs w:val="24"/>
                <w:color w:val="auto"/>
              </w:rPr>
            </w:pPr>
          </w:p>
        </w:tc>
        <w:tc>
          <w:tcPr>
            <w:tcW w:w="5500" w:type="dxa"/>
            <w:vAlign w:val="bottom"/>
            <w:gridSpan w:val="52"/>
          </w:tcPr>
          <w:p>
            <w:pPr>
              <w:spacing w:after="0"/>
              <w:rPr>
                <w:sz w:val="20"/>
                <w:szCs w:val="20"/>
                <w:color w:val="auto"/>
              </w:rPr>
            </w:pPr>
            <w:r>
              <w:rPr>
                <w:rFonts w:ascii="Arial" w:cs="Arial" w:eastAsia="Arial" w:hAnsi="Arial"/>
                <w:sz w:val="22"/>
                <w:szCs w:val="22"/>
                <w:color w:val="auto"/>
                <w:w w:val="94"/>
              </w:rPr>
              <w:t>Compliance with Laws and Material Contractual Obligations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45</w:t>
            </w:r>
          </w:p>
        </w:tc>
        <w:tc>
          <w:tcPr>
            <w:tcW w:w="20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5.08.</w:t>
            </w:r>
          </w:p>
        </w:tc>
        <w:tc>
          <w:tcPr>
            <w:tcW w:w="480" w:type="dxa"/>
            <w:vAlign w:val="bottom"/>
          </w:tcPr>
          <w:p>
            <w:pPr>
              <w:spacing w:after="0"/>
              <w:rPr>
                <w:sz w:val="24"/>
                <w:szCs w:val="24"/>
                <w:color w:val="auto"/>
              </w:rPr>
            </w:pPr>
          </w:p>
        </w:tc>
        <w:tc>
          <w:tcPr>
            <w:tcW w:w="1620" w:type="dxa"/>
            <w:vAlign w:val="bottom"/>
            <w:gridSpan w:val="13"/>
          </w:tcPr>
          <w:p>
            <w:pPr>
              <w:spacing w:after="0"/>
              <w:rPr>
                <w:sz w:val="20"/>
                <w:szCs w:val="20"/>
                <w:color w:val="auto"/>
              </w:rPr>
            </w:pPr>
            <w:r>
              <w:rPr>
                <w:rFonts w:ascii="Arial" w:cs="Arial" w:eastAsia="Arial" w:hAnsi="Arial"/>
                <w:sz w:val="22"/>
                <w:szCs w:val="22"/>
                <w:color w:val="auto"/>
                <w:w w:val="98"/>
              </w:rPr>
              <w:t>Use of Proceeds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46</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49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5"/>
            <w:vMerge w:val="restart"/>
          </w:tcPr>
          <w:p>
            <w:pPr>
              <w:jc w:val="right"/>
              <w:ind w:right="40"/>
              <w:spacing w:after="0"/>
              <w:rPr>
                <w:sz w:val="20"/>
                <w:szCs w:val="20"/>
                <w:color w:val="auto"/>
              </w:rPr>
            </w:pPr>
            <w:r>
              <w:rPr>
                <w:rFonts w:ascii="Arial" w:cs="Arial" w:eastAsia="Arial" w:hAnsi="Arial"/>
                <w:sz w:val="22"/>
                <w:szCs w:val="22"/>
                <w:b w:val="1"/>
                <w:bCs w:val="1"/>
                <w:color w:val="0000FF"/>
                <w:w w:val="81"/>
              </w:rPr>
              <w:t>50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5.09.</w:t>
            </w:r>
          </w:p>
        </w:tc>
        <w:tc>
          <w:tcPr>
            <w:tcW w:w="480" w:type="dxa"/>
            <w:vAlign w:val="bottom"/>
          </w:tcPr>
          <w:p>
            <w:pPr>
              <w:spacing w:after="0"/>
              <w:rPr>
                <w:sz w:val="24"/>
                <w:szCs w:val="24"/>
                <w:color w:val="auto"/>
              </w:rPr>
            </w:pPr>
          </w:p>
        </w:tc>
        <w:tc>
          <w:tcPr>
            <w:tcW w:w="2260" w:type="dxa"/>
            <w:vAlign w:val="bottom"/>
            <w:gridSpan w:val="22"/>
          </w:tcPr>
          <w:p>
            <w:pPr>
              <w:spacing w:after="0"/>
              <w:rPr>
                <w:sz w:val="20"/>
                <w:szCs w:val="20"/>
                <w:color w:val="auto"/>
              </w:rPr>
            </w:pPr>
            <w:r>
              <w:rPr>
                <w:rFonts w:ascii="Arial" w:cs="Arial" w:eastAsia="Arial" w:hAnsi="Arial"/>
                <w:sz w:val="22"/>
                <w:szCs w:val="22"/>
                <w:color w:val="auto"/>
                <w:w w:val="96"/>
              </w:rPr>
              <w:t>Accuracy of Information</w:t>
            </w: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rPr>
              <w:t>46</w:t>
            </w:r>
          </w:p>
        </w:tc>
        <w:tc>
          <w:tcPr>
            <w:tcW w:w="26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5.10.</w:t>
            </w:r>
          </w:p>
        </w:tc>
        <w:tc>
          <w:tcPr>
            <w:tcW w:w="4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22"/>
                <w:szCs w:val="22"/>
                <w:color w:val="auto"/>
                <w:w w:val="95"/>
              </w:rPr>
              <w:t>Insurance</w:t>
            </w:r>
          </w:p>
        </w:tc>
        <w:tc>
          <w:tcPr>
            <w:tcW w:w="10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22"/>
                <w:szCs w:val="22"/>
                <w:color w:val="FF0000"/>
                <w:strike w:val="1"/>
                <w:w w:val="89"/>
              </w:rPr>
              <w:t>46</w:t>
            </w:r>
          </w:p>
        </w:tc>
        <w:tc>
          <w:tcPr>
            <w:tcW w:w="300" w:type="dxa"/>
            <w:vAlign w:val="bottom"/>
            <w:gridSpan w:val="3"/>
          </w:tcPr>
          <w:p>
            <w:pPr>
              <w:jc w:val="right"/>
              <w:spacing w:after="0"/>
              <w:rPr>
                <w:sz w:val="20"/>
                <w:szCs w:val="20"/>
                <w:color w:val="auto"/>
              </w:rPr>
            </w:pPr>
            <w:r>
              <w:rPr>
                <w:rFonts w:ascii="Arial" w:cs="Arial" w:eastAsia="Arial" w:hAnsi="Arial"/>
                <w:sz w:val="22"/>
                <w:szCs w:val="22"/>
                <w:b w:val="1"/>
                <w:bCs w:val="1"/>
                <w:color w:val="0000FF"/>
                <w:w w:val="73"/>
              </w:rPr>
              <w:t>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0000FF"/>
                <w:w w:val="74"/>
              </w:rPr>
              <w:t>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4"/>
              </w:rPr>
              <w:t>SECTION 5.11.</w:t>
            </w:r>
          </w:p>
        </w:tc>
        <w:tc>
          <w:tcPr>
            <w:tcW w:w="480" w:type="dxa"/>
            <w:vAlign w:val="bottom"/>
          </w:tcPr>
          <w:p>
            <w:pPr>
              <w:spacing w:after="0"/>
              <w:rPr>
                <w:sz w:val="24"/>
                <w:szCs w:val="24"/>
                <w:color w:val="auto"/>
              </w:rPr>
            </w:pPr>
          </w:p>
        </w:tc>
        <w:tc>
          <w:tcPr>
            <w:tcW w:w="2840" w:type="dxa"/>
            <w:vAlign w:val="bottom"/>
            <w:gridSpan w:val="31"/>
          </w:tcPr>
          <w:p>
            <w:pPr>
              <w:spacing w:after="0"/>
              <w:rPr>
                <w:sz w:val="20"/>
                <w:szCs w:val="20"/>
                <w:color w:val="auto"/>
              </w:rPr>
            </w:pPr>
            <w:r>
              <w:rPr>
                <w:rFonts w:ascii="Arial" w:cs="Arial" w:eastAsia="Arial" w:hAnsi="Arial"/>
                <w:sz w:val="22"/>
                <w:szCs w:val="22"/>
                <w:color w:val="auto"/>
                <w:w w:val="95"/>
              </w:rPr>
              <w:t>Material Licenses and Permits</w:t>
            </w:r>
          </w:p>
        </w:tc>
        <w:tc>
          <w:tcPr>
            <w:tcW w:w="300" w:type="dxa"/>
            <w:vAlign w:val="bottom"/>
            <w:gridSpan w:val="5"/>
          </w:tcPr>
          <w:p>
            <w:pPr>
              <w:jc w:val="right"/>
              <w:spacing w:after="0"/>
              <w:rPr>
                <w:sz w:val="20"/>
                <w:szCs w:val="20"/>
                <w:color w:val="auto"/>
              </w:rPr>
            </w:pPr>
            <w:r>
              <w:rPr>
                <w:rFonts w:ascii="Arial" w:cs="Arial" w:eastAsia="Arial" w:hAnsi="Arial"/>
                <w:sz w:val="22"/>
                <w:szCs w:val="22"/>
                <w:color w:val="FF0000"/>
                <w:strike w:val="1"/>
                <w:w w:val="81"/>
              </w:rPr>
              <w:t>46</w:t>
            </w:r>
          </w:p>
        </w:tc>
        <w:tc>
          <w:tcPr>
            <w:tcW w:w="2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40" w:type="dxa"/>
            <w:vAlign w:val="bottom"/>
            <w:tcBorders>
              <w:right w:val="single" w:sz="8" w:color="0000FF"/>
            </w:tcBorders>
            <w:gridSpan w:val="40"/>
          </w:tcPr>
          <w:p>
            <w:pPr>
              <w:spacing w:after="0" w:line="20" w:lineRule="exact"/>
              <w:rPr>
                <w:sz w:val="1"/>
                <w:szCs w:val="1"/>
                <w:color w:val="auto"/>
              </w:rPr>
            </w:pPr>
          </w:p>
        </w:tc>
        <w:tc>
          <w:tcPr>
            <w:tcW w:w="2780" w:type="dxa"/>
            <w:vAlign w:val="bottom"/>
            <w:tcBorders>
              <w:left w:val="single" w:sz="8" w:color="0000FF"/>
            </w:tcBorders>
            <w:gridSpan w:val="1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575"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47"/>
        </w:trPr>
        <w:tc>
          <w:tcPr>
            <w:tcW w:w="2320" w:type="dxa"/>
            <w:vAlign w:val="bottom"/>
            <w:gridSpan w:val="2"/>
            <w:vMerge w:val="restart"/>
          </w:tcPr>
          <w:p>
            <w:pPr>
              <w:ind w:left="660"/>
              <w:spacing w:after="0"/>
              <w:rPr>
                <w:sz w:val="20"/>
                <w:szCs w:val="20"/>
                <w:color w:val="auto"/>
              </w:rPr>
            </w:pPr>
            <w:r>
              <w:rPr>
                <w:rFonts w:ascii="Arial" w:cs="Arial" w:eastAsia="Arial" w:hAnsi="Arial"/>
                <w:sz w:val="22"/>
                <w:szCs w:val="22"/>
                <w:color w:val="auto"/>
              </w:rPr>
              <w:t>SECTION 5.12.</w:t>
            </w:r>
          </w:p>
        </w:tc>
        <w:tc>
          <w:tcPr>
            <w:tcW w:w="2040" w:type="dxa"/>
            <w:vAlign w:val="bottom"/>
            <w:gridSpan w:val="12"/>
            <w:vMerge w:val="restart"/>
          </w:tcPr>
          <w:p>
            <w:pPr>
              <w:ind w:left="280"/>
              <w:spacing w:after="0"/>
              <w:rPr>
                <w:sz w:val="20"/>
                <w:szCs w:val="20"/>
                <w:color w:val="auto"/>
              </w:rPr>
            </w:pPr>
            <w:r>
              <w:rPr>
                <w:rFonts w:ascii="Arial" w:cs="Arial" w:eastAsia="Arial" w:hAnsi="Arial"/>
                <w:sz w:val="22"/>
                <w:szCs w:val="22"/>
                <w:color w:val="auto"/>
              </w:rPr>
              <w:t>Depository Banks</w:t>
            </w: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color w:val="FF0000"/>
                <w:strike w:val="1"/>
                <w:w w:val="81"/>
              </w:rPr>
              <w:t>47</w:t>
            </w:r>
          </w:p>
        </w:tc>
        <w:tc>
          <w:tcPr>
            <w:tcW w:w="24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50</w:t>
            </w:r>
          </w:p>
        </w:tc>
        <w:tc>
          <w:tcPr>
            <w:tcW w:w="10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166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320" w:type="dxa"/>
            <w:vAlign w:val="bottom"/>
            <w:gridSpan w:val="2"/>
            <w:vMerge w:val="continue"/>
          </w:tcPr>
          <w:p>
            <w:pPr>
              <w:spacing w:after="0"/>
              <w:rPr>
                <w:sz w:val="17"/>
                <w:szCs w:val="17"/>
                <w:color w:val="auto"/>
              </w:rPr>
            </w:pPr>
          </w:p>
        </w:tc>
        <w:tc>
          <w:tcPr>
            <w:tcW w:w="2040" w:type="dxa"/>
            <w:vAlign w:val="bottom"/>
            <w:gridSpan w:val="12"/>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40" w:type="dxa"/>
            <w:vAlign w:val="bottom"/>
            <w:tcBorders>
              <w:bottom w:val="single" w:sz="8" w:color="0000FF"/>
            </w:tcBorders>
            <w:gridSpan w:val="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5.13.</w:t>
            </w:r>
          </w:p>
        </w:tc>
        <w:tc>
          <w:tcPr>
            <w:tcW w:w="2040" w:type="dxa"/>
            <w:vAlign w:val="bottom"/>
            <w:gridSpan w:val="12"/>
          </w:tcPr>
          <w:p>
            <w:pPr>
              <w:ind w:left="280"/>
              <w:spacing w:after="0"/>
              <w:rPr>
                <w:sz w:val="20"/>
                <w:szCs w:val="20"/>
                <w:color w:val="auto"/>
              </w:rPr>
            </w:pPr>
            <w:r>
              <w:rPr>
                <w:rFonts w:ascii="Arial" w:cs="Arial" w:eastAsia="Arial" w:hAnsi="Arial"/>
                <w:sz w:val="22"/>
                <w:szCs w:val="22"/>
                <w:color w:val="auto"/>
                <w:w w:val="90"/>
              </w:rPr>
              <w:t>Further Assurances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2"/>
                <w:szCs w:val="22"/>
                <w:color w:val="FF0000"/>
                <w:strike w:val="1"/>
              </w:rPr>
              <w:t>47</w:t>
            </w:r>
          </w:p>
        </w:tc>
        <w:tc>
          <w:tcPr>
            <w:tcW w:w="260" w:type="dxa"/>
            <w:vAlign w:val="bottom"/>
            <w:gridSpan w:val="4"/>
          </w:tcPr>
          <w:p>
            <w:pPr>
              <w:jc w:val="right"/>
              <w:ind w:right="40"/>
              <w:spacing w:after="0"/>
              <w:rPr>
                <w:sz w:val="20"/>
                <w:szCs w:val="20"/>
                <w:color w:val="auto"/>
              </w:rPr>
            </w:pPr>
            <w:r>
              <w:rPr>
                <w:rFonts w:ascii="Arial" w:cs="Arial" w:eastAsia="Arial" w:hAnsi="Arial"/>
                <w:sz w:val="22"/>
                <w:szCs w:val="22"/>
                <w:b w:val="1"/>
                <w:bCs w:val="1"/>
                <w:color w:val="0000FF"/>
                <w:w w:val="81"/>
              </w:rPr>
              <w:t>50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40" w:type="dxa"/>
            <w:vAlign w:val="bottom"/>
          </w:tcPr>
          <w:p>
            <w:pPr>
              <w:spacing w:after="0"/>
              <w:rPr>
                <w:sz w:val="20"/>
                <w:szCs w:val="20"/>
                <w:color w:val="auto"/>
              </w:rPr>
            </w:pPr>
            <w:r>
              <w:rPr>
                <w:rFonts w:ascii="Arial" w:cs="Arial" w:eastAsia="Arial" w:hAnsi="Arial"/>
                <w:sz w:val="22"/>
                <w:szCs w:val="22"/>
                <w:color w:val="auto"/>
              </w:rPr>
              <w:t>ARTICLE VI</w:t>
            </w:r>
          </w:p>
        </w:tc>
        <w:tc>
          <w:tcPr>
            <w:tcW w:w="2760" w:type="dxa"/>
            <w:vAlign w:val="bottom"/>
            <w:gridSpan w:val="11"/>
          </w:tcPr>
          <w:p>
            <w:pPr>
              <w:ind w:left="100"/>
              <w:spacing w:after="0"/>
              <w:rPr>
                <w:sz w:val="20"/>
                <w:szCs w:val="20"/>
                <w:color w:val="auto"/>
              </w:rPr>
            </w:pPr>
            <w:r>
              <w:rPr>
                <w:rFonts w:ascii="Arial" w:cs="Arial" w:eastAsia="Arial" w:hAnsi="Arial"/>
                <w:sz w:val="22"/>
                <w:szCs w:val="22"/>
                <w:color w:val="auto"/>
              </w:rPr>
              <w:t>NEGATIVE COVENANTS</w:t>
            </w:r>
          </w:p>
        </w:tc>
        <w:tc>
          <w:tcPr>
            <w:tcW w:w="200" w:type="dxa"/>
            <w:vAlign w:val="bottom"/>
            <w:gridSpan w:val="4"/>
          </w:tcPr>
          <w:p>
            <w:pPr>
              <w:jc w:val="right"/>
              <w:spacing w:after="0"/>
              <w:rPr>
                <w:sz w:val="20"/>
                <w:szCs w:val="20"/>
                <w:color w:val="auto"/>
              </w:rPr>
            </w:pPr>
            <w:r>
              <w:rPr>
                <w:rFonts w:ascii="Arial" w:cs="Arial" w:eastAsia="Arial" w:hAnsi="Arial"/>
                <w:sz w:val="22"/>
                <w:szCs w:val="22"/>
                <w:color w:val="FF0000"/>
                <w:strike w:val="1"/>
                <w:w w:val="73"/>
              </w:rPr>
              <w:t>47</w:t>
            </w:r>
          </w:p>
        </w:tc>
        <w:tc>
          <w:tcPr>
            <w:tcW w:w="300" w:type="dxa"/>
            <w:vAlign w:val="bottom"/>
            <w:gridSpan w:val="4"/>
          </w:tcPr>
          <w:p>
            <w:pPr>
              <w:jc w:val="right"/>
              <w:ind w:right="80"/>
              <w:spacing w:after="0"/>
              <w:rPr>
                <w:sz w:val="20"/>
                <w:szCs w:val="20"/>
                <w:color w:val="auto"/>
              </w:rPr>
            </w:pPr>
            <w:r>
              <w:rPr>
                <w:rFonts w:ascii="Arial" w:cs="Arial" w:eastAsia="Arial" w:hAnsi="Arial"/>
                <w:sz w:val="22"/>
                <w:szCs w:val="22"/>
                <w:b w:val="1"/>
                <w:bCs w:val="1"/>
                <w:color w:val="0000FF"/>
                <w:w w:val="81"/>
              </w:rPr>
              <w:t>50</w:t>
            </w: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6.01.</w:t>
            </w:r>
          </w:p>
        </w:tc>
        <w:tc>
          <w:tcPr>
            <w:tcW w:w="1400" w:type="dxa"/>
            <w:vAlign w:val="bottom"/>
            <w:gridSpan w:val="4"/>
          </w:tcPr>
          <w:p>
            <w:pPr>
              <w:ind w:left="280"/>
              <w:spacing w:after="0"/>
              <w:rPr>
                <w:sz w:val="20"/>
                <w:szCs w:val="20"/>
                <w:color w:val="auto"/>
              </w:rPr>
            </w:pPr>
            <w:r>
              <w:rPr>
                <w:rFonts w:ascii="Arial" w:cs="Arial" w:eastAsia="Arial" w:hAnsi="Arial"/>
                <w:sz w:val="22"/>
                <w:szCs w:val="22"/>
                <w:color w:val="auto"/>
                <w:w w:val="83"/>
              </w:rPr>
              <w:t>Indebtedness</w:t>
            </w:r>
          </w:p>
        </w:tc>
        <w:tc>
          <w:tcPr>
            <w:tcW w:w="6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22"/>
                <w:szCs w:val="22"/>
                <w:color w:val="FF0000"/>
                <w:strike w:val="1"/>
              </w:rPr>
              <w:t>47</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51</w:t>
            </w: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6.02.</w:t>
            </w:r>
          </w:p>
        </w:tc>
        <w:tc>
          <w:tcPr>
            <w:tcW w:w="980" w:type="dxa"/>
            <w:vAlign w:val="bottom"/>
          </w:tcPr>
          <w:p>
            <w:pPr>
              <w:ind w:left="280"/>
              <w:spacing w:after="0"/>
              <w:rPr>
                <w:sz w:val="20"/>
                <w:szCs w:val="20"/>
                <w:color w:val="auto"/>
              </w:rPr>
            </w:pPr>
            <w:r>
              <w:rPr>
                <w:rFonts w:ascii="Arial" w:cs="Arial" w:eastAsia="Arial" w:hAnsi="Arial"/>
                <w:sz w:val="22"/>
                <w:szCs w:val="22"/>
                <w:color w:val="auto"/>
              </w:rPr>
              <w:t>Liens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49</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73"/>
              </w:rPr>
              <w:t>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54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6.03.</w:t>
            </w:r>
          </w:p>
        </w:tc>
        <w:tc>
          <w:tcPr>
            <w:tcW w:w="2380" w:type="dxa"/>
            <w:vAlign w:val="bottom"/>
            <w:gridSpan w:val="18"/>
          </w:tcPr>
          <w:p>
            <w:pPr>
              <w:ind w:left="280"/>
              <w:spacing w:after="0"/>
              <w:rPr>
                <w:sz w:val="20"/>
                <w:szCs w:val="20"/>
                <w:color w:val="auto"/>
              </w:rPr>
            </w:pPr>
            <w:r>
              <w:rPr>
                <w:rFonts w:ascii="Arial" w:cs="Arial" w:eastAsia="Arial" w:hAnsi="Arial"/>
                <w:sz w:val="22"/>
                <w:szCs w:val="22"/>
                <w:color w:val="auto"/>
                <w:w w:val="93"/>
              </w:rPr>
              <w:t>Fundamental Changes</w:t>
            </w:r>
          </w:p>
        </w:tc>
        <w:tc>
          <w:tcPr>
            <w:tcW w:w="260" w:type="dxa"/>
            <w:vAlign w:val="bottom"/>
            <w:gridSpan w:val="4"/>
          </w:tcPr>
          <w:p>
            <w:pPr>
              <w:jc w:val="right"/>
              <w:spacing w:after="0"/>
              <w:rPr>
                <w:sz w:val="20"/>
                <w:szCs w:val="20"/>
                <w:color w:val="auto"/>
              </w:rPr>
            </w:pPr>
            <w:r>
              <w:rPr>
                <w:rFonts w:ascii="Arial" w:cs="Arial" w:eastAsia="Arial" w:hAnsi="Arial"/>
                <w:sz w:val="22"/>
                <w:szCs w:val="22"/>
                <w:color w:val="FF0000"/>
                <w:strike w:val="1"/>
                <w:w w:val="97"/>
              </w:rPr>
              <w:t>51</w:t>
            </w:r>
          </w:p>
        </w:tc>
        <w:tc>
          <w:tcPr>
            <w:tcW w:w="220" w:type="dxa"/>
            <w:vAlign w:val="bottom"/>
            <w:tcBorders>
              <w:bottom w:val="single" w:sz="8" w:color="0000FF"/>
            </w:tcBorders>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55</w:t>
            </w:r>
          </w:p>
        </w:tc>
        <w:tc>
          <w:tcPr>
            <w:tcW w:w="0" w:type="dxa"/>
            <w:vAlign w:val="bottom"/>
          </w:tcPr>
          <w:p>
            <w:pPr>
              <w:spacing w:after="0"/>
              <w:rPr>
                <w:sz w:val="1"/>
                <w:szCs w:val="1"/>
                <w:color w:val="auto"/>
              </w:rPr>
            </w:pPr>
          </w:p>
        </w:tc>
      </w:tr>
      <w:tr>
        <w:trPr>
          <w:trHeight w:val="349"/>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6.04.</w:t>
            </w:r>
          </w:p>
        </w:tc>
        <w:tc>
          <w:tcPr>
            <w:tcW w:w="5720" w:type="dxa"/>
            <w:vAlign w:val="bottom"/>
            <w:gridSpan w:val="36"/>
          </w:tcPr>
          <w:p>
            <w:pPr>
              <w:ind w:left="280"/>
              <w:spacing w:after="0"/>
              <w:rPr>
                <w:sz w:val="20"/>
                <w:szCs w:val="20"/>
                <w:color w:val="auto"/>
              </w:rPr>
            </w:pPr>
            <w:r>
              <w:rPr>
                <w:rFonts w:ascii="Arial" w:cs="Arial" w:eastAsia="Arial" w:hAnsi="Arial"/>
                <w:sz w:val="22"/>
                <w:szCs w:val="22"/>
                <w:color w:val="auto"/>
                <w:w w:val="91"/>
              </w:rPr>
              <w:t>Investments, Loans, Advances, Guarantees and Acquisitions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51</w:t>
            </w:r>
          </w:p>
        </w:tc>
        <w:tc>
          <w:tcPr>
            <w:tcW w:w="22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6.05.</w:t>
            </w:r>
          </w:p>
        </w:tc>
        <w:tc>
          <w:tcPr>
            <w:tcW w:w="1400" w:type="dxa"/>
            <w:vAlign w:val="bottom"/>
            <w:gridSpan w:val="4"/>
          </w:tcPr>
          <w:p>
            <w:pPr>
              <w:ind w:left="280"/>
              <w:spacing w:after="0"/>
              <w:rPr>
                <w:sz w:val="20"/>
                <w:szCs w:val="20"/>
                <w:color w:val="auto"/>
              </w:rPr>
            </w:pPr>
            <w:r>
              <w:rPr>
                <w:rFonts w:ascii="Arial" w:cs="Arial" w:eastAsia="Arial" w:hAnsi="Arial"/>
                <w:sz w:val="22"/>
                <w:szCs w:val="22"/>
                <w:color w:val="auto"/>
                <w:w w:val="94"/>
              </w:rPr>
              <w:t>Asset Sales</w:t>
            </w: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2"/>
                <w:szCs w:val="22"/>
                <w:color w:val="FF0000"/>
                <w:strike w:val="1"/>
                <w:w w:val="89"/>
              </w:rPr>
              <w:t>52</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22"/>
                <w:szCs w:val="22"/>
                <w:b w:val="1"/>
                <w:bCs w:val="1"/>
                <w:color w:val="0000FF"/>
                <w:w w:val="81"/>
              </w:rPr>
              <w:t>58</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6.06.</w:t>
            </w:r>
          </w:p>
        </w:tc>
        <w:tc>
          <w:tcPr>
            <w:tcW w:w="3340" w:type="dxa"/>
            <w:vAlign w:val="bottom"/>
            <w:gridSpan w:val="30"/>
          </w:tcPr>
          <w:p>
            <w:pPr>
              <w:ind w:left="280"/>
              <w:spacing w:after="0"/>
              <w:rPr>
                <w:sz w:val="20"/>
                <w:szCs w:val="20"/>
                <w:color w:val="auto"/>
              </w:rPr>
            </w:pPr>
            <w:r>
              <w:rPr>
                <w:rFonts w:ascii="Arial" w:cs="Arial" w:eastAsia="Arial" w:hAnsi="Arial"/>
                <w:sz w:val="22"/>
                <w:szCs w:val="22"/>
                <w:color w:val="auto"/>
                <w:w w:val="91"/>
              </w:rPr>
              <w:t>Sale and Leaseback Transactions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54</w:t>
            </w:r>
          </w:p>
        </w:tc>
        <w:tc>
          <w:tcPr>
            <w:tcW w:w="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6.07.</w:t>
            </w:r>
          </w:p>
        </w:tc>
        <w:tc>
          <w:tcPr>
            <w:tcW w:w="2040" w:type="dxa"/>
            <w:vAlign w:val="bottom"/>
            <w:gridSpan w:val="12"/>
          </w:tcPr>
          <w:p>
            <w:pPr>
              <w:ind w:left="280"/>
              <w:spacing w:after="0"/>
              <w:rPr>
                <w:sz w:val="20"/>
                <w:szCs w:val="20"/>
                <w:color w:val="auto"/>
              </w:rPr>
            </w:pPr>
            <w:r>
              <w:rPr>
                <w:rFonts w:ascii="Arial" w:cs="Arial" w:eastAsia="Arial" w:hAnsi="Arial"/>
                <w:sz w:val="22"/>
                <w:szCs w:val="22"/>
                <w:color w:val="auto"/>
                <w:w w:val="96"/>
              </w:rPr>
              <w:t>Swap Agreements</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54</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6.08.</w:t>
            </w:r>
          </w:p>
        </w:tc>
        <w:tc>
          <w:tcPr>
            <w:tcW w:w="2040" w:type="dxa"/>
            <w:vAlign w:val="bottom"/>
            <w:gridSpan w:val="12"/>
          </w:tcPr>
          <w:p>
            <w:pPr>
              <w:ind w:left="280"/>
              <w:spacing w:after="0"/>
              <w:rPr>
                <w:sz w:val="20"/>
                <w:szCs w:val="20"/>
                <w:color w:val="auto"/>
              </w:rPr>
            </w:pPr>
            <w:r>
              <w:rPr>
                <w:rFonts w:ascii="Arial" w:cs="Arial" w:eastAsia="Arial" w:hAnsi="Arial"/>
                <w:sz w:val="22"/>
                <w:szCs w:val="22"/>
                <w:color w:val="auto"/>
                <w:w w:val="85"/>
              </w:rPr>
              <w:t>Restricted Payments</w:t>
            </w:r>
          </w:p>
        </w:tc>
        <w:tc>
          <w:tcPr>
            <w:tcW w:w="40" w:type="dxa"/>
            <w:vAlign w:val="bottom"/>
            <w:gridSpan w:val="2"/>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22"/>
                <w:szCs w:val="22"/>
                <w:color w:val="FF0000"/>
                <w:strike w:val="1"/>
              </w:rPr>
              <w:t>54</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73"/>
              </w:rPr>
              <w:t>58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6.09.</w:t>
            </w:r>
          </w:p>
        </w:tc>
        <w:tc>
          <w:tcPr>
            <w:tcW w:w="2900" w:type="dxa"/>
            <w:vAlign w:val="bottom"/>
            <w:gridSpan w:val="26"/>
          </w:tcPr>
          <w:p>
            <w:pPr>
              <w:ind w:left="280"/>
              <w:spacing w:after="0"/>
              <w:rPr>
                <w:sz w:val="20"/>
                <w:szCs w:val="20"/>
                <w:color w:val="auto"/>
              </w:rPr>
            </w:pPr>
            <w:r>
              <w:rPr>
                <w:rFonts w:ascii="Arial" w:cs="Arial" w:eastAsia="Arial" w:hAnsi="Arial"/>
                <w:sz w:val="22"/>
                <w:szCs w:val="22"/>
                <w:color w:val="auto"/>
                <w:w w:val="99"/>
              </w:rPr>
              <w:t>Transactions with Affiliates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55</w:t>
            </w:r>
          </w:p>
        </w:tc>
        <w:tc>
          <w:tcPr>
            <w:tcW w:w="200" w:type="dxa"/>
            <w:vAlign w:val="bottom"/>
            <w:tcBorders>
              <w:bottom w:val="single" w:sz="8" w:color="0000FF"/>
            </w:tcBorders>
            <w:vMerge w:val="continue"/>
          </w:tcPr>
          <w:p>
            <w:pPr>
              <w:spacing w:after="0"/>
              <w:rPr>
                <w:sz w:val="24"/>
                <w:szCs w:val="24"/>
                <w:color w:val="auto"/>
              </w:rPr>
            </w:pPr>
          </w:p>
        </w:tc>
        <w:tc>
          <w:tcPr>
            <w:tcW w:w="300" w:type="dxa"/>
            <w:vAlign w:val="bottom"/>
            <w:gridSpan w:val="3"/>
          </w:tcPr>
          <w:p>
            <w:pPr>
              <w:spacing w:after="0"/>
              <w:rPr>
                <w:sz w:val="24"/>
                <w:szCs w:val="24"/>
                <w:color w:val="auto"/>
              </w:rPr>
            </w:pPr>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6.10.</w:t>
            </w:r>
          </w:p>
        </w:tc>
        <w:tc>
          <w:tcPr>
            <w:tcW w:w="2380" w:type="dxa"/>
            <w:vAlign w:val="bottom"/>
            <w:gridSpan w:val="18"/>
          </w:tcPr>
          <w:p>
            <w:pPr>
              <w:ind w:left="280"/>
              <w:spacing w:after="0"/>
              <w:rPr>
                <w:sz w:val="20"/>
                <w:szCs w:val="20"/>
                <w:color w:val="auto"/>
              </w:rPr>
            </w:pPr>
            <w:r>
              <w:rPr>
                <w:rFonts w:ascii="Arial" w:cs="Arial" w:eastAsia="Arial" w:hAnsi="Arial"/>
                <w:sz w:val="22"/>
                <w:szCs w:val="22"/>
                <w:color w:val="auto"/>
                <w:w w:val="91"/>
              </w:rPr>
              <w:t>Restrictive Agreements</w:t>
            </w:r>
          </w:p>
        </w:tc>
        <w:tc>
          <w:tcPr>
            <w:tcW w:w="120" w:type="dxa"/>
            <w:vAlign w:val="bottom"/>
            <w:gridSpan w:val="2"/>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2"/>
                <w:szCs w:val="22"/>
                <w:color w:val="FF0000"/>
                <w:strike w:val="1"/>
                <w:w w:val="89"/>
              </w:rPr>
              <w:t>55</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1"/>
              </w:rPr>
              <w:t>59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59</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6.11.</w:t>
            </w:r>
          </w:p>
        </w:tc>
        <w:tc>
          <w:tcPr>
            <w:tcW w:w="3620" w:type="dxa"/>
            <w:vAlign w:val="bottom"/>
            <w:gridSpan w:val="32"/>
          </w:tcPr>
          <w:p>
            <w:pPr>
              <w:ind w:left="280"/>
              <w:spacing w:after="0"/>
              <w:rPr>
                <w:sz w:val="20"/>
                <w:szCs w:val="20"/>
                <w:color w:val="auto"/>
              </w:rPr>
            </w:pPr>
            <w:r>
              <w:rPr>
                <w:rFonts w:ascii="Arial" w:cs="Arial" w:eastAsia="Arial" w:hAnsi="Arial"/>
                <w:sz w:val="22"/>
                <w:szCs w:val="22"/>
                <w:color w:val="auto"/>
                <w:w w:val="96"/>
              </w:rPr>
              <w:t>Amendment of Material Documents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55</w:t>
            </w:r>
          </w:p>
        </w:tc>
        <w:tc>
          <w:tcPr>
            <w:tcW w:w="220" w:type="dxa"/>
            <w:vAlign w:val="bottom"/>
            <w:tcBorders>
              <w:bottom w:val="single" w:sz="8" w:color="0000FF"/>
            </w:tcBorders>
            <w:vMerge w:val="continue"/>
          </w:tcPr>
          <w:p>
            <w:pPr>
              <w:spacing w:after="0"/>
              <w:rPr>
                <w:sz w:val="24"/>
                <w:szCs w:val="24"/>
                <w:color w:val="auto"/>
              </w:rPr>
            </w:pP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20" w:type="dxa"/>
            <w:vAlign w:val="bottom"/>
            <w:gridSpan w:val="2"/>
          </w:tcPr>
          <w:p>
            <w:pPr>
              <w:ind w:left="660"/>
              <w:spacing w:after="0"/>
              <w:rPr>
                <w:sz w:val="20"/>
                <w:szCs w:val="20"/>
                <w:color w:val="auto"/>
              </w:rPr>
            </w:pPr>
            <w:r>
              <w:rPr>
                <w:rFonts w:ascii="Arial" w:cs="Arial" w:eastAsia="Arial" w:hAnsi="Arial"/>
                <w:sz w:val="22"/>
                <w:szCs w:val="22"/>
                <w:color w:val="auto"/>
              </w:rPr>
              <w:t>SECTION 6.12.</w:t>
            </w:r>
          </w:p>
        </w:tc>
        <w:tc>
          <w:tcPr>
            <w:tcW w:w="2040" w:type="dxa"/>
            <w:vAlign w:val="bottom"/>
            <w:gridSpan w:val="12"/>
          </w:tcPr>
          <w:p>
            <w:pPr>
              <w:ind w:left="280"/>
              <w:spacing w:after="0"/>
              <w:rPr>
                <w:sz w:val="20"/>
                <w:szCs w:val="20"/>
                <w:color w:val="auto"/>
              </w:rPr>
            </w:pPr>
            <w:r>
              <w:rPr>
                <w:rFonts w:ascii="Arial" w:cs="Arial" w:eastAsia="Arial" w:hAnsi="Arial"/>
                <w:sz w:val="22"/>
                <w:szCs w:val="22"/>
                <w:color w:val="auto"/>
                <w:w w:val="87"/>
              </w:rPr>
              <w:t>Financial Covenants</w:t>
            </w:r>
          </w:p>
        </w:tc>
        <w:tc>
          <w:tcPr>
            <w:tcW w:w="40" w:type="dxa"/>
            <w:vAlign w:val="bottom"/>
            <w:gridSpan w:val="2"/>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22"/>
                <w:szCs w:val="22"/>
                <w:color w:val="FF0000"/>
                <w:strike w:val="1"/>
              </w:rPr>
              <w:t>56</w:t>
            </w:r>
          </w:p>
        </w:tc>
        <w:tc>
          <w:tcPr>
            <w:tcW w:w="260" w:type="dxa"/>
            <w:vAlign w:val="bottom"/>
            <w:gridSpan w:val="5"/>
          </w:tcPr>
          <w:p>
            <w:pPr>
              <w:jc w:val="right"/>
              <w:ind w:right="40"/>
              <w:spacing w:after="0"/>
              <w:rPr>
                <w:sz w:val="20"/>
                <w:szCs w:val="20"/>
                <w:color w:val="auto"/>
              </w:rPr>
            </w:pPr>
            <w:r>
              <w:rPr>
                <w:rFonts w:ascii="Arial" w:cs="Arial" w:eastAsia="Arial" w:hAnsi="Arial"/>
                <w:sz w:val="22"/>
                <w:szCs w:val="22"/>
                <w:b w:val="1"/>
                <w:bCs w:val="1"/>
                <w:color w:val="0000FF"/>
                <w:w w:val="81"/>
              </w:rPr>
              <w:t>59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40" w:type="dxa"/>
            <w:vAlign w:val="bottom"/>
          </w:tcPr>
          <w:p>
            <w:pPr>
              <w:spacing w:after="0"/>
              <w:rPr>
                <w:sz w:val="20"/>
                <w:szCs w:val="20"/>
                <w:color w:val="auto"/>
              </w:rPr>
            </w:pPr>
            <w:r>
              <w:rPr>
                <w:rFonts w:ascii="Arial" w:cs="Arial" w:eastAsia="Arial" w:hAnsi="Arial"/>
                <w:sz w:val="22"/>
                <w:szCs w:val="22"/>
                <w:color w:val="auto"/>
              </w:rPr>
              <w:t>ARTICLE VII</w:t>
            </w:r>
          </w:p>
        </w:tc>
        <w:tc>
          <w:tcPr>
            <w:tcW w:w="2280" w:type="dxa"/>
            <w:vAlign w:val="bottom"/>
            <w:gridSpan w:val="5"/>
          </w:tcPr>
          <w:p>
            <w:pPr>
              <w:ind w:left="100"/>
              <w:spacing w:after="0"/>
              <w:rPr>
                <w:sz w:val="20"/>
                <w:szCs w:val="20"/>
                <w:color w:val="auto"/>
              </w:rPr>
            </w:pPr>
            <w:r>
              <w:rPr>
                <w:rFonts w:ascii="Arial" w:cs="Arial" w:eastAsia="Arial" w:hAnsi="Arial"/>
                <w:sz w:val="22"/>
                <w:szCs w:val="22"/>
                <w:color w:val="auto"/>
                <w:w w:val="93"/>
              </w:rPr>
              <w:t>EVENTS OF DEFAULT</w:t>
            </w:r>
          </w:p>
        </w:tc>
        <w:tc>
          <w:tcPr>
            <w:tcW w:w="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22"/>
                <w:szCs w:val="22"/>
                <w:color w:val="FF0000"/>
                <w:strike w:val="1"/>
              </w:rPr>
              <w:t>56</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40" w:type="dxa"/>
            <w:vAlign w:val="bottom"/>
          </w:tcPr>
          <w:p>
            <w:pPr>
              <w:spacing w:after="0"/>
              <w:rPr>
                <w:sz w:val="20"/>
                <w:szCs w:val="20"/>
                <w:color w:val="auto"/>
              </w:rPr>
            </w:pPr>
            <w:r>
              <w:rPr>
                <w:rFonts w:ascii="Arial" w:cs="Arial" w:eastAsia="Arial" w:hAnsi="Arial"/>
                <w:sz w:val="22"/>
                <w:szCs w:val="22"/>
                <w:color w:val="auto"/>
              </w:rPr>
              <w:t>ARTICLE VIII</w:t>
            </w:r>
          </w:p>
        </w:tc>
        <w:tc>
          <w:tcPr>
            <w:tcW w:w="2120" w:type="dxa"/>
            <w:vAlign w:val="bottom"/>
            <w:gridSpan w:val="4"/>
          </w:tcPr>
          <w:p>
            <w:pPr>
              <w:ind w:left="100"/>
              <w:spacing w:after="0"/>
              <w:rPr>
                <w:sz w:val="20"/>
                <w:szCs w:val="20"/>
                <w:color w:val="auto"/>
              </w:rPr>
            </w:pPr>
            <w:r>
              <w:rPr>
                <w:rFonts w:ascii="Arial" w:cs="Arial" w:eastAsia="Arial" w:hAnsi="Arial"/>
                <w:sz w:val="22"/>
                <w:szCs w:val="22"/>
                <w:color w:val="auto"/>
              </w:rPr>
              <w:t>MISCELLANEOUS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59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62</w:t>
            </w:r>
          </w:p>
        </w:tc>
        <w:tc>
          <w:tcPr>
            <w:tcW w:w="3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47"/>
        </w:trPr>
        <w:tc>
          <w:tcPr>
            <w:tcW w:w="1660" w:type="dxa"/>
            <w:vAlign w:val="bottom"/>
            <w:vMerge w:val="restart"/>
          </w:tcPr>
          <w:p>
            <w:pPr>
              <w:spacing w:after="0"/>
              <w:rPr>
                <w:sz w:val="20"/>
                <w:szCs w:val="20"/>
                <w:color w:val="auto"/>
              </w:rPr>
            </w:pPr>
            <w:r>
              <w:rPr>
                <w:rFonts w:ascii="Arial" w:cs="Arial" w:eastAsia="Arial" w:hAnsi="Arial"/>
                <w:sz w:val="22"/>
                <w:szCs w:val="22"/>
                <w:color w:val="auto"/>
              </w:rPr>
              <w:t>SECTION 8.01.</w:t>
            </w:r>
          </w:p>
        </w:tc>
        <w:tc>
          <w:tcPr>
            <w:tcW w:w="1160" w:type="dxa"/>
            <w:vAlign w:val="bottom"/>
            <w:vMerge w:val="restart"/>
          </w:tcPr>
          <w:p>
            <w:pPr>
              <w:ind w:left="280"/>
              <w:spacing w:after="0"/>
              <w:rPr>
                <w:sz w:val="20"/>
                <w:szCs w:val="20"/>
                <w:color w:val="auto"/>
              </w:rPr>
            </w:pPr>
            <w:r>
              <w:rPr>
                <w:rFonts w:ascii="Arial" w:cs="Arial" w:eastAsia="Arial" w:hAnsi="Arial"/>
                <w:sz w:val="22"/>
                <w:szCs w:val="22"/>
                <w:color w:val="auto"/>
              </w:rPr>
              <w:t>Notices</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59</w:t>
            </w:r>
          </w:p>
        </w:tc>
        <w:tc>
          <w:tcPr>
            <w:tcW w:w="20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73"/>
              </w:rPr>
              <w:t>62</w:t>
            </w:r>
          </w:p>
        </w:tc>
        <w:tc>
          <w:tcPr>
            <w:tcW w:w="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64</w:t>
            </w:r>
          </w:p>
        </w:tc>
        <w:tc>
          <w:tcPr>
            <w:tcW w:w="30" w:type="dxa"/>
            <w:vAlign w:val="bottom"/>
          </w:tcPr>
          <w:p>
            <w:pPr>
              <w:spacing w:after="0"/>
              <w:rPr>
                <w:sz w:val="4"/>
                <w:szCs w:val="4"/>
                <w:color w:val="auto"/>
              </w:rPr>
            </w:pPr>
          </w:p>
        </w:tc>
        <w:tc>
          <w:tcPr>
            <w:tcW w:w="5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6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Borders>
              <w:bottom w:val="single" w:sz="8" w:color="0000FF"/>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Arial" w:cs="Arial" w:eastAsia="Arial" w:hAnsi="Arial"/>
                <w:sz w:val="22"/>
                <w:szCs w:val="22"/>
                <w:color w:val="auto"/>
              </w:rPr>
              <w:t>SECTION 8.02.</w:t>
            </w:r>
          </w:p>
        </w:tc>
        <w:tc>
          <w:tcPr>
            <w:tcW w:w="2520" w:type="dxa"/>
            <w:vAlign w:val="bottom"/>
            <w:gridSpan w:val="17"/>
          </w:tcPr>
          <w:p>
            <w:pPr>
              <w:ind w:left="280"/>
              <w:spacing w:after="0"/>
              <w:rPr>
                <w:sz w:val="20"/>
                <w:szCs w:val="20"/>
                <w:color w:val="auto"/>
              </w:rPr>
            </w:pPr>
            <w:r>
              <w:rPr>
                <w:rFonts w:ascii="Arial" w:cs="Arial" w:eastAsia="Arial" w:hAnsi="Arial"/>
                <w:sz w:val="22"/>
                <w:szCs w:val="22"/>
                <w:color w:val="auto"/>
                <w:w w:val="99"/>
              </w:rPr>
              <w:t>Waivers; Amendments</w:t>
            </w:r>
          </w:p>
        </w:tc>
        <w:tc>
          <w:tcPr>
            <w:tcW w:w="160" w:type="dxa"/>
            <w:vAlign w:val="bottom"/>
          </w:tcPr>
          <w:p>
            <w:pPr>
              <w:jc w:val="right"/>
              <w:spacing w:after="0"/>
              <w:rPr>
                <w:sz w:val="20"/>
                <w:szCs w:val="20"/>
                <w:color w:val="auto"/>
              </w:rPr>
            </w:pPr>
            <w:r>
              <w:rPr>
                <w:rFonts w:ascii="Arial" w:cs="Arial" w:eastAsia="Arial" w:hAnsi="Arial"/>
                <w:sz w:val="17"/>
                <w:szCs w:val="17"/>
                <w:color w:val="FF0000"/>
                <w:strike w:val="1"/>
                <w:w w:val="73"/>
              </w:rPr>
              <w:t>60</w:t>
            </w:r>
          </w:p>
        </w:tc>
        <w:tc>
          <w:tcPr>
            <w:tcW w:w="220" w:type="dxa"/>
            <w:vAlign w:val="bottom"/>
            <w:tcBorders>
              <w:bottom w:val="single" w:sz="8" w:color="0000FF"/>
            </w:tcBorders>
            <w:gridSpan w:val="2"/>
            <w:vMerge w:val="continue"/>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3"/>
            <w:vMerge w:val="restart"/>
          </w:tcPr>
          <w:p>
            <w:pPr>
              <w:jc w:val="right"/>
              <w:ind w:right="120"/>
              <w:spacing w:after="0"/>
              <w:rPr>
                <w:sz w:val="20"/>
                <w:szCs w:val="20"/>
                <w:color w:val="auto"/>
              </w:rPr>
            </w:pPr>
            <w:r>
              <w:rPr>
                <w:rFonts w:ascii="Arial" w:cs="Arial" w:eastAsia="Arial" w:hAnsi="Arial"/>
                <w:sz w:val="22"/>
                <w:szCs w:val="22"/>
                <w:b w:val="1"/>
                <w:bCs w:val="1"/>
                <w:color w:val="0000FF"/>
                <w:w w:val="81"/>
              </w:rPr>
              <w:t>64</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660" w:type="dxa"/>
            <w:vAlign w:val="bottom"/>
          </w:tcPr>
          <w:p>
            <w:pPr>
              <w:spacing w:after="0"/>
              <w:rPr>
                <w:sz w:val="20"/>
                <w:szCs w:val="20"/>
                <w:color w:val="auto"/>
              </w:rPr>
            </w:pPr>
            <w:r>
              <w:rPr>
                <w:rFonts w:ascii="Arial" w:cs="Arial" w:eastAsia="Arial" w:hAnsi="Arial"/>
                <w:sz w:val="22"/>
                <w:szCs w:val="22"/>
                <w:color w:val="auto"/>
              </w:rPr>
              <w:t>SECTION 8.03.</w:t>
            </w:r>
          </w:p>
        </w:tc>
        <w:tc>
          <w:tcPr>
            <w:tcW w:w="3820" w:type="dxa"/>
            <w:vAlign w:val="bottom"/>
            <w:gridSpan w:val="27"/>
          </w:tcPr>
          <w:p>
            <w:pPr>
              <w:ind w:left="280"/>
              <w:spacing w:after="0"/>
              <w:rPr>
                <w:sz w:val="20"/>
                <w:szCs w:val="20"/>
                <w:color w:val="auto"/>
              </w:rPr>
            </w:pPr>
            <w:r>
              <w:rPr>
                <w:rFonts w:ascii="Arial" w:cs="Arial" w:eastAsia="Arial" w:hAnsi="Arial"/>
                <w:sz w:val="22"/>
                <w:szCs w:val="22"/>
                <w:color w:val="auto"/>
                <w:w w:val="94"/>
              </w:rPr>
              <w:t>Expenses; Indemnity; Damage Waiver</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60</w:t>
            </w:r>
          </w:p>
        </w:tc>
        <w:tc>
          <w:tcPr>
            <w:tcW w:w="340" w:type="dxa"/>
            <w:vAlign w:val="bottom"/>
            <w:gridSpan w:val="3"/>
            <w:vMerge w:val="continue"/>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660" w:type="dxa"/>
            <w:vAlign w:val="bottom"/>
          </w:tcPr>
          <w:p>
            <w:pPr>
              <w:spacing w:after="0"/>
              <w:rPr>
                <w:sz w:val="20"/>
                <w:szCs w:val="20"/>
                <w:color w:val="auto"/>
              </w:rPr>
            </w:pPr>
            <w:r>
              <w:rPr>
                <w:rFonts w:ascii="Arial" w:cs="Arial" w:eastAsia="Arial" w:hAnsi="Arial"/>
                <w:sz w:val="22"/>
                <w:szCs w:val="22"/>
                <w:color w:val="auto"/>
              </w:rPr>
              <w:t>SECTION 8.04.</w:t>
            </w:r>
          </w:p>
        </w:tc>
        <w:tc>
          <w:tcPr>
            <w:tcW w:w="2520" w:type="dxa"/>
            <w:vAlign w:val="bottom"/>
            <w:gridSpan w:val="17"/>
          </w:tcPr>
          <w:p>
            <w:pPr>
              <w:ind w:left="280"/>
              <w:spacing w:after="0"/>
              <w:rPr>
                <w:sz w:val="20"/>
                <w:szCs w:val="20"/>
                <w:color w:val="auto"/>
              </w:rPr>
            </w:pPr>
            <w:r>
              <w:rPr>
                <w:rFonts w:ascii="Arial" w:cs="Arial" w:eastAsia="Arial" w:hAnsi="Arial"/>
                <w:sz w:val="22"/>
                <w:szCs w:val="22"/>
                <w:color w:val="auto"/>
                <w:w w:val="91"/>
              </w:rPr>
              <w:t>Successors and Assigns</w:t>
            </w:r>
          </w:p>
        </w:tc>
        <w:tc>
          <w:tcPr>
            <w:tcW w:w="240" w:type="dxa"/>
            <w:vAlign w:val="bottom"/>
            <w:gridSpan w:val="2"/>
          </w:tcPr>
          <w:p>
            <w:pPr>
              <w:jc w:val="right"/>
              <w:spacing w:after="0"/>
              <w:rPr>
                <w:sz w:val="20"/>
                <w:szCs w:val="20"/>
                <w:color w:val="auto"/>
              </w:rPr>
            </w:pPr>
            <w:r>
              <w:rPr>
                <w:rFonts w:ascii="Arial" w:cs="Arial" w:eastAsia="Arial" w:hAnsi="Arial"/>
                <w:sz w:val="22"/>
                <w:szCs w:val="22"/>
                <w:color w:val="FF0000"/>
                <w:strike w:val="1"/>
                <w:w w:val="89"/>
              </w:rPr>
              <w:t>62</w:t>
            </w:r>
          </w:p>
        </w:tc>
        <w:tc>
          <w:tcPr>
            <w:tcW w:w="380" w:type="dxa"/>
            <w:vAlign w:val="bottom"/>
            <w:gridSpan w:val="4"/>
          </w:tcPr>
          <w:p>
            <w:pPr>
              <w:jc w:val="right"/>
              <w:ind w:right="160"/>
              <w:spacing w:after="0"/>
              <w:rPr>
                <w:sz w:val="20"/>
                <w:szCs w:val="20"/>
                <w:color w:val="auto"/>
              </w:rPr>
            </w:pPr>
            <w:r>
              <w:rPr>
                <w:rFonts w:ascii="Arial" w:cs="Arial" w:eastAsia="Arial" w:hAnsi="Arial"/>
                <w:sz w:val="22"/>
                <w:szCs w:val="22"/>
                <w:b w:val="1"/>
                <w:bCs w:val="1"/>
                <w:color w:val="0000FF"/>
                <w:w w:val="81"/>
              </w:rPr>
              <w:t>66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660" w:type="dxa"/>
            <w:vAlign w:val="bottom"/>
          </w:tcPr>
          <w:p>
            <w:pPr>
              <w:spacing w:after="0"/>
              <w:rPr>
                <w:sz w:val="20"/>
                <w:szCs w:val="20"/>
                <w:color w:val="auto"/>
              </w:rPr>
            </w:pPr>
            <w:r>
              <w:rPr>
                <w:rFonts w:ascii="Arial" w:cs="Arial" w:eastAsia="Arial" w:hAnsi="Arial"/>
                <w:sz w:val="22"/>
                <w:szCs w:val="22"/>
                <w:color w:val="auto"/>
              </w:rPr>
              <w:t>SECTION 8.05.</w:t>
            </w:r>
          </w:p>
        </w:tc>
        <w:tc>
          <w:tcPr>
            <w:tcW w:w="1160" w:type="dxa"/>
            <w:vAlign w:val="bottom"/>
          </w:tcPr>
          <w:p>
            <w:pPr>
              <w:ind w:left="280"/>
              <w:spacing w:after="0"/>
              <w:rPr>
                <w:sz w:val="20"/>
                <w:szCs w:val="20"/>
                <w:color w:val="auto"/>
              </w:rPr>
            </w:pPr>
            <w:r>
              <w:rPr>
                <w:rFonts w:ascii="Arial" w:cs="Arial" w:eastAsia="Arial" w:hAnsi="Arial"/>
                <w:sz w:val="22"/>
                <w:szCs w:val="22"/>
                <w:color w:val="auto"/>
              </w:rPr>
              <w:t>Survival</w:t>
            </w:r>
          </w:p>
        </w:tc>
        <w:tc>
          <w:tcPr>
            <w:tcW w:w="280" w:type="dxa"/>
            <w:vAlign w:val="bottom"/>
            <w:gridSpan w:val="2"/>
          </w:tcPr>
          <w:p>
            <w:pPr>
              <w:jc w:val="right"/>
              <w:spacing w:after="0"/>
              <w:rPr>
                <w:sz w:val="20"/>
                <w:szCs w:val="20"/>
                <w:color w:val="auto"/>
              </w:rPr>
            </w:pPr>
            <w:r>
              <w:rPr>
                <w:rFonts w:ascii="Arial" w:cs="Arial" w:eastAsia="Arial" w:hAnsi="Arial"/>
                <w:sz w:val="22"/>
                <w:szCs w:val="22"/>
                <w:color w:val="FF0000"/>
                <w:strike w:val="1"/>
              </w:rPr>
              <w:t>63</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67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 w:type="dxa"/>
            <w:vAlign w:val="bottom"/>
            <w:tcBorders>
              <w:top w:val="single" w:sz="8" w:color="0000FF"/>
            </w:tcBorders>
          </w:tcPr>
          <w:p>
            <w:pPr>
              <w:spacing w:after="0"/>
              <w:rPr>
                <w:sz w:val="24"/>
                <w:szCs w:val="24"/>
                <w:color w:val="auto"/>
              </w:rPr>
            </w:pPr>
          </w:p>
        </w:tc>
        <w:tc>
          <w:tcPr>
            <w:tcW w:w="5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3"/>
            <w:vMerge w:val="restart"/>
          </w:tcPr>
          <w:p>
            <w:pPr>
              <w:jc w:val="right"/>
              <w:ind w:right="4172"/>
              <w:spacing w:after="0"/>
              <w:rPr>
                <w:sz w:val="20"/>
                <w:szCs w:val="20"/>
                <w:color w:val="auto"/>
              </w:rPr>
            </w:pPr>
            <w:r>
              <w:rPr>
                <w:rFonts w:ascii="Arial" w:cs="Arial" w:eastAsia="Arial" w:hAnsi="Arial"/>
                <w:sz w:val="22"/>
                <w:szCs w:val="22"/>
                <w:b w:val="1"/>
                <w:bCs w:val="1"/>
                <w:color w:val="0000FF"/>
                <w:w w:val="81"/>
              </w:rPr>
              <w:t>68</w:t>
            </w:r>
          </w:p>
        </w:tc>
        <w:tc>
          <w:tcPr>
            <w:tcW w:w="0" w:type="dxa"/>
            <w:vAlign w:val="bottom"/>
          </w:tcPr>
          <w:p>
            <w:pPr>
              <w:spacing w:after="0"/>
              <w:rPr>
                <w:sz w:val="1"/>
                <w:szCs w:val="1"/>
                <w:color w:val="auto"/>
              </w:rPr>
            </w:pPr>
          </w:p>
        </w:tc>
      </w:tr>
      <w:tr>
        <w:trPr>
          <w:trHeight w:val="345"/>
        </w:trPr>
        <w:tc>
          <w:tcPr>
            <w:tcW w:w="1660" w:type="dxa"/>
            <w:vAlign w:val="bottom"/>
          </w:tcPr>
          <w:p>
            <w:pPr>
              <w:spacing w:after="0"/>
              <w:rPr>
                <w:sz w:val="20"/>
                <w:szCs w:val="20"/>
                <w:color w:val="auto"/>
              </w:rPr>
            </w:pPr>
            <w:r>
              <w:rPr>
                <w:rFonts w:ascii="Arial" w:cs="Arial" w:eastAsia="Arial" w:hAnsi="Arial"/>
                <w:sz w:val="22"/>
                <w:szCs w:val="22"/>
                <w:color w:val="auto"/>
              </w:rPr>
              <w:t>SECTION 8.06.</w:t>
            </w:r>
          </w:p>
        </w:tc>
        <w:tc>
          <w:tcPr>
            <w:tcW w:w="3820" w:type="dxa"/>
            <w:vAlign w:val="bottom"/>
            <w:gridSpan w:val="27"/>
          </w:tcPr>
          <w:p>
            <w:pPr>
              <w:ind w:left="280"/>
              <w:spacing w:after="0"/>
              <w:rPr>
                <w:sz w:val="20"/>
                <w:szCs w:val="20"/>
                <w:color w:val="auto"/>
              </w:rPr>
            </w:pPr>
            <w:r>
              <w:rPr>
                <w:rFonts w:ascii="Arial" w:cs="Arial" w:eastAsia="Arial" w:hAnsi="Arial"/>
                <w:sz w:val="22"/>
                <w:szCs w:val="22"/>
                <w:color w:val="auto"/>
                <w:w w:val="91"/>
              </w:rPr>
              <w:t>Counterparts; Integration; Effectiveness</w:t>
            </w:r>
          </w:p>
        </w:tc>
        <w:tc>
          <w:tcPr>
            <w:tcW w:w="340" w:type="dxa"/>
            <w:vAlign w:val="bottom"/>
            <w:gridSpan w:val="2"/>
          </w:tcPr>
          <w:p>
            <w:pPr>
              <w:jc w:val="right"/>
              <w:spacing w:after="0"/>
              <w:rPr>
                <w:sz w:val="20"/>
                <w:szCs w:val="20"/>
                <w:color w:val="auto"/>
              </w:rPr>
            </w:pPr>
            <w:r>
              <w:rPr>
                <w:rFonts w:ascii="Arial" w:cs="Arial" w:eastAsia="Arial" w:hAnsi="Arial"/>
                <w:sz w:val="22"/>
                <w:szCs w:val="22"/>
                <w:color w:val="FF0000"/>
                <w:strike w:val="1"/>
              </w:rPr>
              <w:t>63</w:t>
            </w:r>
          </w:p>
        </w:tc>
        <w:tc>
          <w:tcPr>
            <w:tcW w:w="45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660" w:type="dxa"/>
            <w:vAlign w:val="bottom"/>
          </w:tcPr>
          <w:p>
            <w:pPr>
              <w:spacing w:after="0"/>
              <w:rPr>
                <w:sz w:val="20"/>
                <w:szCs w:val="20"/>
                <w:color w:val="auto"/>
              </w:rPr>
            </w:pPr>
            <w:r>
              <w:rPr>
                <w:rFonts w:ascii="Arial" w:cs="Arial" w:eastAsia="Arial" w:hAnsi="Arial"/>
                <w:sz w:val="22"/>
                <w:szCs w:val="22"/>
                <w:color w:val="auto"/>
              </w:rPr>
              <w:t>SECTION 8.07.</w:t>
            </w:r>
          </w:p>
        </w:tc>
        <w:tc>
          <w:tcPr>
            <w:tcW w:w="1540" w:type="dxa"/>
            <w:vAlign w:val="bottom"/>
            <w:gridSpan w:val="5"/>
          </w:tcPr>
          <w:p>
            <w:pPr>
              <w:ind w:left="280"/>
              <w:spacing w:after="0"/>
              <w:rPr>
                <w:sz w:val="20"/>
                <w:szCs w:val="20"/>
                <w:color w:val="auto"/>
              </w:rPr>
            </w:pPr>
            <w:r>
              <w:rPr>
                <w:rFonts w:ascii="Arial" w:cs="Arial" w:eastAsia="Arial" w:hAnsi="Arial"/>
                <w:sz w:val="22"/>
                <w:szCs w:val="22"/>
                <w:color w:val="auto"/>
              </w:rPr>
              <w:t>Severability</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64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68</w:t>
            </w:r>
          </w:p>
        </w:tc>
        <w:tc>
          <w:tcPr>
            <w:tcW w:w="2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68</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Arial" w:cs="Arial" w:eastAsia="Arial" w:hAnsi="Arial"/>
                <w:sz w:val="22"/>
                <w:szCs w:val="22"/>
                <w:color w:val="auto"/>
              </w:rPr>
              <w:t>SECTION 8.08.</w:t>
            </w:r>
          </w:p>
        </w:tc>
        <w:tc>
          <w:tcPr>
            <w:tcW w:w="1760" w:type="dxa"/>
            <w:vAlign w:val="bottom"/>
            <w:gridSpan w:val="9"/>
          </w:tcPr>
          <w:p>
            <w:pPr>
              <w:ind w:left="280"/>
              <w:spacing w:after="0"/>
              <w:rPr>
                <w:sz w:val="20"/>
                <w:szCs w:val="20"/>
                <w:color w:val="auto"/>
              </w:rPr>
            </w:pPr>
            <w:r>
              <w:rPr>
                <w:rFonts w:ascii="Arial" w:cs="Arial" w:eastAsia="Arial" w:hAnsi="Arial"/>
                <w:sz w:val="22"/>
                <w:szCs w:val="22"/>
                <w:color w:val="auto"/>
              </w:rPr>
              <w:t>Right of Setoff</w:t>
            </w:r>
          </w:p>
        </w:tc>
        <w:tc>
          <w:tcPr>
            <w:tcW w:w="240" w:type="dxa"/>
            <w:vAlign w:val="bottom"/>
            <w:gridSpan w:val="2"/>
          </w:tcPr>
          <w:p>
            <w:pPr>
              <w:jc w:val="right"/>
              <w:spacing w:after="0"/>
              <w:rPr>
                <w:sz w:val="20"/>
                <w:szCs w:val="20"/>
                <w:color w:val="auto"/>
              </w:rPr>
            </w:pPr>
            <w:r>
              <w:rPr>
                <w:rFonts w:ascii="Arial" w:cs="Arial" w:eastAsia="Arial" w:hAnsi="Arial"/>
                <w:sz w:val="22"/>
                <w:szCs w:val="22"/>
                <w:color w:val="FF0000"/>
                <w:strike w:val="1"/>
                <w:w w:val="89"/>
              </w:rPr>
              <w:t>64</w:t>
            </w:r>
          </w:p>
        </w:tc>
        <w:tc>
          <w:tcPr>
            <w:tcW w:w="220" w:type="dxa"/>
            <w:vAlign w:val="bottom"/>
            <w:tcBorders>
              <w:bottom w:val="single" w:sz="8" w:color="0000FF"/>
            </w:tcBorders>
            <w:gridSpan w:val="3"/>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660" w:type="dxa"/>
            <w:vAlign w:val="bottom"/>
          </w:tcPr>
          <w:p>
            <w:pPr>
              <w:spacing w:after="0"/>
              <w:rPr>
                <w:sz w:val="20"/>
                <w:szCs w:val="20"/>
                <w:color w:val="auto"/>
              </w:rPr>
            </w:pPr>
            <w:r>
              <w:rPr>
                <w:rFonts w:ascii="Arial" w:cs="Arial" w:eastAsia="Arial" w:hAnsi="Arial"/>
                <w:sz w:val="22"/>
                <w:szCs w:val="22"/>
                <w:color w:val="auto"/>
              </w:rPr>
              <w:t>SECTION 8.09.</w:t>
            </w:r>
          </w:p>
        </w:tc>
        <w:tc>
          <w:tcPr>
            <w:tcW w:w="2930" w:type="dxa"/>
            <w:vAlign w:val="bottom"/>
            <w:gridSpan w:val="21"/>
          </w:tcPr>
          <w:p>
            <w:pPr>
              <w:ind w:left="280"/>
              <w:spacing w:after="0"/>
              <w:rPr>
                <w:sz w:val="20"/>
                <w:szCs w:val="20"/>
                <w:color w:val="auto"/>
              </w:rPr>
            </w:pPr>
            <w:r>
              <w:rPr>
                <w:rFonts w:ascii="Arial" w:cs="Arial" w:eastAsia="Arial" w:hAnsi="Arial"/>
                <w:sz w:val="22"/>
                <w:szCs w:val="22"/>
                <w:color w:val="auto"/>
                <w:w w:val="95"/>
              </w:rPr>
              <w:t>Governing Law; Jurisdiction;</w:t>
            </w: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vMerge w:val="restart"/>
          </w:tcPr>
          <w:p>
            <w:pPr>
              <w:ind w:left="3360"/>
              <w:spacing w:after="0"/>
              <w:rPr>
                <w:sz w:val="20"/>
                <w:szCs w:val="20"/>
                <w:color w:val="auto"/>
              </w:rPr>
            </w:pPr>
            <w:r>
              <w:rPr>
                <w:rFonts w:ascii="Arial" w:cs="Arial" w:eastAsia="Arial" w:hAnsi="Arial"/>
                <w:sz w:val="22"/>
                <w:szCs w:val="22"/>
                <w:color w:val="auto"/>
                <w:w w:val="84"/>
              </w:rPr>
              <w:t>Consent to</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2100" w:type="dxa"/>
            <w:vAlign w:val="bottom"/>
            <w:gridSpan w:val="13"/>
            <w:vMerge w:val="restart"/>
          </w:tcPr>
          <w:p>
            <w:pPr>
              <w:ind w:left="280"/>
              <w:spacing w:after="0"/>
              <w:rPr>
                <w:sz w:val="20"/>
                <w:szCs w:val="20"/>
                <w:color w:val="auto"/>
              </w:rPr>
            </w:pPr>
            <w:r>
              <w:rPr>
                <w:rFonts w:ascii="Arial" w:cs="Arial" w:eastAsia="Arial" w:hAnsi="Arial"/>
                <w:sz w:val="22"/>
                <w:szCs w:val="22"/>
                <w:color w:val="auto"/>
                <w:w w:val="98"/>
              </w:rPr>
              <w:t>Service of Process</w:t>
            </w:r>
          </w:p>
        </w:tc>
        <w:tc>
          <w:tcPr>
            <w:tcW w:w="200" w:type="dxa"/>
            <w:vAlign w:val="bottom"/>
            <w:gridSpan w:val="3"/>
            <w:vMerge w:val="restart"/>
          </w:tcPr>
          <w:p>
            <w:pPr>
              <w:jc w:val="right"/>
              <w:spacing w:after="0"/>
              <w:rPr>
                <w:sz w:val="20"/>
                <w:szCs w:val="20"/>
                <w:color w:val="auto"/>
              </w:rPr>
            </w:pPr>
            <w:r>
              <w:rPr>
                <w:rFonts w:ascii="Arial" w:cs="Arial" w:eastAsia="Arial" w:hAnsi="Arial"/>
                <w:sz w:val="22"/>
                <w:szCs w:val="22"/>
                <w:color w:val="FF0000"/>
                <w:strike w:val="1"/>
                <w:w w:val="73"/>
              </w:rPr>
              <w:t>64</w:t>
            </w:r>
          </w:p>
        </w:tc>
        <w:tc>
          <w:tcPr>
            <w:tcW w:w="630" w:type="dxa"/>
            <w:vAlign w:val="bottom"/>
            <w:gridSpan w:val="5"/>
            <w:vMerge w:val="restart"/>
          </w:tcPr>
          <w:p>
            <w:pPr>
              <w:jc w:val="right"/>
              <w:ind w:right="410"/>
              <w:spacing w:after="0"/>
              <w:rPr>
                <w:sz w:val="20"/>
                <w:szCs w:val="20"/>
                <w:color w:val="auto"/>
              </w:rPr>
            </w:pPr>
            <w:r>
              <w:rPr>
                <w:rFonts w:ascii="Arial" w:cs="Arial" w:eastAsia="Arial" w:hAnsi="Arial"/>
                <w:sz w:val="22"/>
                <w:szCs w:val="22"/>
                <w:b w:val="1"/>
                <w:bCs w:val="1"/>
                <w:color w:val="0000FF"/>
                <w:w w:val="81"/>
              </w:rPr>
              <w:t>68</w:t>
            </w:r>
          </w:p>
        </w:tc>
        <w:tc>
          <w:tcPr>
            <w:tcW w:w="5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2100" w:type="dxa"/>
            <w:vAlign w:val="bottom"/>
            <w:gridSpan w:val="1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630" w:type="dxa"/>
            <w:vAlign w:val="bottom"/>
            <w:gridSpan w:val="5"/>
            <w:vMerge w:val="continue"/>
          </w:tcPr>
          <w:p>
            <w:pPr>
              <w:spacing w:after="0"/>
              <w:rPr>
                <w:sz w:val="17"/>
                <w:szCs w:val="17"/>
                <w:color w:val="auto"/>
              </w:rPr>
            </w:pPr>
          </w:p>
        </w:tc>
        <w:tc>
          <w:tcPr>
            <w:tcW w:w="5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10" w:type="dxa"/>
            <w:vAlign w:val="bottom"/>
            <w:gridSpan w:val="4"/>
          </w:tcPr>
          <w:p>
            <w:pPr>
              <w:spacing w:after="0" w:line="20" w:lineRule="exact"/>
              <w:rPr>
                <w:sz w:val="1"/>
                <w:szCs w:val="1"/>
                <w:color w:val="auto"/>
              </w:rPr>
            </w:pPr>
          </w:p>
        </w:tc>
        <w:tc>
          <w:tcPr>
            <w:tcW w:w="210" w:type="dxa"/>
            <w:vAlign w:val="bottom"/>
            <w:gridSpan w:val="2"/>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660" w:type="dxa"/>
            <w:vAlign w:val="bottom"/>
          </w:tcPr>
          <w:p>
            <w:pPr>
              <w:spacing w:after="0"/>
              <w:rPr>
                <w:sz w:val="20"/>
                <w:szCs w:val="20"/>
                <w:color w:val="auto"/>
              </w:rPr>
            </w:pPr>
            <w:r>
              <w:rPr>
                <w:rFonts w:ascii="Arial" w:cs="Arial" w:eastAsia="Arial" w:hAnsi="Arial"/>
                <w:sz w:val="22"/>
                <w:szCs w:val="22"/>
                <w:color w:val="auto"/>
              </w:rPr>
              <w:t>SECTION 8.10.</w:t>
            </w:r>
          </w:p>
        </w:tc>
        <w:tc>
          <w:tcPr>
            <w:tcW w:w="2930" w:type="dxa"/>
            <w:vAlign w:val="bottom"/>
            <w:gridSpan w:val="21"/>
          </w:tcPr>
          <w:p>
            <w:pPr>
              <w:ind w:left="280"/>
              <w:spacing w:after="0"/>
              <w:rPr>
                <w:sz w:val="20"/>
                <w:szCs w:val="20"/>
                <w:color w:val="auto"/>
              </w:rPr>
            </w:pPr>
            <w:r>
              <w:rPr>
                <w:rFonts w:ascii="Arial" w:cs="Arial" w:eastAsia="Arial" w:hAnsi="Arial"/>
                <w:sz w:val="22"/>
                <w:szCs w:val="22"/>
                <w:color w:val="auto"/>
              </w:rPr>
              <w:t>WAIVER OF JURY TRIAL</w:t>
            </w:r>
          </w:p>
        </w:tc>
        <w:tc>
          <w:tcPr>
            <w:tcW w:w="210" w:type="dxa"/>
            <w:vAlign w:val="bottom"/>
            <w:gridSpan w:val="2"/>
          </w:tcPr>
          <w:p>
            <w:pPr>
              <w:jc w:val="right"/>
              <w:spacing w:after="0"/>
              <w:rPr>
                <w:sz w:val="20"/>
                <w:szCs w:val="20"/>
                <w:color w:val="auto"/>
              </w:rPr>
            </w:pPr>
            <w:r>
              <w:rPr>
                <w:rFonts w:ascii="Arial" w:cs="Arial" w:eastAsia="Arial" w:hAnsi="Arial"/>
                <w:sz w:val="22"/>
                <w:szCs w:val="22"/>
                <w:color w:val="FF0000"/>
                <w:strike w:val="1"/>
                <w:w w:val="73"/>
              </w:rPr>
              <w:t>65</w:t>
            </w:r>
          </w:p>
        </w:tc>
        <w:tc>
          <w:tcPr>
            <w:tcW w:w="240" w:type="dxa"/>
            <w:vAlign w:val="bottom"/>
            <w:tcBorders>
              <w:bottom w:val="single" w:sz="8" w:color="0000FF"/>
            </w:tcBorders>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660" w:type="dxa"/>
            <w:vAlign w:val="bottom"/>
          </w:tcPr>
          <w:p>
            <w:pPr>
              <w:spacing w:after="0"/>
              <w:rPr>
                <w:sz w:val="20"/>
                <w:szCs w:val="20"/>
                <w:color w:val="auto"/>
              </w:rPr>
            </w:pPr>
            <w:r>
              <w:rPr>
                <w:rFonts w:ascii="Arial" w:cs="Arial" w:eastAsia="Arial" w:hAnsi="Arial"/>
                <w:sz w:val="22"/>
                <w:szCs w:val="22"/>
                <w:color w:val="auto"/>
              </w:rPr>
              <w:t>SECTION 8.11.</w:t>
            </w:r>
          </w:p>
        </w:tc>
        <w:tc>
          <w:tcPr>
            <w:tcW w:w="1160" w:type="dxa"/>
            <w:vAlign w:val="bottom"/>
          </w:tcPr>
          <w:p>
            <w:pPr>
              <w:ind w:left="280"/>
              <w:spacing w:after="0"/>
              <w:rPr>
                <w:sz w:val="20"/>
                <w:szCs w:val="20"/>
                <w:color w:val="auto"/>
              </w:rPr>
            </w:pPr>
            <w:r>
              <w:rPr>
                <w:rFonts w:ascii="Arial" w:cs="Arial" w:eastAsia="Arial" w:hAnsi="Arial"/>
                <w:sz w:val="22"/>
                <w:szCs w:val="22"/>
                <w:color w:val="auto"/>
                <w:w w:val="92"/>
              </w:rPr>
              <w:t>Headings</w:t>
            </w:r>
          </w:p>
        </w:tc>
        <w:tc>
          <w:tcPr>
            <w:tcW w:w="360" w:type="dxa"/>
            <w:vAlign w:val="bottom"/>
            <w:gridSpan w:val="3"/>
          </w:tcPr>
          <w:p>
            <w:pPr>
              <w:jc w:val="right"/>
              <w:spacing w:after="0"/>
              <w:rPr>
                <w:sz w:val="20"/>
                <w:szCs w:val="20"/>
                <w:color w:val="auto"/>
              </w:rPr>
            </w:pPr>
            <w:r>
              <w:rPr>
                <w:rFonts w:ascii="Arial" w:cs="Arial" w:eastAsia="Arial" w:hAnsi="Arial"/>
                <w:sz w:val="22"/>
                <w:szCs w:val="22"/>
                <w:color w:val="FF0000"/>
                <w:strike w:val="1"/>
              </w:rPr>
              <w:t>67</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71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Arial" w:cs="Arial" w:eastAsia="Arial" w:hAnsi="Arial"/>
                <w:sz w:val="22"/>
                <w:szCs w:val="22"/>
                <w:color w:val="auto"/>
              </w:rPr>
              <w:t>SECTION 8.12.</w:t>
            </w:r>
          </w:p>
        </w:tc>
        <w:tc>
          <w:tcPr>
            <w:tcW w:w="1760" w:type="dxa"/>
            <w:vAlign w:val="bottom"/>
            <w:gridSpan w:val="9"/>
          </w:tcPr>
          <w:p>
            <w:pPr>
              <w:ind w:left="280"/>
              <w:spacing w:after="0"/>
              <w:rPr>
                <w:sz w:val="20"/>
                <w:szCs w:val="20"/>
                <w:color w:val="auto"/>
              </w:rPr>
            </w:pPr>
            <w:r>
              <w:rPr>
                <w:rFonts w:ascii="Arial" w:cs="Arial" w:eastAsia="Arial" w:hAnsi="Arial"/>
                <w:sz w:val="22"/>
                <w:szCs w:val="22"/>
                <w:color w:val="auto"/>
              </w:rPr>
              <w:t>Confidentiality</w:t>
            </w:r>
          </w:p>
        </w:tc>
        <w:tc>
          <w:tcPr>
            <w:tcW w:w="260" w:type="dxa"/>
            <w:vAlign w:val="bottom"/>
            <w:gridSpan w:val="3"/>
          </w:tcPr>
          <w:p>
            <w:pPr>
              <w:jc w:val="right"/>
              <w:spacing w:after="0"/>
              <w:rPr>
                <w:sz w:val="20"/>
                <w:szCs w:val="20"/>
                <w:color w:val="auto"/>
              </w:rPr>
            </w:pPr>
            <w:r>
              <w:rPr>
                <w:rFonts w:ascii="Arial" w:cs="Arial" w:eastAsia="Arial" w:hAnsi="Arial"/>
                <w:sz w:val="22"/>
                <w:szCs w:val="22"/>
                <w:color w:val="FF0000"/>
                <w:strike w:val="1"/>
                <w:w w:val="97"/>
              </w:rPr>
              <w:t>67</w:t>
            </w:r>
          </w:p>
        </w:tc>
        <w:tc>
          <w:tcPr>
            <w:tcW w:w="220" w:type="dxa"/>
            <w:vAlign w:val="bottom"/>
            <w:tcBorders>
              <w:bottom w:val="single" w:sz="8" w:color="0000FF"/>
            </w:tcBorders>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72</w:t>
            </w:r>
          </w:p>
        </w:tc>
        <w:tc>
          <w:tcPr>
            <w:tcW w:w="2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Arial" w:cs="Arial" w:eastAsia="Arial" w:hAnsi="Arial"/>
                <w:sz w:val="22"/>
                <w:szCs w:val="22"/>
                <w:color w:val="auto"/>
              </w:rPr>
              <w:t>SECTION 8.13.</w:t>
            </w:r>
          </w:p>
        </w:tc>
        <w:tc>
          <w:tcPr>
            <w:tcW w:w="2930" w:type="dxa"/>
            <w:vAlign w:val="bottom"/>
            <w:gridSpan w:val="21"/>
          </w:tcPr>
          <w:p>
            <w:pPr>
              <w:ind w:left="280"/>
              <w:spacing w:after="0"/>
              <w:rPr>
                <w:sz w:val="20"/>
                <w:szCs w:val="20"/>
                <w:color w:val="auto"/>
              </w:rPr>
            </w:pPr>
            <w:r>
              <w:rPr>
                <w:rFonts w:ascii="Arial" w:cs="Arial" w:eastAsia="Arial" w:hAnsi="Arial"/>
                <w:sz w:val="22"/>
                <w:szCs w:val="22"/>
                <w:color w:val="auto"/>
                <w:w w:val="92"/>
              </w:rPr>
              <w:t>Nonreliance; Violation of Law</w:t>
            </w:r>
          </w:p>
        </w:tc>
        <w:tc>
          <w:tcPr>
            <w:tcW w:w="210" w:type="dxa"/>
            <w:vAlign w:val="bottom"/>
            <w:gridSpan w:val="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980"/>
          </w:cols>
          <w:pgMar w:left="320" w:top="575" w:right="599" w:bottom="1440" w:gutter="0" w:footer="0" w:header="0"/>
        </w:sectPr>
      </w:pPr>
    </w:p>
    <w:bookmarkStart w:id="126" w:name="page127"/>
    <w:bookmarkEnd w:id="126"/>
    <w:tbl>
      <w:tblPr>
        <w:tblLayout w:type="fixed"/>
        <w:tblInd w:w="660" w:type="dxa"/>
        <w:tblCellMar>
          <w:top w:w="0" w:type="dxa"/>
          <w:left w:w="0" w:type="dxa"/>
          <w:bottom w:w="0" w:type="dxa"/>
          <w:right w:w="0" w:type="dxa"/>
        </w:tblCellMar>
      </w:tblPr>
      <w:tr>
        <w:trPr>
          <w:trHeight w:val="47"/>
        </w:trPr>
        <w:tc>
          <w:tcPr>
            <w:tcW w:w="1460" w:type="dxa"/>
            <w:vAlign w:val="bottom"/>
            <w:vMerge w:val="restart"/>
          </w:tcPr>
          <w:p>
            <w:pPr>
              <w:spacing w:after="0"/>
              <w:rPr>
                <w:sz w:val="20"/>
                <w:szCs w:val="20"/>
                <w:color w:val="auto"/>
              </w:rPr>
            </w:pPr>
            <w:r>
              <w:rPr>
                <w:rFonts w:ascii="Arial" w:cs="Arial" w:eastAsia="Arial" w:hAnsi="Arial"/>
                <w:sz w:val="22"/>
                <w:szCs w:val="22"/>
                <w:color w:val="auto"/>
                <w:w w:val="94"/>
              </w:rPr>
              <w:t>SECTION 8.14.</w:t>
            </w:r>
          </w:p>
        </w:tc>
        <w:tc>
          <w:tcPr>
            <w:tcW w:w="480" w:type="dxa"/>
            <w:vAlign w:val="bottom"/>
            <w:vMerge w:val="restart"/>
          </w:tcPr>
          <w:p>
            <w:pPr>
              <w:spacing w:after="0"/>
              <w:rPr>
                <w:sz w:val="4"/>
                <w:szCs w:val="4"/>
                <w:color w:val="auto"/>
              </w:rPr>
            </w:pPr>
          </w:p>
        </w:tc>
        <w:tc>
          <w:tcPr>
            <w:tcW w:w="1940" w:type="dxa"/>
            <w:vAlign w:val="bottom"/>
            <w:gridSpan w:val="4"/>
            <w:vMerge w:val="restart"/>
          </w:tcPr>
          <w:p>
            <w:pPr>
              <w:spacing w:after="0"/>
              <w:rPr>
                <w:sz w:val="20"/>
                <w:szCs w:val="20"/>
                <w:color w:val="auto"/>
              </w:rPr>
            </w:pPr>
            <w:r>
              <w:rPr>
                <w:rFonts w:ascii="Arial" w:cs="Arial" w:eastAsia="Arial" w:hAnsi="Arial"/>
                <w:sz w:val="22"/>
                <w:szCs w:val="22"/>
                <w:color w:val="auto"/>
              </w:rPr>
              <w:t>USA PATRIOT Act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68</w:t>
            </w:r>
          </w:p>
        </w:tc>
        <w:tc>
          <w:tcPr>
            <w:tcW w:w="340" w:type="dxa"/>
            <w:vAlign w:val="bottom"/>
            <w:gridSpan w:val="3"/>
            <w:vMerge w:val="restart"/>
          </w:tcPr>
          <w:p>
            <w:pPr>
              <w:jc w:val="right"/>
              <w:ind w:right="140"/>
              <w:spacing w:after="0"/>
              <w:rPr>
                <w:sz w:val="20"/>
                <w:szCs w:val="20"/>
                <w:color w:val="auto"/>
              </w:rPr>
            </w:pPr>
            <w:r>
              <w:rPr>
                <w:rFonts w:ascii="Arial" w:cs="Arial" w:eastAsia="Arial" w:hAnsi="Arial"/>
                <w:sz w:val="22"/>
                <w:szCs w:val="22"/>
                <w:b w:val="1"/>
                <w:bCs w:val="1"/>
                <w:color w:val="0000FF"/>
                <w:w w:val="73"/>
              </w:rPr>
              <w:t>72</w:t>
            </w:r>
          </w:p>
        </w:tc>
        <w:tc>
          <w:tcPr>
            <w:tcW w:w="220" w:type="dxa"/>
            <w:vAlign w:val="bottom"/>
            <w:vMerge w:val="restart"/>
          </w:tcPr>
          <w:p>
            <w:pPr>
              <w:spacing w:after="0"/>
              <w:rPr>
                <w:sz w:val="4"/>
                <w:szCs w:val="4"/>
                <w:color w:val="auto"/>
              </w:rPr>
            </w:pPr>
          </w:p>
        </w:tc>
        <w:tc>
          <w:tcPr>
            <w:tcW w:w="104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5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4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940" w:type="dxa"/>
            <w:vAlign w:val="bottom"/>
            <w:gridSpan w:val="4"/>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22"/>
                <w:szCs w:val="22"/>
                <w:color w:val="auto"/>
                <w:w w:val="94"/>
              </w:rPr>
              <w:t>SECTION 8.15.</w:t>
            </w:r>
          </w:p>
        </w:tc>
        <w:tc>
          <w:tcPr>
            <w:tcW w:w="4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Disclosure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72</w:t>
            </w:r>
          </w:p>
        </w:tc>
        <w:tc>
          <w:tcPr>
            <w:tcW w:w="580" w:type="dxa"/>
            <w:vAlign w:val="bottom"/>
            <w:gridSpan w:val="2"/>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72</w:t>
            </w:r>
          </w:p>
        </w:tc>
        <w:tc>
          <w:tcPr>
            <w:tcW w:w="10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460" w:type="dxa"/>
            <w:vAlign w:val="bottom"/>
          </w:tcPr>
          <w:p>
            <w:pPr>
              <w:spacing w:after="0"/>
              <w:rPr>
                <w:sz w:val="20"/>
                <w:szCs w:val="20"/>
                <w:color w:val="auto"/>
              </w:rPr>
            </w:pPr>
            <w:r>
              <w:rPr>
                <w:rFonts w:ascii="Arial" w:cs="Arial" w:eastAsia="Arial" w:hAnsi="Arial"/>
                <w:sz w:val="22"/>
                <w:szCs w:val="22"/>
                <w:color w:val="auto"/>
                <w:w w:val="94"/>
              </w:rPr>
              <w:t>SECTION 8.16.</w:t>
            </w:r>
          </w:p>
        </w:tc>
        <w:tc>
          <w:tcPr>
            <w:tcW w:w="48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Arial" w:cs="Arial" w:eastAsia="Arial" w:hAnsi="Arial"/>
                <w:sz w:val="22"/>
                <w:szCs w:val="22"/>
                <w:color w:val="auto"/>
                <w:w w:val="99"/>
              </w:rPr>
              <w:t>Interest Rate Limitation</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68</w:t>
            </w:r>
          </w:p>
        </w:tc>
        <w:tc>
          <w:tcPr>
            <w:tcW w:w="220" w:type="dxa"/>
            <w:vAlign w:val="bottom"/>
            <w:tcBorders>
              <w:bottom w:val="single" w:sz="8" w:color="0000FF"/>
            </w:tcBorders>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vMerge w:val="restart"/>
          </w:tcPr>
          <w:p>
            <w:pPr>
              <w:jc w:val="right"/>
              <w:ind w:right="520"/>
              <w:spacing w:after="0"/>
              <w:rPr>
                <w:sz w:val="20"/>
                <w:szCs w:val="20"/>
                <w:color w:val="auto"/>
              </w:rPr>
            </w:pPr>
            <w:r>
              <w:rPr>
                <w:rFonts w:ascii="Arial" w:cs="Arial" w:eastAsia="Arial" w:hAnsi="Arial"/>
                <w:sz w:val="22"/>
                <w:szCs w:val="22"/>
                <w:b w:val="1"/>
                <w:bCs w:val="1"/>
                <w:color w:val="0000FF"/>
                <w:w w:val="73"/>
              </w:rPr>
              <w:t>72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22"/>
                <w:szCs w:val="22"/>
                <w:color w:val="auto"/>
                <w:w w:val="94"/>
              </w:rPr>
              <w:t>SECTION 8.17.</w:t>
            </w:r>
          </w:p>
        </w:tc>
        <w:tc>
          <w:tcPr>
            <w:tcW w:w="480" w:type="dxa"/>
            <w:vAlign w:val="bottom"/>
          </w:tcPr>
          <w:p>
            <w:pPr>
              <w:spacing w:after="0"/>
              <w:rPr>
                <w:sz w:val="24"/>
                <w:szCs w:val="24"/>
                <w:color w:val="auto"/>
              </w:rPr>
            </w:pPr>
          </w:p>
        </w:tc>
        <w:tc>
          <w:tcPr>
            <w:tcW w:w="3760" w:type="dxa"/>
            <w:vAlign w:val="bottom"/>
            <w:gridSpan w:val="10"/>
          </w:tcPr>
          <w:p>
            <w:pPr>
              <w:spacing w:after="0"/>
              <w:rPr>
                <w:sz w:val="20"/>
                <w:szCs w:val="20"/>
                <w:color w:val="auto"/>
              </w:rPr>
            </w:pPr>
            <w:r>
              <w:rPr>
                <w:rFonts w:ascii="Arial" w:cs="Arial" w:eastAsia="Arial" w:hAnsi="Arial"/>
                <w:sz w:val="22"/>
                <w:szCs w:val="22"/>
                <w:color w:val="auto"/>
                <w:w w:val="98"/>
              </w:rPr>
              <w:t>No Advisory or Fiduciary Responsibility</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11"/>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22"/>
                <w:szCs w:val="22"/>
                <w:b w:val="1"/>
                <w:bCs w:val="1"/>
                <w:color w:val="0000FF"/>
                <w:w w:val="94"/>
              </w:rPr>
              <w:t>SECTION 8.18.</w:t>
            </w:r>
          </w:p>
        </w:tc>
        <w:tc>
          <w:tcPr>
            <w:tcW w:w="48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2"/>
                <w:szCs w:val="22"/>
                <w:b w:val="1"/>
                <w:bCs w:val="1"/>
                <w:color w:val="0000FF"/>
                <w:w w:val="90"/>
              </w:rPr>
              <w:t>Acknowledgment Regarding Any Supported QFCs  73</w:t>
            </w:r>
          </w:p>
        </w:tc>
        <w:tc>
          <w:tcPr>
            <w:tcW w:w="0" w:type="dxa"/>
            <w:vAlign w:val="bottom"/>
          </w:tcPr>
          <w:p>
            <w:pPr>
              <w:spacing w:after="0"/>
              <w:rPr>
                <w:sz w:val="1"/>
                <w:szCs w:val="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Schedule 3.06 – Disclosed Matters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3.12 – Material Agreements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3.15 – Capitalization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6.01 – Existing Indebtedness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6.02 – Existing Liens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6.04 – Existing 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6.10 – Existing Restrictions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 Borrowing Request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B - Compliance Certificate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575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139"/>
          </w:cols>
          <w:pgMar w:left="320" w:top="575" w:right="1440" w:bottom="1440" w:gutter="0" w:footer="0" w:header="0"/>
        </w:sectPr>
      </w:pPr>
    </w:p>
    <w:bookmarkStart w:id="127" w:name="page128"/>
    <w:bookmarkEnd w:id="127"/>
    <w:p>
      <w:pPr>
        <w:jc w:val="both"/>
        <w:ind w:firstLine="648"/>
        <w:spacing w:after="0" w:line="287" w:lineRule="auto"/>
        <w:rPr>
          <w:sz w:val="20"/>
          <w:szCs w:val="20"/>
          <w:color w:val="auto"/>
        </w:rPr>
      </w:pPr>
      <w:r>
        <w:rPr>
          <w:rFonts w:ascii="Arial" w:cs="Arial" w:eastAsia="Arial" w:hAnsi="Arial"/>
          <w:sz w:val="21"/>
          <w:szCs w:val="21"/>
          <w:color w:val="auto"/>
        </w:rPr>
        <w:t>CREDIT AGREEMENT dated as of June 1, 2016 (as it may be amended or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between SAN JOSE WATER COMPANY, as Borrower, and JPMORGAN CHASE BANK, N.A., as Lender.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xml:space="preserve">” means Indebtedness of a Person whose assets or Equity Interests are acquired by Borrower or any of its Subsidiaries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Indebtedness (a) is either purchase money Indebtedness or a Capital Lease Obligation with respect to equipment or mortgage financing with respect to real property and any Lien related thereto does not secure any other assets, (b) was in existence prior to the date of such Permitted Acquisition, and (c) was not incurred in connection with, or in contemplation of, such Permitted Acquisition.</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any series of related transactions, consummated on or after the Effective Date, by which the Borrower (a) acquires any ongoing business or all or substantially all of the assets of any Person, whether through purchase of assets, merger or otherwise or (b) directly or indirectly acquires (in one transaction or as the most rent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4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specified Person.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Base Rate</w:t>
      </w:r>
      <w:r>
        <w:rPr>
          <w:rFonts w:ascii="Arial" w:cs="Arial" w:eastAsia="Arial" w:hAnsi="Arial"/>
          <w:sz w:val="22"/>
          <w:szCs w:val="22"/>
          <w:color w:val="auto"/>
        </w:rPr>
        <w:t>” means, for any day, a rate per annum equal to the greatest of (a) the Prime Rate in effect on such day, (b) the NYFRB Rate in effect on such day plus ½ of 1%, and (c) the Adjusted LIBO Rate for a one-month Interest Period on such day (or if such day is not a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604" w:right="339" w:bottom="1440" w:gutter="0" w:footer="0" w:header="0"/>
        </w:sectPr>
      </w:pPr>
    </w:p>
    <w:bookmarkStart w:id="128" w:name="page129"/>
    <w:bookmarkEnd w:id="128"/>
    <w:p>
      <w:pPr>
        <w:jc w:val="both"/>
        <w:spacing w:after="0" w:line="290" w:lineRule="auto"/>
        <w:rPr>
          <w:sz w:val="20"/>
          <w:szCs w:val="20"/>
          <w:color w:val="auto"/>
        </w:rPr>
      </w:pPr>
      <w:r>
        <w:rPr>
          <w:rFonts w:ascii="Arial" w:cs="Arial" w:eastAsia="Arial" w:hAnsi="Arial"/>
          <w:sz w:val="19"/>
          <w:szCs w:val="19"/>
          <w:color w:val="auto"/>
        </w:rPr>
        <w:t xml:space="preserve">Day, the immediately preceding Business Day) plus 1%, provided that, the Adjusted LIBO Rate for any day shall be based on the LIBO Rate at approximately 11:00 a.m. London time on such day, subject to the interest rate floors set forth therein.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hereof, then the Alternate Base Rate shall be the greater of clause (a) and (b) above and shall be determined without reference to clause (c) above. </w:t>
      </w:r>
      <w:r>
        <w:rPr>
          <w:rFonts w:ascii="Arial" w:cs="Arial" w:eastAsia="Arial" w:hAnsi="Arial"/>
          <w:sz w:val="19"/>
          <w:szCs w:val="19"/>
          <w:b w:val="1"/>
          <w:bCs w:val="1"/>
          <w:u w:val="single" w:color="auto"/>
          <w:color w:val="0000FF"/>
        </w:rPr>
        <w:t>For the avoidance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of doubt, if the Alternate Base Rate as determined pursuant to the foregoing would be less than 1.50%, such rate shall be deemed to be 1.50% for purposes of this Agreement.</w:t>
      </w:r>
    </w:p>
    <w:p>
      <w:pPr>
        <w:spacing w:after="0" w:line="1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 or its Affiliates from time to time concerning or relating to bribery or corruption.</w:t>
      </w:r>
    </w:p>
    <w:p>
      <w:pPr>
        <w:spacing w:after="0" w:line="17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Loan, or with respect to the commitment fees payable hereunder, as the case may be, the applicable rate per annum set forth below under the caption “Eurodollar Rate Spread”, “ABR Rate Spread” or “Commitment Fee Rate,” as the case may be, based upon the Credit Rating as set forth below:</w:t>
      </w:r>
    </w:p>
    <w:p>
      <w:pPr>
        <w:spacing w:after="0" w:line="256" w:lineRule="exact"/>
        <w:rPr>
          <w:sz w:val="20"/>
          <w:szCs w:val="20"/>
          <w:color w:val="auto"/>
        </w:rPr>
      </w:pPr>
    </w:p>
    <w:tbl>
      <w:tblPr>
        <w:tblLayout w:type="fixed"/>
        <w:tblInd w:w="970" w:type="dxa"/>
        <w:tblCellMar>
          <w:top w:w="0" w:type="dxa"/>
          <w:left w:w="0" w:type="dxa"/>
          <w:bottom w:w="0" w:type="dxa"/>
          <w:right w:w="0" w:type="dxa"/>
        </w:tblCellMar>
      </w:tblPr>
      <w:tr>
        <w:trPr>
          <w:trHeight w:val="262"/>
        </w:trPr>
        <w:tc>
          <w:tcPr>
            <w:tcW w:w="18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Pricing Level</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Credit Rating</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Eurodollar Rate</w:t>
            </w: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ABR Rate Spread</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Commitment Fee</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right w:val="single" w:sz="8" w:color="auto"/>
            </w:tcBorders>
            <w:vMerge w:val="continue"/>
          </w:tcPr>
          <w:p>
            <w:pPr>
              <w:spacing w:after="0"/>
              <w:rPr>
                <w:sz w:val="13"/>
                <w:szCs w:val="13"/>
                <w:color w:val="auto"/>
              </w:rPr>
            </w:pPr>
          </w:p>
        </w:tc>
        <w:tc>
          <w:tcPr>
            <w:tcW w:w="1880" w:type="dxa"/>
            <w:vAlign w:val="bottom"/>
            <w:tcBorders>
              <w:right w:val="single" w:sz="8" w:color="auto"/>
            </w:tcBorders>
            <w:vMerge w:val="continue"/>
          </w:tcPr>
          <w:p>
            <w:pPr>
              <w:spacing w:after="0"/>
              <w:rPr>
                <w:sz w:val="13"/>
                <w:szCs w:val="13"/>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4"/>
              </w:rPr>
              <w:t>Spread</w:t>
            </w:r>
          </w:p>
        </w:tc>
        <w:tc>
          <w:tcPr>
            <w:tcW w:w="1860" w:type="dxa"/>
            <w:vAlign w:val="bottom"/>
            <w:tcBorders>
              <w:right w:val="single" w:sz="8" w:color="auto"/>
            </w:tcBorders>
            <w:vMerge w:val="continue"/>
          </w:tcPr>
          <w:p>
            <w:pPr>
              <w:spacing w:after="0"/>
              <w:rPr>
                <w:sz w:val="13"/>
                <w:szCs w:val="13"/>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5"/>
              </w:rPr>
              <w:t>Rate</w:t>
            </w:r>
          </w:p>
        </w:tc>
        <w:tc>
          <w:tcPr>
            <w:tcW w:w="0" w:type="dxa"/>
            <w:vAlign w:val="bottom"/>
          </w:tcPr>
          <w:p>
            <w:pPr>
              <w:spacing w:after="0"/>
              <w:rPr>
                <w:sz w:val="1"/>
                <w:szCs w:val="1"/>
                <w:color w:val="auto"/>
              </w:rPr>
            </w:pPr>
          </w:p>
        </w:tc>
      </w:tr>
      <w:tr>
        <w:trPr>
          <w:trHeight w:val="132"/>
        </w:trPr>
        <w:tc>
          <w:tcPr>
            <w:tcW w:w="1880" w:type="dxa"/>
            <w:vAlign w:val="bottom"/>
            <w:tcBorders>
              <w:left w:val="single" w:sz="8" w:color="auto"/>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vMerge w:val="continue"/>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I</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A1/A+</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0.70%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0.070%</w:t>
            </w:r>
          </w:p>
        </w:tc>
        <w:tc>
          <w:tcPr>
            <w:tcW w:w="0" w:type="dxa"/>
            <w:vAlign w:val="bottom"/>
          </w:tcPr>
          <w:p>
            <w:pPr>
              <w:spacing w:after="0"/>
              <w:rPr>
                <w:sz w:val="1"/>
                <w:szCs w:val="1"/>
                <w:color w:val="auto"/>
              </w:rPr>
            </w:pPr>
          </w:p>
        </w:tc>
      </w:tr>
      <w:tr>
        <w:trPr>
          <w:trHeight w:val="290"/>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A2/A</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0.775%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-1.70%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0.075%</w:t>
            </w:r>
          </w:p>
        </w:tc>
        <w:tc>
          <w:tcPr>
            <w:tcW w:w="0" w:type="dxa"/>
            <w:vAlign w:val="bottom"/>
          </w:tcPr>
          <w:p>
            <w:pPr>
              <w:spacing w:after="0"/>
              <w:rPr>
                <w:sz w:val="1"/>
                <w:szCs w:val="1"/>
                <w:color w:val="auto"/>
              </w:rPr>
            </w:pPr>
          </w:p>
        </w:tc>
      </w:tr>
      <w:tr>
        <w:trPr>
          <w:trHeight w:val="291"/>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III</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A3/A-</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0.85%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0.080%</w:t>
            </w:r>
          </w:p>
        </w:tc>
        <w:tc>
          <w:tcPr>
            <w:tcW w:w="0" w:type="dxa"/>
            <w:vAlign w:val="bottom"/>
          </w:tcPr>
          <w:p>
            <w:pPr>
              <w:spacing w:after="0"/>
              <w:rPr>
                <w:sz w:val="1"/>
                <w:szCs w:val="1"/>
                <w:color w:val="auto"/>
              </w:rPr>
            </w:pPr>
          </w:p>
        </w:tc>
      </w:tr>
      <w:tr>
        <w:trPr>
          <w:trHeight w:val="290"/>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IV</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Baa1/BBB+</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0.925%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0.085%</w:t>
            </w:r>
          </w:p>
        </w:tc>
        <w:tc>
          <w:tcPr>
            <w:tcW w:w="0" w:type="dxa"/>
            <w:vAlign w:val="bottom"/>
          </w:tcPr>
          <w:p>
            <w:pPr>
              <w:spacing w:after="0"/>
              <w:rPr>
                <w:sz w:val="1"/>
                <w:szCs w:val="1"/>
                <w:color w:val="auto"/>
              </w:rPr>
            </w:pPr>
          </w:p>
        </w:tc>
      </w:tr>
      <w:tr>
        <w:trPr>
          <w:trHeight w:val="291"/>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V</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Baa2/BBB or lower</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Rating</w:t>
      </w:r>
      <w:r>
        <w:rPr>
          <w:rFonts w:ascii="Arial" w:cs="Arial" w:eastAsia="Arial" w:hAnsi="Arial"/>
          <w:sz w:val="22"/>
          <w:szCs w:val="22"/>
          <w:color w:val="auto"/>
        </w:rPr>
        <w:t>” means, as of any date of determination, the Borrower’s issuer rating as determined by either S&amp;P or Moody’s (collectively, the “</w:t>
      </w:r>
      <w:r>
        <w:rPr>
          <w:rFonts w:ascii="Arial" w:cs="Arial" w:eastAsia="Arial" w:hAnsi="Arial"/>
          <w:sz w:val="22"/>
          <w:szCs w:val="22"/>
          <w:u w:val="single" w:color="auto"/>
          <w:color w:val="auto"/>
        </w:rPr>
        <w:t>Credit Ratings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if the respective Credit Ratings issued by the foregoing rating agencies differ by one level, then the Pricing Level for the higher of such Credit Ratings shall apply; (b) if there is a split in Credit Ratings of more than one level, then the Pricing Level that is one level lower than the Pricing Level of the higher Credit Rating shall apply; and (c) if the Borrower does not have any Credit Rating, the highest Pricing Level shall apply.</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Initially, the Applicable Rate shall be determined based upon the Credit Rating specified in the certificate delivered pursuant to </w:t>
      </w:r>
      <w:r>
        <w:rPr>
          <w:rFonts w:ascii="Arial" w:cs="Arial" w:eastAsia="Arial" w:hAnsi="Arial"/>
          <w:sz w:val="19"/>
          <w:szCs w:val="19"/>
          <w:u w:val="single" w:color="auto"/>
          <w:color w:val="auto"/>
        </w:rPr>
        <w:t>Section 4.01(d)</w:t>
      </w:r>
      <w:r>
        <w:rPr>
          <w:rFonts w:ascii="Arial" w:cs="Arial" w:eastAsia="Arial" w:hAnsi="Arial"/>
          <w:sz w:val="19"/>
          <w:szCs w:val="19"/>
          <w:color w:val="auto"/>
        </w:rPr>
        <w:t>. Thereafter, each change in the Applicable Rate resulting from a publicly announced change in the Credit Rating shall be effective, in the case of an upgrade, during the period commencing on the date of delivery by the Borrower to the Lender of notice thereof and ending on the date immediately preceding the effective date of the next such</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129" w:name="page130"/>
    <w:bookmarkEnd w:id="129"/>
    <w:p>
      <w:pPr>
        <w:ind w:right="20"/>
        <w:spacing w:after="0" w:line="263" w:lineRule="auto"/>
        <w:rPr>
          <w:sz w:val="20"/>
          <w:szCs w:val="20"/>
          <w:color w:val="auto"/>
        </w:rPr>
      </w:pPr>
      <w:r>
        <w:rPr>
          <w:rFonts w:ascii="Arial" w:cs="Arial" w:eastAsia="Arial" w:hAnsi="Arial"/>
          <w:sz w:val="22"/>
          <w:szCs w:val="22"/>
          <w:color w:val="auto"/>
        </w:rPr>
        <w:t>change and, in the case of a downgrade, during the period commencing on the date of the public announcement thereof and ending on the date immediately preceding the effective date of the next such change.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meaning assigned to such term in Section 8.04(b).</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the Commitment.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Products</w:t>
      </w:r>
      <w:r>
        <w:rPr>
          <w:rFonts w:ascii="Arial" w:cs="Arial" w:eastAsia="Arial" w:hAnsi="Arial"/>
          <w:sz w:val="19"/>
          <w:szCs w:val="19"/>
          <w:color w:val="auto"/>
        </w:rPr>
        <w:t>” means any one or more of the following financial products or accommodations extended to Borrower or any of its Subsidiaries by a Bank Product Provider: (a) commercial credit cards, (b) commercial credit card processing services,</w:t>
      </w:r>
    </w:p>
    <w:p>
      <w:pPr>
        <w:spacing w:after="0" w:line="1" w:lineRule="exact"/>
        <w:rPr>
          <w:sz w:val="20"/>
          <w:szCs w:val="20"/>
          <w:color w:val="auto"/>
        </w:rPr>
      </w:pPr>
    </w:p>
    <w:p>
      <w:pPr>
        <w:ind w:firstLine="8"/>
        <w:spacing w:after="0" w:line="246" w:lineRule="auto"/>
        <w:tabs>
          <w:tab w:leader="none" w:pos="33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debit cards, (d) stored value cards, (e) purchase cards (including so-called “procurement cards” or “P-cards”), (f) cash management services, or (g) transactions under Swap Agreements.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Provider</w:t>
      </w:r>
      <w:r>
        <w:rPr>
          <w:rFonts w:ascii="Arial" w:cs="Arial" w:eastAsia="Arial" w:hAnsi="Arial"/>
          <w:sz w:val="22"/>
          <w:szCs w:val="22"/>
          <w:color w:val="auto"/>
        </w:rPr>
        <w:t>” means Lender or any of its Affiliates that provide Bank Products to Borrower or any of its Subsidiaries.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0000FF"/>
        </w:rPr>
        <w:t>“Benchmark Transition Event</w:t>
      </w:r>
      <w:r>
        <w:rPr>
          <w:rFonts w:ascii="Arial" w:cs="Arial" w:eastAsia="Arial" w:hAnsi="Arial"/>
          <w:sz w:val="19"/>
          <w:szCs w:val="19"/>
          <w:u w:val="single" w:color="auto"/>
          <w:color w:val="008000"/>
        </w:rPr>
        <w:t>” means the</w:t>
      </w:r>
      <w:r>
        <w:rPr>
          <w:rFonts w:ascii="Arial" w:cs="Arial" w:eastAsia="Arial" w:hAnsi="Arial"/>
          <w:sz w:val="19"/>
          <w:szCs w:val="19"/>
          <w:b w:val="1"/>
          <w:bCs w:val="1"/>
          <w:u w:val="single" w:color="auto"/>
          <w:color w:val="0000FF"/>
        </w:rPr>
        <w:t xml:space="preserve"> occurrence of one or more of the following events with respect to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LIBO Rate:</w:t>
      </w:r>
    </w:p>
    <w:p>
      <w:pPr>
        <w:spacing w:after="0" w:line="236" w:lineRule="exact"/>
        <w:rPr>
          <w:sz w:val="20"/>
          <w:szCs w:val="20"/>
          <w:color w:val="auto"/>
        </w:rPr>
      </w:pPr>
    </w:p>
    <w:p>
      <w:pPr>
        <w:jc w:val="both"/>
        <w:ind w:firstLine="656"/>
        <w:spacing w:after="0" w:line="252" w:lineRule="auto"/>
        <w:tabs>
          <w:tab w:leader="none" w:pos="961" w:val="left"/>
        </w:tabs>
        <w:numPr>
          <w:ilvl w:val="0"/>
          <w:numId w:val="118"/>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a public statement or publication of information by or on behalf of the administrator of the LIBO Screen Rate announcing that such administrator has ceased or will cease to provide the LIBO Screen Rate, permanently or indefinitely, provided that, at the time of such statement or publication, there is no successor administrator that will continue to provide the LIBO Screen Rate;</w:t>
      </w:r>
    </w:p>
    <w:p>
      <w:pPr>
        <w:spacing w:after="0" w:line="220" w:lineRule="exact"/>
        <w:rPr>
          <w:rFonts w:ascii="Arial" w:cs="Arial" w:eastAsia="Arial" w:hAnsi="Arial"/>
          <w:sz w:val="22"/>
          <w:szCs w:val="22"/>
          <w:b w:val="1"/>
          <w:bCs w:val="1"/>
          <w:u w:val="single" w:color="auto"/>
          <w:color w:val="0000FF"/>
        </w:rPr>
      </w:pPr>
    </w:p>
    <w:p>
      <w:pPr>
        <w:jc w:val="both"/>
        <w:ind w:firstLine="656"/>
        <w:spacing w:after="0" w:line="261" w:lineRule="auto"/>
        <w:tabs>
          <w:tab w:leader="none" w:pos="990" w:val="left"/>
        </w:tabs>
        <w:numPr>
          <w:ilvl w:val="0"/>
          <w:numId w:val="118"/>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a public statement or publication of information by the regulatory supervisor for the administrator of the LIBO Screen Rate, the U.S. Federal Reserve System, an insolvency official with jurisdiction over the administrator for the LIBO Screen Rate, a resolution authority with jurisdiction over the administrator for the LIBO Screen Rate or a court or an entity with similar insolvency or resolution authority over the administrator for the LIBO Screen Rate, which states that the administrator of the LIBO Screen Rate has ceased or will cease to provide the LIBO Screen Rate permanently or indefinitely, provided that, at the time of such statement or publication, there is no successor administrator that will continue to provide the LIBO Screen Rate; or</w:t>
      </w:r>
    </w:p>
    <w:p>
      <w:pPr>
        <w:spacing w:after="0" w:line="213" w:lineRule="exact"/>
        <w:rPr>
          <w:rFonts w:ascii="Arial" w:cs="Arial" w:eastAsia="Arial" w:hAnsi="Arial"/>
          <w:sz w:val="21"/>
          <w:szCs w:val="21"/>
          <w:b w:val="1"/>
          <w:bCs w:val="1"/>
          <w:u w:val="single" w:color="auto"/>
          <w:color w:val="0000FF"/>
        </w:rPr>
      </w:pPr>
    </w:p>
    <w:p>
      <w:pPr>
        <w:ind w:firstLine="656"/>
        <w:spacing w:after="0" w:line="269" w:lineRule="auto"/>
        <w:tabs>
          <w:tab w:leader="none" w:pos="990" w:val="left"/>
        </w:tabs>
        <w:numPr>
          <w:ilvl w:val="0"/>
          <w:numId w:val="118"/>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a public statement or publication of information by the regulatory supervisor for the administrator of the LIBO Screen Rate announcing that the LIBO Screen Rate is no longer representative.</w:t>
      </w:r>
    </w:p>
    <w:p>
      <w:pPr>
        <w:spacing w:after="0" w:line="20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u w:val="single" w:color="auto"/>
          <w:color w:val="0000FF"/>
        </w:rPr>
        <w:t>“Beneficial Ownership Certification” means a certification regarding beneficial ownership or control as required by the Beneficial Ownership Regulation, which certification shall be substantially similar in form and substance to the form of Certification Regarding Beneficial Owners of Legal Entity Customers published jointly, in May 2018, by the Loan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u w:val="single" w:color="auto"/>
          <w:color w:val="0000FF"/>
        </w:rPr>
        <w:t>Syndications and Trading Association and Securities Industry and Financial Markets Association.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“Beneficial Ownership Regulation” means 31 C.F.R. § 1010.230.</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0000FF"/>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0000FF"/>
        </w:rPr>
        <w:t xml:space="preserve">“BHC Act Affiliate” of a party means an “affiliate” (as such term is defined under, and interpreted </w:t>
      </w:r>
      <w:r>
        <w:rPr>
          <w:rFonts w:ascii="Arial" w:cs="Arial" w:eastAsia="Arial" w:hAnsi="Arial"/>
          <w:sz w:val="22"/>
          <w:szCs w:val="22"/>
          <w:u w:val="single" w:color="auto"/>
          <w:color w:val="008000"/>
        </w:rPr>
        <w:t>in accordance</w:t>
      </w:r>
      <w:r>
        <w:rPr>
          <w:rFonts w:ascii="Arial" w:cs="Arial" w:eastAsia="Arial" w:hAnsi="Arial"/>
          <w:sz w:val="22"/>
          <w:szCs w:val="22"/>
          <w:b w:val="1"/>
          <w:bCs w:val="1"/>
          <w:u w:val="single" w:color="auto"/>
          <w:color w:val="0000FF"/>
        </w:rPr>
        <w:t xml:space="preserve"> </w:t>
      </w:r>
      <w:r>
        <w:rPr>
          <w:rFonts w:ascii="Arial" w:cs="Arial" w:eastAsia="Arial" w:hAnsi="Arial"/>
          <w:sz w:val="22"/>
          <w:szCs w:val="22"/>
          <w:u w:val="single" w:color="auto"/>
          <w:color w:val="008000"/>
        </w:rPr>
        <w:t>with</w:t>
      </w:r>
      <w:r>
        <w:rPr>
          <w:rFonts w:ascii="Arial" w:cs="Arial" w:eastAsia="Arial" w:hAnsi="Arial"/>
          <w:sz w:val="22"/>
          <w:szCs w:val="22"/>
          <w:b w:val="1"/>
          <w:bCs w:val="1"/>
          <w:u w:val="single" w:color="auto"/>
          <w:color w:val="0000FF"/>
        </w:rPr>
        <w:t>, 12 U.S.C. 1841(k)) of such party.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San Jose Water Company, a California corporation.</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Type, made, converted or continued on the same date and, in the case of Eurodollar Loans, as to which a single Interest Period is in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means a request by the Borrower for a Borrowing in accordance with Section 2.03.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Burdensome Restrictions</w:t>
      </w:r>
      <w:r>
        <w:rPr>
          <w:rFonts w:ascii="Arial" w:cs="Arial" w:eastAsia="Arial" w:hAnsi="Arial"/>
          <w:sz w:val="22"/>
          <w:szCs w:val="22"/>
          <w:color w:val="auto"/>
        </w:rPr>
        <w:t>” means any restriction of the type described in Section 6.10.</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that is not a Saturday, Sunday or other day on which commercial banks in San Francisco, California </w:t>
      </w:r>
      <w:r>
        <w:rPr>
          <w:rFonts w:ascii="Arial" w:cs="Arial" w:eastAsia="Arial" w:hAnsi="Arial"/>
          <w:sz w:val="22"/>
          <w:szCs w:val="22"/>
          <w:b w:val="1"/>
          <w:bCs w:val="1"/>
          <w:u w:val="single" w:color="auto"/>
          <w:color w:val="0000FF"/>
        </w:rPr>
        <w:t>or New York City, New York</w:t>
      </w:r>
      <w:r>
        <w:rPr>
          <w:rFonts w:ascii="Arial" w:cs="Arial" w:eastAsia="Arial" w:hAnsi="Arial"/>
          <w:sz w:val="22"/>
          <w:szCs w:val="22"/>
          <w:color w:val="auto"/>
        </w:rPr>
        <w:t xml:space="preserve">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“Business Day” shall also exclude any day on which banks are not open for general business in London.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25% of the aggregate ordinary voting power represented by the issued and outstanding Equity Interests of Holdco; (b) occupation of a majority of the seats (other than vacant seats) on the board of directors of Holdco by Persons who were neither (i) nominated by the board of directors of Holdco nor (ii) appointed by directors so nominated; or (c) Holdco ceases to own 100% of the voting and non-voting Equity Interests of the Borrower.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98" w:right="339" w:bottom="1440" w:gutter="0" w:footer="0" w:header="0"/>
        </w:sectPr>
      </w:pPr>
    </w:p>
    <w:bookmarkStart w:id="131" w:name="page132"/>
    <w:bookmarkEnd w:id="131"/>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compliance by the Lender (or, for purposes of Section 2.13(b), by any lending office of the Lender or by the Lender’s holding company, if any) with any request, guideline, rule,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the commitment of the Lender to make revolving Loans and issue Letters of Credit hereunder, as such commitment may be reduced from time to time pursuant to Section 2.07. The initial amount of the Lender’s Commitment is $</w:t>
      </w:r>
      <w:r>
        <w:rPr>
          <w:rFonts w:ascii="Arial" w:cs="Arial" w:eastAsia="Arial" w:hAnsi="Arial"/>
          <w:sz w:val="22"/>
          <w:szCs w:val="22"/>
          <w:color w:val="FF0000"/>
          <w:strike w:val="1"/>
        </w:rPr>
        <w:t>125,000,000</w:t>
      </w:r>
      <w:r>
        <w:rPr>
          <w:rFonts w:ascii="Arial" w:cs="Arial" w:eastAsia="Arial" w:hAnsi="Arial"/>
          <w:sz w:val="22"/>
          <w:szCs w:val="22"/>
          <w:b w:val="1"/>
          <w:bCs w:val="1"/>
          <w:u w:val="single" w:color="auto"/>
          <w:color w:val="0000FF"/>
        </w:rPr>
        <w:t>140,000,000</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Debt</w:t>
      </w:r>
      <w:r>
        <w:rPr>
          <w:rFonts w:ascii="Arial" w:cs="Arial" w:eastAsia="Arial" w:hAnsi="Arial"/>
          <w:sz w:val="19"/>
          <w:szCs w:val="19"/>
          <w:color w:val="auto"/>
        </w:rPr>
        <w:t xml:space="preserve">” means, as of any date of measurement, all Indebtedness as of the date of measurement (other than Indebtedness of the type described in </w:t>
      </w:r>
      <w:r>
        <w:rPr>
          <w:rFonts w:ascii="Arial" w:cs="Arial" w:eastAsia="Arial" w:hAnsi="Arial"/>
          <w:sz w:val="19"/>
          <w:szCs w:val="19"/>
          <w:u w:val="single" w:color="auto"/>
          <w:color w:val="auto"/>
        </w:rPr>
        <w:t>clauses (h)</w:t>
      </w:r>
      <w:r>
        <w:rPr>
          <w:rFonts w:ascii="Arial" w:cs="Arial" w:eastAsia="Arial" w:hAnsi="Arial"/>
          <w:sz w:val="19"/>
          <w:szCs w:val="19"/>
          <w:color w:val="auto"/>
        </w:rPr>
        <w:t xml:space="preserve"> through (l) of the definition of Indebtedness (other than with respect to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guarantees of Indebtedness of others of the type not described in </w:t>
      </w:r>
      <w:r>
        <w:rPr>
          <w:rFonts w:ascii="Arial" w:cs="Arial" w:eastAsia="Arial" w:hAnsi="Arial"/>
          <w:sz w:val="19"/>
          <w:szCs w:val="19"/>
          <w:u w:val="single" w:color="auto"/>
          <w:color w:val="auto"/>
        </w:rPr>
        <w:t>clauses (h)</w:t>
      </w:r>
      <w:r>
        <w:rPr>
          <w:rFonts w:ascii="Arial" w:cs="Arial" w:eastAsia="Arial" w:hAnsi="Arial"/>
          <w:sz w:val="19"/>
          <w:szCs w:val="19"/>
          <w:color w:val="auto"/>
        </w:rPr>
        <w:t xml:space="preserve"> through (l) of the definition of Indebtedness)), determined for the Borrower and its Subsidiaries on a consolidated basis at such date, in accordance with GAAP.</w:t>
      </w:r>
    </w:p>
    <w:p>
      <w:pPr>
        <w:spacing w:after="0" w:line="142"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Worth</w:t>
      </w:r>
      <w:r>
        <w:rPr>
          <w:rFonts w:ascii="Arial" w:cs="Arial" w:eastAsia="Arial" w:hAnsi="Arial"/>
          <w:sz w:val="22"/>
          <w:szCs w:val="22"/>
          <w:color w:val="auto"/>
        </w:rPr>
        <w:t>” means, as of any date of determination, for the Borrower and its Subsidiaries on a consolidated basis, consolidated total assets minus total liabilities.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“Covered Entity” means any of the following:</w:t>
      </w:r>
    </w:p>
    <w:p>
      <w:pPr>
        <w:spacing w:after="0" w:line="220" w:lineRule="exact"/>
        <w:rPr>
          <w:sz w:val="20"/>
          <w:szCs w:val="20"/>
          <w:color w:val="auto"/>
        </w:rPr>
      </w:pPr>
    </w:p>
    <w:p>
      <w:pPr>
        <w:jc w:val="center"/>
        <w:ind w:left="5580" w:right="640" w:hanging="4924"/>
        <w:spacing w:after="0" w:line="717" w:lineRule="auto"/>
        <w:tabs>
          <w:tab w:leader="none" w:pos="1140" w:val="left"/>
        </w:tabs>
        <w:numPr>
          <w:ilvl w:val="0"/>
          <w:numId w:val="119"/>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 xml:space="preserve">a “covered entity” as that term is defined in, and interpreted in accordance with, 12 C.F.R. § 252.82(b); </w:t>
      </w:r>
      <w:r>
        <w:rPr>
          <w:rFonts w:ascii="Arial" w:cs="Arial" w:eastAsia="Arial" w:hAnsi="Arial"/>
          <w:sz w:val="22"/>
          <w:szCs w:val="22"/>
          <w:color w:val="000000"/>
        </w:rPr>
        <w:t>5</w:t>
      </w:r>
    </w:p>
    <w:p>
      <w:pPr>
        <w:sectPr>
          <w:pgSz w:w="11900" w:h="16838" w:orient="portrait"/>
          <w:cols w:equalWidth="0" w:num="1">
            <w:col w:w="11240"/>
          </w:cols>
          <w:pgMar w:left="320" w:top="604" w:right="339" w:bottom="1440" w:gutter="0" w:footer="0" w:header="0"/>
        </w:sectPr>
      </w:pPr>
    </w:p>
    <w:bookmarkStart w:id="132" w:name="page133"/>
    <w:bookmarkEnd w:id="132"/>
    <w:p>
      <w:pPr>
        <w:ind w:left="1140" w:hanging="484"/>
        <w:spacing w:after="0"/>
        <w:tabs>
          <w:tab w:leader="none" w:pos="1140" w:val="left"/>
        </w:tabs>
        <w:numPr>
          <w:ilvl w:val="0"/>
          <w:numId w:val="12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 “covered bank” as that term is defined in, and interpreted in accordance with, 12 C.F.R. § 47.3(b); or</w:t>
      </w:r>
    </w:p>
    <w:p>
      <w:pPr>
        <w:spacing w:after="0" w:line="294" w:lineRule="exact"/>
        <w:rPr>
          <w:rFonts w:ascii="Arial" w:cs="Arial" w:eastAsia="Arial" w:hAnsi="Arial"/>
          <w:sz w:val="19"/>
          <w:szCs w:val="19"/>
          <w:b w:val="1"/>
          <w:bCs w:val="1"/>
          <w:u w:val="single" w:color="auto"/>
          <w:color w:val="0000FF"/>
        </w:rPr>
      </w:pPr>
    </w:p>
    <w:p>
      <w:pPr>
        <w:ind w:left="1200" w:hanging="544"/>
        <w:spacing w:after="0"/>
        <w:tabs>
          <w:tab w:leader="none" w:pos="1200" w:val="left"/>
        </w:tabs>
        <w:numPr>
          <w:ilvl w:val="0"/>
          <w:numId w:val="120"/>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a “covered FSI” as that term is defined in, and interpreted in accordance with, 12 C.F.R. § 382.2(b).</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“Covered Party” has the meaning assigned to it in Section 8.18.</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Rating</w:t>
      </w:r>
      <w:r>
        <w:rPr>
          <w:rFonts w:ascii="Arial" w:cs="Arial" w:eastAsia="Arial" w:hAnsi="Arial"/>
          <w:sz w:val="22"/>
          <w:szCs w:val="22"/>
          <w:color w:val="auto"/>
        </w:rPr>
        <w:t>” has the meaning set forth in the definition of “Applicable Rate”.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0000FF"/>
        </w:rPr>
        <w:t>“Default Right” has the meaning assigned to that term in, and shall be interpreted in accordance with, 12 C.F.R.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 252.81, 47.2 or 382.1,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xml:space="preserve">” means the actions, suits, proceedings and environmental matters disclosed in </w:t>
      </w:r>
      <w:r>
        <w:rPr>
          <w:rFonts w:ascii="Arial" w:cs="Arial" w:eastAsia="Arial" w:hAnsi="Arial"/>
          <w:sz w:val="21"/>
          <w:szCs w:val="21"/>
          <w:u w:val="single" w:color="auto"/>
          <w:color w:val="auto"/>
        </w:rPr>
        <w:t>Schedule 3.06</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w:t>
      </w:r>
      <w:r>
        <w:rPr>
          <w:rFonts w:ascii="Arial" w:cs="Arial" w:eastAsia="Arial" w:hAnsi="Arial"/>
          <w:sz w:val="22"/>
          <w:szCs w:val="22"/>
          <w:color w:val="auto"/>
        </w:rPr>
        <w:t xml:space="preserve">” means, for any period, (a) Net Income for such period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without duplication and to the extent deducted in determining Net Income for such period, the sum of (i) Interest Expense for such period and (ii) income tax expense for such period, all calculated for the Borrower and its Subsidiaries on a consolidated basis.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conditions specified in Section 4.01 are satisfied (or waived in accordance with Section 8.02).</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598" w:right="3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22"/>
          <w:szCs w:val="22"/>
          <w:color w:val="auto"/>
        </w:rPr>
        <w:t>agreement or other consensual arrangement pursuant to which liability is assumed or imposed with respect to any of the foregoing.</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5"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9"/>
          <w:szCs w:val="19"/>
          <w:color w:val="auto"/>
        </w:rPr>
        <w:t>‑</w:t>
      </w:r>
      <w:r>
        <w:rPr>
          <w:rFonts w:ascii="Arial" w:cs="Arial" w:eastAsia="Arial" w:hAnsi="Arial"/>
          <w:sz w:val="19"/>
          <w:szCs w:val="19"/>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within the meaning of Title IV of ERISA.</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refers to whether such Loan, or the Loans comprising such Borrowing, bear interest at a rate determined by reference to the Adjusted LIBO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Article VII.</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the Lender with respect 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4" w:right="339" w:bottom="1440" w:gutter="0" w:footer="0" w:header="0"/>
        </w:sectPr>
      </w:pPr>
    </w:p>
    <w:bookmarkStart w:id="134" w:name="page135"/>
    <w:bookmarkEnd w:id="134"/>
    <w:p>
      <w:pPr>
        <w:jc w:val="both"/>
        <w:spacing w:after="0" w:line="261" w:lineRule="auto"/>
        <w:rPr>
          <w:sz w:val="20"/>
          <w:szCs w:val="20"/>
          <w:color w:val="auto"/>
        </w:rPr>
      </w:pPr>
      <w:r>
        <w:rPr>
          <w:rFonts w:ascii="Arial" w:cs="Arial" w:eastAsia="Arial" w:hAnsi="Arial"/>
          <w:sz w:val="21"/>
          <w:szCs w:val="21"/>
          <w:color w:val="auto"/>
        </w:rPr>
        <w:t>an applicable interest in a Loan, Letter of Credit or Commitment pursuant to a law in effect on the date on which (i) the Lender acquires such interest in the Loan, Letter of Credit or Commitment or (ii) the Lender changes its lending office, except in each case to the extent that, pursuant to Section 2.15, amounts with respect to such Taxes were payable either to the Lender’s assignor immediately before the Lender acquired the applicable interest in such Loan, Letter of Credit or Commitment or to the Lender immediately before it changed its lending office and (c) Taxes attributable to a Lender’s failure to comply with Section 2.15(g) and (d) any U.S. federal withholding Taxes imposed under FATCA.</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Exposure</w:t>
      </w:r>
      <w:r>
        <w:rPr>
          <w:rFonts w:ascii="Arial" w:cs="Arial" w:eastAsia="Arial" w:hAnsi="Arial"/>
          <w:sz w:val="22"/>
          <w:szCs w:val="22"/>
          <w:color w:val="auto"/>
        </w:rPr>
        <w:t>” means, at any time, the sum of the aggregate outstanding principal amount of the Lender’s Loans and its LC Exposure at such time.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w:t>
      </w:r>
      <w:r>
        <w:rPr>
          <w:rFonts w:ascii="Arial" w:cs="Arial" w:eastAsia="Arial" w:hAnsi="Arial"/>
          <w:sz w:val="22"/>
          <w:szCs w:val="22"/>
          <w:b w:val="1"/>
          <w:bCs w:val="1"/>
          <w:u w:val="single" w:color="auto"/>
          <w:color w:val="0000FF"/>
        </w:rPr>
        <w:t>; provided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that if the Federal Funds Effective Rate as so determined would be less than zero, such rate shall be deemed to be zero for the purposes of this Agreement</w:t>
      </w:r>
      <w:r>
        <w:rPr>
          <w:rFonts w:ascii="Arial" w:cs="Arial" w:eastAsia="Arial" w:hAnsi="Arial"/>
          <w:sz w:val="22"/>
          <w:szCs w:val="22"/>
          <w:color w:val="000000"/>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Borrower.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has the meaning assigned to such term in Section 5.01.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 to Capitalization Ratio</w:t>
      </w:r>
      <w:r>
        <w:rPr>
          <w:rFonts w:ascii="Arial" w:cs="Arial" w:eastAsia="Arial" w:hAnsi="Arial"/>
          <w:sz w:val="22"/>
          <w:szCs w:val="22"/>
          <w:color w:val="auto"/>
        </w:rPr>
        <w:t>” means, at any date, the ratio of (a) Consolidated Funded Debt for such date to (b) the sum of Consolidated Net Worth plus Consolidated Funded Debt as of such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Account</w:t>
      </w:r>
      <w:r>
        <w:rPr>
          <w:rFonts w:ascii="Arial" w:cs="Arial" w:eastAsia="Arial" w:hAnsi="Arial"/>
          <w:sz w:val="22"/>
          <w:szCs w:val="22"/>
          <w:color w:val="auto"/>
        </w:rPr>
        <w:t>” has the meaning assigned to such term in Section 4.01(h).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of or by any Person (the “</w:t>
      </w:r>
      <w:r>
        <w:rPr>
          <w:rFonts w:ascii="Arial" w:cs="Arial" w:eastAsia="Arial" w:hAnsi="Arial"/>
          <w:sz w:val="22"/>
          <w:szCs w:val="22"/>
          <w:u w:val="single" w:color="auto"/>
          <w:color w:val="auto"/>
        </w:rPr>
        <w:t>guarantor</w:t>
      </w:r>
      <w:r>
        <w:rPr>
          <w:rFonts w:ascii="Arial" w:cs="Arial" w:eastAsia="Arial" w:hAnsi="Arial"/>
          <w:sz w:val="22"/>
          <w:szCs w:val="22"/>
          <w:color w:val="auto"/>
        </w:rPr>
        <w:t>”) means any obligation, contingent or otherwise, of the guarantor guaranteeing or having the economic effect of guaranteeing 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04" w:right="339" w:bottom="1440" w:gutter="0" w:footer="0" w:header="0"/>
        </w:sectPr>
      </w:pPr>
    </w:p>
    <w:bookmarkStart w:id="135" w:name="page136"/>
    <w:bookmarkEnd w:id="135"/>
    <w:p>
      <w:pPr>
        <w:jc w:val="both"/>
        <w:spacing w:after="0" w:line="259" w:lineRule="auto"/>
        <w:rPr>
          <w:sz w:val="20"/>
          <w:szCs w:val="20"/>
          <w:color w:val="auto"/>
        </w:rPr>
      </w:pPr>
      <w:r>
        <w:rPr>
          <w:rFonts w:ascii="Arial" w:cs="Arial" w:eastAsia="Arial" w:hAnsi="Arial"/>
          <w:sz w:val="21"/>
          <w:szCs w:val="21"/>
          <w:color w:val="auto"/>
        </w:rPr>
        <w:t>Indebtedness or other obligation of any other Person (the “</w:t>
      </w:r>
      <w:r>
        <w:rPr>
          <w:rFonts w:ascii="Arial" w:cs="Arial" w:eastAsia="Arial" w:hAnsi="Arial"/>
          <w:sz w:val="21"/>
          <w:szCs w:val="21"/>
          <w:u w:val="single" w:color="auto"/>
          <w:color w:val="auto"/>
        </w:rPr>
        <w:t>primary obligor</w:t>
      </w:r>
      <w:r>
        <w:rPr>
          <w:rFonts w:ascii="Arial" w:cs="Arial" w:eastAsia="Arial" w:hAnsi="Arial"/>
          <w:sz w:val="21"/>
          <w:szCs w:val="21"/>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Guarantee shall not include endorsements for collection or deposit in the ordinary course of business.</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4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Holdco</w:t>
      </w:r>
      <w:r>
        <w:rPr>
          <w:rFonts w:ascii="Arial" w:cs="Arial" w:eastAsia="Arial" w:hAnsi="Arial"/>
          <w:sz w:val="19"/>
          <w:szCs w:val="19"/>
          <w:color w:val="auto"/>
        </w:rPr>
        <w:t xml:space="preserve">” means SJW </w:t>
      </w:r>
      <w:r>
        <w:rPr>
          <w:rFonts w:ascii="Arial" w:cs="Arial" w:eastAsia="Arial" w:hAnsi="Arial"/>
          <w:sz w:val="19"/>
          <w:szCs w:val="19"/>
          <w:b w:val="1"/>
          <w:bCs w:val="1"/>
          <w:u w:val="single" w:color="auto"/>
          <w:color w:val="0000FF"/>
        </w:rPr>
        <w:t>Group,</w:t>
      </w:r>
      <w:r>
        <w:rPr>
          <w:rFonts w:ascii="Arial" w:cs="Arial" w:eastAsia="Arial" w:hAnsi="Arial"/>
          <w:sz w:val="19"/>
          <w:szCs w:val="19"/>
          <w:color w:val="auto"/>
        </w:rPr>
        <w:t xml:space="preserve"> </w:t>
      </w:r>
      <w:r>
        <w:rPr>
          <w:rFonts w:ascii="Arial" w:cs="Arial" w:eastAsia="Arial" w:hAnsi="Arial"/>
          <w:sz w:val="19"/>
          <w:szCs w:val="19"/>
          <w:u w:val="single" w:color="auto"/>
          <w:color w:val="008000"/>
        </w:rPr>
        <w:t>a Delaware corporation</w:t>
      </w:r>
      <w:r>
        <w:rPr>
          <w:rFonts w:ascii="Arial" w:cs="Arial" w:eastAsia="Arial" w:hAnsi="Arial"/>
          <w:sz w:val="19"/>
          <w:szCs w:val="19"/>
          <w:b w:val="1"/>
          <w:bCs w:val="1"/>
          <w:u w:val="single" w:color="auto"/>
          <w:color w:val="0000FF"/>
        </w:rPr>
        <w:t>, and successor in interest to SJW</w:t>
      </w:r>
      <w:r>
        <w:rPr>
          <w:rFonts w:ascii="Arial" w:cs="Arial" w:eastAsia="Arial" w:hAnsi="Arial"/>
          <w:sz w:val="19"/>
          <w:szCs w:val="19"/>
          <w:color w:val="auto"/>
        </w:rPr>
        <w:t xml:space="preserve"> Corp., a California corporation (“SJW Corp.”)</w:t>
      </w:r>
      <w:r>
        <w:rPr>
          <w:rFonts w:ascii="Arial" w:cs="Arial" w:eastAsia="Arial" w:hAnsi="Arial"/>
          <w:sz w:val="19"/>
          <w:szCs w:val="19"/>
          <w:color w:val="FF0000"/>
          <w:strike w:val="1"/>
        </w:rPr>
        <w:t>, and, following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pursuant to</w:t>
      </w:r>
      <w:r>
        <w:rPr>
          <w:rFonts w:ascii="Arial" w:cs="Arial" w:eastAsia="Arial" w:hAnsi="Arial"/>
          <w:sz w:val="19"/>
          <w:szCs w:val="19"/>
          <w:color w:val="auto"/>
        </w:rPr>
        <w:t xml:space="preserve"> the consummation of the reincorporation of SJW Corp. from California by means of a merger with and into SJW Group</w:t>
      </w:r>
      <w:r>
        <w:rPr>
          <w:rFonts w:ascii="Arial" w:cs="Arial" w:eastAsia="Arial" w:hAnsi="Arial"/>
          <w:sz w:val="19"/>
          <w:szCs w:val="19"/>
          <w:color w:val="FF0000"/>
          <w:strike w:val="1"/>
        </w:rPr>
        <w:t>, Inc.</w:t>
      </w:r>
      <w:r>
        <w:rPr>
          <w:rFonts w:ascii="Arial" w:cs="Arial" w:eastAsia="Arial" w:hAnsi="Arial"/>
          <w:sz w:val="19"/>
          <w:szCs w:val="19"/>
          <w:color w:val="auto"/>
        </w:rPr>
        <w:t xml:space="preserve"> as described in the proxy statement of SJW Corp. on Schedule 14A that was filed with the Securities and Exchange Commission on March 17, 2015</w:t>
      </w:r>
      <w:r>
        <w:rPr>
          <w:rFonts w:ascii="Arial" w:cs="Arial" w:eastAsia="Arial" w:hAnsi="Arial"/>
          <w:sz w:val="19"/>
          <w:szCs w:val="19"/>
          <w:color w:val="FF0000"/>
          <w:strike w:val="1"/>
        </w:rPr>
        <w:t>, SJW Group, Inc.,</w:t>
      </w:r>
      <w:r>
        <w:rPr>
          <w:rFonts w:ascii="Arial" w:cs="Arial" w:eastAsia="Arial" w:hAnsi="Arial"/>
          <w:sz w:val="19"/>
          <w:szCs w:val="19"/>
          <w:color w:val="auto"/>
        </w:rPr>
        <w:t xml:space="preserve"> </w:t>
      </w:r>
      <w:r>
        <w:rPr>
          <w:rFonts w:ascii="Arial" w:cs="Arial" w:eastAsia="Arial" w:hAnsi="Arial"/>
          <w:sz w:val="19"/>
          <w:szCs w:val="19"/>
          <w:color w:val="008000"/>
          <w:strike w:val="1"/>
        </w:rPr>
        <w:t>a Delaware corporation</w:t>
      </w:r>
      <w:r>
        <w:rPr>
          <w:rFonts w:ascii="Arial" w:cs="Arial" w:eastAsia="Arial" w:hAnsi="Arial"/>
          <w:sz w:val="19"/>
          <w:szCs w:val="19"/>
          <w:color w:val="auto"/>
        </w:rPr>
        <w:t>.</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Holdco Credit Agreement</w:t>
      </w:r>
      <w:r>
        <w:rPr>
          <w:rFonts w:ascii="Arial" w:cs="Arial" w:eastAsia="Arial" w:hAnsi="Arial"/>
          <w:sz w:val="22"/>
          <w:szCs w:val="22"/>
          <w:color w:val="FF0000"/>
          <w:strike w:val="1"/>
        </w:rPr>
        <w:t xml:space="preserve">” means that certain Credit Agreement dated </w:t>
      </w:r>
      <w:r>
        <w:rPr>
          <w:rFonts w:ascii="Arial" w:cs="Arial" w:eastAsia="Arial" w:hAnsi="Arial"/>
          <w:sz w:val="22"/>
          <w:szCs w:val="22"/>
          <w:color w:val="008000"/>
          <w:strike w:val="1"/>
        </w:rPr>
        <w:t>as of the</w:t>
      </w:r>
      <w:r>
        <w:rPr>
          <w:rFonts w:ascii="Arial" w:cs="Arial" w:eastAsia="Arial" w:hAnsi="Arial"/>
          <w:sz w:val="22"/>
          <w:szCs w:val="22"/>
          <w:color w:val="FF0000"/>
          <w:strike w:val="1"/>
        </w:rPr>
        <w:t xml:space="preserve"> date hereof by and between Holdco, SJW Land Company and Lender.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Holdco Credit Commitments</w:t>
      </w:r>
      <w:r>
        <w:rPr>
          <w:rFonts w:ascii="Arial" w:cs="Arial" w:eastAsia="Arial" w:hAnsi="Arial"/>
          <w:sz w:val="22"/>
          <w:szCs w:val="22"/>
          <w:color w:val="008000"/>
          <w:strike w:val="1"/>
        </w:rPr>
        <w:t>” means the</w:t>
      </w:r>
      <w:r>
        <w:rPr>
          <w:rFonts w:ascii="Arial" w:cs="Arial" w:eastAsia="Arial" w:hAnsi="Arial"/>
          <w:sz w:val="22"/>
          <w:szCs w:val="22"/>
          <w:color w:val="FF0000"/>
          <w:strike w:val="1"/>
        </w:rPr>
        <w:t xml:space="preserve"> commitments to make loans and extend credit under the Holdco Credit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Impairment</w:t>
      </w:r>
      <w:r>
        <w:rPr>
          <w:rFonts w:ascii="Arial" w:cs="Arial" w:eastAsia="Arial" w:hAnsi="Arial"/>
          <w:sz w:val="19"/>
          <w:szCs w:val="19"/>
          <w:color w:val="auto"/>
        </w:rPr>
        <w:t>” shall mean, with respect to any Loan Document or governmental approval or Regulatory Approval, (a) the rescission, early termination, cancellation, repeal or invalidity thereof, (b) the suspension or injunction thereof, (c) the inability to satisfy in a timely manner stated conditions to effectiveness of such Loan Document, governmental approval or Regulatory Approval in whole or in part or (d) in the case of any governmental approval or Regulatory Approval only, the amendment, modification or supplementation thereof. The verb “</w:t>
      </w:r>
      <w:r>
        <w:rPr>
          <w:rFonts w:ascii="Arial" w:cs="Arial" w:eastAsia="Arial" w:hAnsi="Arial"/>
          <w:sz w:val="19"/>
          <w:szCs w:val="19"/>
          <w:u w:val="single" w:color="auto"/>
          <w:color w:val="auto"/>
        </w:rPr>
        <w:t>Impair</w:t>
      </w:r>
      <w:r>
        <w:rPr>
          <w:rFonts w:ascii="Arial" w:cs="Arial" w:eastAsia="Arial" w:hAnsi="Arial"/>
          <w:sz w:val="19"/>
          <w:szCs w:val="19"/>
          <w:color w:val="auto"/>
        </w:rPr>
        <w:t>” shall have a correlative meaning.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04" w:right="339" w:bottom="1440" w:gutter="0" w:footer="0" w:header="0"/>
        </w:sectPr>
      </w:pPr>
    </w:p>
    <w:bookmarkStart w:id="136" w:name="page137"/>
    <w:bookmarkEnd w:id="136"/>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in respect of the deferred purchase price of property or services (excluding accounts payable not more than 90 days past due incurred in the ordinary course of business), (e) all Capital Lease Obligations of such Person, (f) all obligations, contingent or otherwise, of such Person as an account party in respect of letters of credit and letters of guaranty, (g) all obligations, contingent or otherwise, of such Person in respect of bankers’ acceptances, (h) all obligations of such Person under conditional sale or other title retention agreements relating to property acquired by such Person, (i) all Indebtedness of others secured by (or for which the holder of such Indebtedness has an existing right, contingent or otherwise, to be secured by) any Lien on property owned or acquired by such Person, whether or not the Indebtedness secured thereby has been assumed, (j) all Guarantees by such Person of Indebtedness of others, (k) obligations under any liquidated earn-out and (l)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the Borrower under any Loan Document and (b) to the extent not otherwise described in the foregoing clause (a), Other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assigned to such term in Section 8.03(b).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assigned to such term in Section 8.12.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means, for any period, the ratio of (a) EBIT for such period to (b) Interest Expense for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means a request by the Borrower to convert or continue a Borrowing in accordance with Section 2.06.</w:t>
      </w:r>
    </w:p>
    <w:p>
      <w:pPr>
        <w:spacing w:after="0" w:line="17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Expense</w:t>
      </w:r>
      <w:r>
        <w:rPr>
          <w:rFonts w:ascii="Arial" w:cs="Arial" w:eastAsia="Arial" w:hAnsi="Arial"/>
          <w:sz w:val="22"/>
          <w:szCs w:val="22"/>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04" w:right="339" w:bottom="1440" w:gutter="0" w:footer="0" w:header="0"/>
        </w:sectPr>
      </w:pPr>
    </w:p>
    <w:bookmarkStart w:id="137" w:name="page138"/>
    <w:bookmarkEnd w:id="137"/>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first Business Day of each calendar quarter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Eurodollar Borrowing, the period commencing on the date of such Eurodollar Borrowing and ending on the numerically corresponding day in the calendar month that is one </w:t>
      </w:r>
      <w:r>
        <w:rPr>
          <w:rFonts w:ascii="Arial" w:cs="Arial" w:eastAsia="Arial" w:hAnsi="Arial"/>
          <w:sz w:val="19"/>
          <w:szCs w:val="19"/>
          <w:b w:val="1"/>
          <w:bCs w:val="1"/>
          <w:u w:val="single" w:color="auto"/>
          <w:color w:val="0000FF"/>
        </w:rPr>
        <w:t>week or one</w:t>
      </w:r>
      <w:r>
        <w:rPr>
          <w:rFonts w:ascii="Arial" w:cs="Arial" w:eastAsia="Arial" w:hAnsi="Arial"/>
          <w:sz w:val="19"/>
          <w:szCs w:val="19"/>
          <w:color w:val="auto"/>
        </w:rPr>
        <w:t>, three or six months thereafter, as the Borrower may elect; provided that (i) if any Interest Period would end on a day other than a Business Day, such Interest Period shall be extended to the next succeeding Business Day unless</w:t>
      </w:r>
      <w:r>
        <w:rPr>
          <w:rFonts w:ascii="Arial" w:cs="Arial" w:eastAsia="Arial" w:hAnsi="Arial"/>
          <w:sz w:val="19"/>
          <w:szCs w:val="19"/>
          <w:b w:val="1"/>
          <w:bCs w:val="1"/>
          <w:u w:val="single" w:color="auto"/>
          <w:color w:val="0000FF"/>
        </w:rPr>
        <w:t>, in the case of any Interest Period other than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week,</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next succeeding Business Day would fall in the next calendar month, in which case such Interest Period shall end on</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the next preceding Business Day and (ii) any Interest Period that </w:t>
      </w:r>
      <w:r>
        <w:rPr>
          <w:rFonts w:ascii="Arial" w:cs="Arial" w:eastAsia="Arial" w:hAnsi="Arial"/>
          <w:sz w:val="19"/>
          <w:szCs w:val="19"/>
          <w:b w:val="1"/>
          <w:bCs w:val="1"/>
          <w:u w:val="single" w:color="auto"/>
          <w:color w:val="0000FF"/>
        </w:rPr>
        <w:t>is longer than one week and</w:t>
      </w:r>
      <w:r>
        <w:rPr>
          <w:rFonts w:ascii="Arial" w:cs="Arial" w:eastAsia="Arial" w:hAnsi="Arial"/>
          <w:sz w:val="19"/>
          <w:szCs w:val="19"/>
          <w:color w:val="000000"/>
        </w:rPr>
        <w:t xml:space="preserve">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5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Interest Period, the rate per annum (rounded upward to four decimal places) determined by the Lender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any payment made by the Lender pursuant to a Letter of Credit.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xml:space="preserve">” means, at any time, the sum of (a) the aggregate undrawn amount of all Letters of Credit outstanding at such time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the aggregate amount of all LC Disbursements relating to Letters of Credit that have not yet been reimbursed by or on behalf of the Borrower at such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means JPMorgan Chase Bank, N.A., its successors and assigns.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means the standby letters of credit issued pursuant to this Agreement, and the term “</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one of them or each of them singularly, as the context may require.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 Rate</w:t>
      </w:r>
      <w:r>
        <w:rPr>
          <w:rFonts w:ascii="Arial" w:cs="Arial" w:eastAsia="Arial" w:hAnsi="Arial"/>
          <w:sz w:val="22"/>
          <w:szCs w:val="22"/>
          <w:color w:val="auto"/>
        </w:rPr>
        <w:t>” means the Adjusted LIBO Rate plus 0.875%.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4" w:right="339" w:bottom="1440" w:gutter="0" w:footer="0" w:header="0"/>
        </w:sectPr>
      </w:pPr>
    </w:p>
    <w:bookmarkStart w:id="138" w:name="page139"/>
    <w:bookmarkEnd w:id="138"/>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Lender in its reasonable discretion (in each case, the “</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at approximately 11:00 a.m., London time, two (2)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LIBO Screen Rate shall be less than </w:t>
      </w:r>
      <w:r>
        <w:rPr>
          <w:rFonts w:ascii="Arial" w:cs="Arial" w:eastAsia="Arial" w:hAnsi="Arial"/>
          <w:sz w:val="19"/>
          <w:szCs w:val="19"/>
          <w:color w:val="FF0000"/>
          <w:strike w:val="1"/>
        </w:rPr>
        <w:t>zero</w:t>
      </w:r>
      <w:r>
        <w:rPr>
          <w:rFonts w:ascii="Arial" w:cs="Arial" w:eastAsia="Arial" w:hAnsi="Arial"/>
          <w:sz w:val="19"/>
          <w:szCs w:val="19"/>
          <w:b w:val="1"/>
          <w:bCs w:val="1"/>
          <w:u w:val="single" w:color="auto"/>
          <w:color w:val="0000FF"/>
        </w:rPr>
        <w:t>0.50%</w:t>
      </w:r>
      <w:r>
        <w:rPr>
          <w:rFonts w:ascii="Arial" w:cs="Arial" w:eastAsia="Arial" w:hAnsi="Arial"/>
          <w:sz w:val="19"/>
          <w:szCs w:val="19"/>
          <w:color w:val="auto"/>
        </w:rPr>
        <w:t xml:space="preserve">, such rate shall be deemed to be </w:t>
      </w:r>
      <w:r>
        <w:rPr>
          <w:rFonts w:ascii="Arial" w:cs="Arial" w:eastAsia="Arial" w:hAnsi="Arial"/>
          <w:sz w:val="19"/>
          <w:szCs w:val="19"/>
          <w:color w:val="FF0000"/>
          <w:strike w:val="1"/>
        </w:rPr>
        <w:t>zero</w:t>
      </w:r>
      <w:r>
        <w:rPr>
          <w:rFonts w:ascii="Arial" w:cs="Arial" w:eastAsia="Arial" w:hAnsi="Arial"/>
          <w:sz w:val="19"/>
          <w:szCs w:val="19"/>
          <w:b w:val="1"/>
          <w:bCs w:val="1"/>
          <w:u w:val="single" w:color="auto"/>
          <w:color w:val="0000FF"/>
        </w:rPr>
        <w:t>0.50%</w:t>
      </w:r>
      <w:r>
        <w:rPr>
          <w:rFonts w:ascii="Arial" w:cs="Arial" w:eastAsia="Arial" w:hAnsi="Arial"/>
          <w:sz w:val="19"/>
          <w:szCs w:val="19"/>
          <w:color w:val="auto"/>
        </w:rPr>
        <w:t xml:space="preserve"> for the purposes of this Agreement and (y) if the LIBO Screen Rate shall not be available at such time for a period equal in length to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xml:space="preserve">”), then the LIBO Rate shall be the Interpolated Rate at such time, subject to Section 2.12 in the event that the Lender shall conclude that it shall not be possible to determine such Interpolated Rate (which conclusion shall be conclusive and binding absent manifest error);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any Interpolated Rate shall be less than </w:t>
      </w:r>
      <w:r>
        <w:rPr>
          <w:rFonts w:ascii="Arial" w:cs="Arial" w:eastAsia="Arial" w:hAnsi="Arial"/>
          <w:sz w:val="19"/>
          <w:szCs w:val="19"/>
          <w:color w:val="FF0000"/>
          <w:strike w:val="1"/>
        </w:rPr>
        <w:t>zero</w:t>
      </w:r>
      <w:r>
        <w:rPr>
          <w:rFonts w:ascii="Arial" w:cs="Arial" w:eastAsia="Arial" w:hAnsi="Arial"/>
          <w:sz w:val="19"/>
          <w:szCs w:val="19"/>
          <w:b w:val="1"/>
          <w:bCs w:val="1"/>
          <w:u w:val="single" w:color="auto"/>
          <w:color w:val="0000FF"/>
        </w:rPr>
        <w:t>0.50%</w:t>
      </w:r>
      <w:r>
        <w:rPr>
          <w:rFonts w:ascii="Arial" w:cs="Arial" w:eastAsia="Arial" w:hAnsi="Arial"/>
          <w:sz w:val="19"/>
          <w:szCs w:val="19"/>
          <w:color w:val="auto"/>
        </w:rPr>
        <w:t xml:space="preserve">, such rate shall be deemed to be </w:t>
      </w:r>
      <w:r>
        <w:rPr>
          <w:rFonts w:ascii="Arial" w:cs="Arial" w:eastAsia="Arial" w:hAnsi="Arial"/>
          <w:sz w:val="19"/>
          <w:szCs w:val="19"/>
          <w:color w:val="FF0000"/>
          <w:strike w:val="1"/>
        </w:rPr>
        <w:t>zero</w:t>
      </w:r>
      <w:r>
        <w:rPr>
          <w:rFonts w:ascii="Arial" w:cs="Arial" w:eastAsia="Arial" w:hAnsi="Arial"/>
          <w:sz w:val="19"/>
          <w:szCs w:val="19"/>
          <w:b w:val="1"/>
          <w:bCs w:val="1"/>
          <w:u w:val="single" w:color="auto"/>
          <w:color w:val="0000FF"/>
        </w:rPr>
        <w:t>0.50%</w:t>
      </w:r>
      <w:r>
        <w:rPr>
          <w:rFonts w:ascii="Arial" w:cs="Arial" w:eastAsia="Arial" w:hAnsi="Arial"/>
          <w:sz w:val="19"/>
          <w:szCs w:val="19"/>
          <w:color w:val="auto"/>
        </w:rPr>
        <w:t xml:space="preserve"> for purposes of this Agreement. Notwithstanding the above, to the extent that “LIBO Rate” or “Adjusted LIBO Rate” is used in connection with an ABR Borrowing, such rate shall be determined as modified by the definition of Alternate Base Rate.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Screen Rate</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each promissory note issued pursuant to this Agreement, any Letter of Credit application, the fee letter described in Section 2.10(c), and each other agreement, instrument, document and certificate identified in Section 4.01 executed and delivered to, or in favor of, the Lender and including each other consent, assignment, contract, notice, letter of credit agreement and each other written matter whether heretofore, now or hereafter executed by or on behalf of the Borrower, or any employee of the Borrower, and delivered to the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pursuant to Section 2.01.</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operations, or condition, financial or otherwise, of the Borrower and its Subsidiaries taken as a whole, (b) the ability of the Borrower to perform any of its obligations under the Loan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04"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to which it is a party, or (c) the rights of or benefits available to the Lender under any of the Loan Documents.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Agreement</w:t>
      </w:r>
      <w:r>
        <w:rPr>
          <w:rFonts w:ascii="Arial" w:cs="Arial" w:eastAsia="Arial" w:hAnsi="Arial"/>
          <w:sz w:val="19"/>
          <w:szCs w:val="19"/>
          <w:color w:val="auto"/>
        </w:rPr>
        <w:t>” means, with respect to any Person, (i) all Material Indebtedness, (ii) each contract, agreement or other instrument to which such Person or any of its Subsidiaries is a party involving aggregate consideration payable by or to such Person or by or to such Subsidiary of $5,000,000 or more during any consecutive twelve-month period (other than purchase orders in the ordinary course of the business of such Person or such Subsidiary), and (iii) all other contracts or agreements, the loss of which would reasonably be expected to have a Material Adverse Effect.</w:t>
      </w:r>
    </w:p>
    <w:p>
      <w:pPr>
        <w:spacing w:after="0" w:line="1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Indebtedness (other than the Loans and Letters of Credit), or obligations in respect of one or more Swap Agreements, of any one or more of the Borrower and its Subsidiaries in an aggregate principal amount exceeding $5,000,000.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earlier of (a) June 1, 2021 (if the same is a Business Day, or if not, then the immediately next succeeding Business Day)</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or</w:t>
      </w:r>
      <w:r>
        <w:rPr>
          <w:rFonts w:ascii="Arial" w:cs="Arial" w:eastAsia="Arial" w:hAnsi="Arial"/>
          <w:sz w:val="22"/>
          <w:szCs w:val="22"/>
          <w:color w:val="auto"/>
        </w:rPr>
        <w:t xml:space="preserve"> (b) any earlier date on which the Commitment is reduced to zero or otherwise terminated pursuant to the terms hereof </w:t>
      </w:r>
      <w:r>
        <w:rPr>
          <w:rFonts w:ascii="Arial" w:cs="Arial" w:eastAsia="Arial" w:hAnsi="Arial"/>
          <w:sz w:val="22"/>
          <w:szCs w:val="22"/>
          <w:color w:val="FF0000"/>
          <w:strike w:val="1"/>
        </w:rPr>
        <w:t>or (c) the date on which the Holdco Credit Commitments are terminated (if the same is a Business Day, or, if</w:t>
      </w:r>
      <w:r>
        <w:rPr>
          <w:rFonts w:ascii="Arial" w:cs="Arial" w:eastAsia="Arial" w:hAnsi="Arial"/>
          <w:sz w:val="22"/>
          <w:szCs w:val="22"/>
          <w:color w:val="auto"/>
        </w:rPr>
        <w:t xml:space="preserve"> </w:t>
      </w:r>
      <w:r>
        <w:rPr>
          <w:rFonts w:ascii="Arial" w:cs="Arial" w:eastAsia="Arial" w:hAnsi="Arial"/>
          <w:sz w:val="22"/>
          <w:szCs w:val="22"/>
          <w:color w:val="FF0000"/>
          <w:strike w:val="1"/>
        </w:rPr>
        <w:t>not, then the immediately succeeding next Business Day)</w:t>
      </w:r>
      <w:r>
        <w:rPr>
          <w:rFonts w:ascii="Arial" w:cs="Arial" w:eastAsia="Arial" w:hAnsi="Arial"/>
          <w:sz w:val="22"/>
          <w:szCs w:val="22"/>
          <w:color w:val="000000"/>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xml:space="preserve">” means, for any period, the consolidated net income (or loss) determined for the Borrower and its Subsidiaries,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income (or deficit) of any Person accrued prior to the date it becomes a Subsidiary or is merged into or consolidated with the Borrower or any Subsidiary, and (b) the income (or deficit) of any Person (other than a Subsidiary) in which the Borrower or any Subsidiary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“Notice Date</w:t>
      </w:r>
      <w:r>
        <w:rPr>
          <w:rFonts w:ascii="Arial" w:cs="Arial" w:eastAsia="Arial" w:hAnsi="Arial"/>
          <w:sz w:val="22"/>
          <w:szCs w:val="22"/>
          <w:u w:val="single" w:color="auto"/>
          <w:color w:val="008000"/>
        </w:rPr>
        <w:t>” has the meaning assigned to such term in Section</w:t>
      </w:r>
      <w:r>
        <w:rPr>
          <w:rFonts w:ascii="Arial" w:cs="Arial" w:eastAsia="Arial" w:hAnsi="Arial"/>
          <w:sz w:val="22"/>
          <w:szCs w:val="22"/>
          <w:b w:val="1"/>
          <w:bCs w:val="1"/>
          <w:u w:val="single" w:color="auto"/>
          <w:color w:val="0000FF"/>
        </w:rPr>
        <w:t xml:space="preserve"> 2.12(c).</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4" w:right="339" w:bottom="1440" w:gutter="0" w:footer="0" w:header="0"/>
        </w:sectPr>
      </w:pPr>
    </w:p>
    <w:bookmarkStart w:id="140" w:name="page141"/>
    <w:bookmarkEnd w:id="140"/>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to the Lender from a Federal funds broker of recognized standing selected by it; provided, further, that if any of the aforesaid rates shall be less than zero, such rate shall be deemed to be zero for purposes of this Agreement.</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the Borrower and its Subsidiaries to the Lender or any indemnified party under the Loan Documents,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the Lender, Taxes imposed as a result of a present or former connection between the Lender and the jurisdiction imposing such Taxes (other than a connection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Section 8.04(c).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Section 8.04(c).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604" w:right="339" w:bottom="1440" w:gutter="0" w:footer="0" w:header="0"/>
        </w:sectPr>
      </w:pPr>
    </w:p>
    <w:bookmarkStart w:id="141" w:name="page142"/>
    <w:bookmarkEnd w:id="141"/>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by the Borrower in a transaction that satisfies each of the following requirements:</w:t>
      </w:r>
    </w:p>
    <w:p>
      <w:pPr>
        <w:spacing w:after="0" w:line="175" w:lineRule="exact"/>
        <w:rPr>
          <w:sz w:val="20"/>
          <w:szCs w:val="20"/>
          <w:color w:val="auto"/>
        </w:rPr>
      </w:pPr>
    </w:p>
    <w:p>
      <w:pPr>
        <w:ind w:left="1720" w:hanging="416"/>
        <w:spacing w:after="0"/>
        <w:tabs>
          <w:tab w:leader="none" w:pos="17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such Acquisition is not a hostile or contested acquisition;</w:t>
      </w:r>
    </w:p>
    <w:p>
      <w:pPr>
        <w:spacing w:after="0" w:line="233" w:lineRule="exact"/>
        <w:rPr>
          <w:rFonts w:ascii="Arial" w:cs="Arial" w:eastAsia="Arial" w:hAnsi="Arial"/>
          <w:sz w:val="22"/>
          <w:szCs w:val="22"/>
          <w:color w:val="auto"/>
        </w:rPr>
      </w:pPr>
    </w:p>
    <w:p>
      <w:pPr>
        <w:jc w:val="both"/>
        <w:ind w:firstLine="1304"/>
        <w:spacing w:after="0" w:line="254" w:lineRule="auto"/>
        <w:tabs>
          <w:tab w:leader="none" w:pos="183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business acquired in connection with such Acquisition is (i) located in the U.S., (ii) organized under applicable U.S. and state laws, and (iii) not engaged, directly or indirectly, in any line of business other than the businesses in which the Borrower is engaged on the Effective Date and any business activities that are substantially similar, related, or incidental thereto;</w:t>
      </w:r>
    </w:p>
    <w:p>
      <w:pPr>
        <w:spacing w:after="0" w:line="184" w:lineRule="exact"/>
        <w:rPr>
          <w:rFonts w:ascii="Arial" w:cs="Arial" w:eastAsia="Arial" w:hAnsi="Arial"/>
          <w:sz w:val="22"/>
          <w:szCs w:val="22"/>
          <w:color w:val="auto"/>
        </w:rPr>
      </w:pPr>
    </w:p>
    <w:p>
      <w:pPr>
        <w:ind w:left="1900" w:hanging="596"/>
        <w:spacing w:after="0"/>
        <w:tabs>
          <w:tab w:leader="none" w:pos="19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both before and after giving effect to such Acquisition, no Default exists, will exist, or would result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therefrom;</w:t>
      </w:r>
    </w:p>
    <w:p>
      <w:pPr>
        <w:spacing w:after="0" w:line="215" w:lineRule="exact"/>
        <w:rPr>
          <w:rFonts w:ascii="Arial" w:cs="Arial" w:eastAsia="Arial" w:hAnsi="Arial"/>
          <w:sz w:val="21"/>
          <w:szCs w:val="21"/>
          <w:color w:val="auto"/>
        </w:rPr>
      </w:pPr>
    </w:p>
    <w:p>
      <w:pPr>
        <w:jc w:val="both"/>
        <w:ind w:firstLine="1304"/>
        <w:spacing w:after="0" w:line="307" w:lineRule="auto"/>
        <w:tabs>
          <w:tab w:leader="none" w:pos="172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for any Acquisition that involves aggregate consideration of $5,000,000 or more, as soon as available, but not less than ten days (or such shorter time as agreed to by the Lender) prior to such Acquisition, the Borrower has provided the Lender (i) notice of such Acquisition and (ii) upon the reasonable request of the Lender, a copy of the material business and financial information related to such Acquisition including pro forma financial statements and statements of cash flow;</w:t>
      </w:r>
    </w:p>
    <w:p>
      <w:pPr>
        <w:spacing w:after="0" w:line="137" w:lineRule="exact"/>
        <w:rPr>
          <w:rFonts w:ascii="Arial" w:cs="Arial" w:eastAsia="Arial" w:hAnsi="Arial"/>
          <w:sz w:val="19"/>
          <w:szCs w:val="19"/>
          <w:color w:val="auto"/>
        </w:rPr>
      </w:pPr>
    </w:p>
    <w:p>
      <w:pPr>
        <w:jc w:val="both"/>
        <w:ind w:firstLine="1304"/>
        <w:spacing w:after="0" w:line="248" w:lineRule="auto"/>
        <w:tabs>
          <w:tab w:leader="none" w:pos="17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 the total consideration of any Acquisition (including all Indebtedness and liabilities incurred or assumed in connection therewith) does not exceed $20,000,000, (ii) the aggregate total consideration of Acquisitions (including all Indebtedness and liabilities incurred or assumed in connection therewith) (together with any Acquisitions consummated by Holdco and its other Subsidiaries) in any year does not exceed $20,000,000, and (iii) the aggregate total consideration for all Acquisitions (including all Indebtedness and liabilities incurred or assumed in connection therewith) (together with any Acquisitions consummated by Holdco and its other Subsidiaries) made during the term of this Agreement shall not exceed $60,000,000;</w:t>
      </w:r>
    </w:p>
    <w:p>
      <w:pPr>
        <w:spacing w:after="0" w:line="195" w:lineRule="exact"/>
        <w:rPr>
          <w:rFonts w:ascii="Arial" w:cs="Arial" w:eastAsia="Arial" w:hAnsi="Arial"/>
          <w:sz w:val="22"/>
          <w:szCs w:val="22"/>
          <w:color w:val="auto"/>
        </w:rPr>
      </w:pPr>
    </w:p>
    <w:p>
      <w:pPr>
        <w:ind w:firstLine="1304"/>
        <w:spacing w:after="0" w:line="358" w:lineRule="auto"/>
        <w:tabs>
          <w:tab w:leader="none" w:pos="170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such Acquisition is an acquisition of the Equity Interests of a Person, such Acquisition is structured so that the acquired Person shall become a wholly-owned Subsidiary of the Borrower pursuant to the terms of this Agreement;</w:t>
      </w:r>
    </w:p>
    <w:p>
      <w:pPr>
        <w:spacing w:after="0" w:line="90" w:lineRule="exact"/>
        <w:rPr>
          <w:rFonts w:ascii="Arial" w:cs="Arial" w:eastAsia="Arial" w:hAnsi="Arial"/>
          <w:sz w:val="19"/>
          <w:szCs w:val="19"/>
          <w:color w:val="auto"/>
        </w:rPr>
      </w:pPr>
    </w:p>
    <w:p>
      <w:pPr>
        <w:ind w:left="1860" w:hanging="556"/>
        <w:spacing w:after="0"/>
        <w:tabs>
          <w:tab w:leader="none" w:pos="18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such Acquisition is an acquisition of assets, such Acquisition is structured so that the Borrower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acquire such assets;</w:t>
      </w:r>
    </w:p>
    <w:p>
      <w:pPr>
        <w:spacing w:after="0" w:line="215" w:lineRule="exact"/>
        <w:rPr>
          <w:rFonts w:ascii="Arial" w:cs="Arial" w:eastAsia="Arial" w:hAnsi="Arial"/>
          <w:sz w:val="19"/>
          <w:szCs w:val="19"/>
          <w:color w:val="auto"/>
        </w:rPr>
      </w:pPr>
    </w:p>
    <w:p>
      <w:pPr>
        <w:ind w:left="1780" w:hanging="476"/>
        <w:spacing w:after="0"/>
        <w:tabs>
          <w:tab w:leader="none" w:pos="17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such Acquisition is an acquisition of Equity Interests, such Acquisition will not result in any violation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Regulation U;</w:t>
      </w:r>
    </w:p>
    <w:p>
      <w:pPr>
        <w:spacing w:after="0" w:line="215" w:lineRule="exact"/>
        <w:rPr>
          <w:rFonts w:ascii="Arial" w:cs="Arial" w:eastAsia="Arial" w:hAnsi="Arial"/>
          <w:sz w:val="19"/>
          <w:szCs w:val="19"/>
          <w:color w:val="auto"/>
        </w:rPr>
      </w:pPr>
    </w:p>
    <w:p>
      <w:pPr>
        <w:ind w:firstLine="1304"/>
        <w:spacing w:after="0" w:line="276" w:lineRule="auto"/>
        <w:tabs>
          <w:tab w:leader="none" w:pos="174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such Acquisition involves a merger or a consolidation involving the Borrower, the Borrower shall be the surviving entity;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04" w:right="339" w:bottom="1440" w:gutter="0" w:footer="0" w:header="0"/>
        </w:sectPr>
      </w:pPr>
    </w:p>
    <w:bookmarkStart w:id="142" w:name="page143"/>
    <w:bookmarkEnd w:id="142"/>
    <w:p>
      <w:pPr>
        <w:jc w:val="both"/>
        <w:ind w:firstLine="1304"/>
        <w:spacing w:after="0" w:line="259" w:lineRule="auto"/>
        <w:tabs>
          <w:tab w:leader="none" w:pos="16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Borrower shall not, as a result of or in connection with any such Acquisition, assume or incur any direct or contingent liabilities (whether relating to environmental, tax, litigation, or other matters) that could reasonably be expected to have a Material Adverse Effect.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ind w:left="1720" w:hanging="416"/>
        <w:spacing w:after="0"/>
        <w:tabs>
          <w:tab w:leader="none" w:pos="17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Liens imposed by law for Taxes that are not yet due or are being contested in compliance with Section 5.04;</w:t>
      </w:r>
    </w:p>
    <w:p>
      <w:pPr>
        <w:spacing w:after="0" w:line="267" w:lineRule="exact"/>
        <w:rPr>
          <w:rFonts w:ascii="Arial" w:cs="Arial" w:eastAsia="Arial" w:hAnsi="Arial"/>
          <w:sz w:val="19"/>
          <w:szCs w:val="19"/>
          <w:color w:val="auto"/>
        </w:rPr>
      </w:pPr>
    </w:p>
    <w:p>
      <w:pPr>
        <w:jc w:val="both"/>
        <w:ind w:firstLine="1304"/>
        <w:spacing w:after="0" w:line="259" w:lineRule="auto"/>
        <w:tabs>
          <w:tab w:leader="none" w:pos="183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80" w:lineRule="exact"/>
        <w:rPr>
          <w:rFonts w:ascii="Arial" w:cs="Arial" w:eastAsia="Arial" w:hAnsi="Arial"/>
          <w:sz w:val="22"/>
          <w:szCs w:val="22"/>
          <w:color w:val="auto"/>
        </w:rPr>
      </w:pPr>
    </w:p>
    <w:p>
      <w:pPr>
        <w:ind w:right="20" w:firstLine="1304"/>
        <w:spacing w:after="0" w:line="276" w:lineRule="auto"/>
        <w:tabs>
          <w:tab w:leader="none" w:pos="179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w:t>
      </w:r>
    </w:p>
    <w:p>
      <w:pPr>
        <w:spacing w:after="0" w:line="160" w:lineRule="exact"/>
        <w:rPr>
          <w:rFonts w:ascii="Arial" w:cs="Arial" w:eastAsia="Arial" w:hAnsi="Arial"/>
          <w:sz w:val="22"/>
          <w:szCs w:val="22"/>
          <w:color w:val="auto"/>
        </w:rPr>
      </w:pPr>
    </w:p>
    <w:p>
      <w:pPr>
        <w:ind w:right="20" w:firstLine="1304"/>
        <w:spacing w:after="0" w:line="301" w:lineRule="auto"/>
        <w:tabs>
          <w:tab w:leader="none" w:pos="179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36" w:lineRule="exact"/>
        <w:rPr>
          <w:rFonts w:ascii="Arial" w:cs="Arial" w:eastAsia="Arial" w:hAnsi="Arial"/>
          <w:sz w:val="21"/>
          <w:szCs w:val="21"/>
          <w:color w:val="auto"/>
        </w:rPr>
      </w:pPr>
    </w:p>
    <w:p>
      <w:pPr>
        <w:ind w:left="1740" w:hanging="436"/>
        <w:spacing w:after="0"/>
        <w:tabs>
          <w:tab w:leader="none" w:pos="17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judgment Liens in respect of judgments that do not constitute an Event of Default under clause (k) of Article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VII;</w:t>
      </w:r>
    </w:p>
    <w:p>
      <w:pPr>
        <w:spacing w:after="0" w:line="215" w:lineRule="exact"/>
        <w:rPr>
          <w:rFonts w:ascii="Arial" w:cs="Arial" w:eastAsia="Arial" w:hAnsi="Arial"/>
          <w:sz w:val="19"/>
          <w:szCs w:val="19"/>
          <w:color w:val="auto"/>
        </w:rPr>
      </w:pPr>
    </w:p>
    <w:p>
      <w:pPr>
        <w:jc w:val="both"/>
        <w:ind w:firstLine="1304"/>
        <w:spacing w:after="0" w:line="319" w:lineRule="auto"/>
        <w:tabs>
          <w:tab w:leader="none" w:pos="174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127" w:lineRule="exact"/>
        <w:rPr>
          <w:rFonts w:ascii="Arial" w:cs="Arial" w:eastAsia="Arial" w:hAnsi="Arial"/>
          <w:sz w:val="19"/>
          <w:szCs w:val="19"/>
          <w:color w:val="auto"/>
        </w:rPr>
      </w:pPr>
    </w:p>
    <w:p>
      <w:pPr>
        <w:ind w:left="1840" w:hanging="536"/>
        <w:spacing w:after="0"/>
        <w:tabs>
          <w:tab w:leader="none" w:pos="18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interests of lessors and sublessors under operating leases and licensors or sub-licensors under license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provided that the term “Permitted Encumbrances” shall not include any Lien securing Indebtedness, except with respect to clause (e) above.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Intercompany Advances</w:t>
      </w:r>
      <w:r>
        <w:rPr>
          <w:rFonts w:ascii="Arial" w:cs="Arial" w:eastAsia="Arial" w:hAnsi="Arial"/>
          <w:sz w:val="22"/>
          <w:szCs w:val="22"/>
          <w:color w:val="auto"/>
        </w:rPr>
        <w:t>” means loans made by (a) Borrower to Holdco or to any Subsidiary of Holdco, (b) Holdco to any Subsidiary of Holdco, or (c) a Subsidiary of Holdco to Holdco or to any other Subsidiary of Holdco (including Borrower).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jc w:val="both"/>
        <w:ind w:firstLine="1304"/>
        <w:spacing w:after="0" w:line="259" w:lineRule="auto"/>
        <w:tabs>
          <w:tab w:leader="none" w:pos="174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604" w:right="339" w:bottom="1440" w:gutter="0" w:footer="0" w:header="0"/>
        </w:sectPr>
      </w:pPr>
    </w:p>
    <w:bookmarkStart w:id="143" w:name="page144"/>
    <w:bookmarkEnd w:id="143"/>
    <w:p>
      <w:pPr>
        <w:ind w:firstLine="1304"/>
        <w:spacing w:after="0" w:line="276" w:lineRule="auto"/>
        <w:tabs>
          <w:tab w:leader="none" w:pos="176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60" w:lineRule="exact"/>
        <w:rPr>
          <w:rFonts w:ascii="Arial" w:cs="Arial" w:eastAsia="Arial" w:hAnsi="Arial"/>
          <w:sz w:val="22"/>
          <w:szCs w:val="22"/>
          <w:color w:val="auto"/>
        </w:rPr>
      </w:pPr>
    </w:p>
    <w:p>
      <w:pPr>
        <w:jc w:val="both"/>
        <w:ind w:firstLine="1304"/>
        <w:spacing w:after="0" w:line="254" w:lineRule="auto"/>
        <w:tabs>
          <w:tab w:leader="none" w:pos="172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84" w:lineRule="exact"/>
        <w:rPr>
          <w:rFonts w:ascii="Arial" w:cs="Arial" w:eastAsia="Arial" w:hAnsi="Arial"/>
          <w:sz w:val="22"/>
          <w:szCs w:val="22"/>
          <w:color w:val="auto"/>
        </w:rPr>
      </w:pPr>
    </w:p>
    <w:p>
      <w:pPr>
        <w:ind w:firstLine="1304"/>
        <w:spacing w:after="0" w:line="358" w:lineRule="auto"/>
        <w:tabs>
          <w:tab w:leader="none" w:pos="178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90" w:lineRule="exact"/>
        <w:rPr>
          <w:rFonts w:ascii="Arial" w:cs="Arial" w:eastAsia="Arial" w:hAnsi="Arial"/>
          <w:sz w:val="19"/>
          <w:szCs w:val="19"/>
          <w:color w:val="auto"/>
        </w:rPr>
      </w:pPr>
    </w:p>
    <w:p>
      <w:pPr>
        <w:jc w:val="both"/>
        <w:ind w:firstLine="1304"/>
        <w:spacing w:after="0" w:line="259" w:lineRule="auto"/>
        <w:tabs>
          <w:tab w:leader="none" w:pos="175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0000FF"/>
        </w:rPr>
        <w:t xml:space="preserve">“Plan Asset Regulations” means 29 CFR § 2510.3-101 </w:t>
      </w:r>
      <w:r>
        <w:rPr>
          <w:rFonts w:ascii="Arial" w:cs="Arial" w:eastAsia="Arial" w:hAnsi="Arial"/>
          <w:sz w:val="22"/>
          <w:szCs w:val="22"/>
          <w:b w:val="1"/>
          <w:bCs w:val="1"/>
          <w:i w:val="1"/>
          <w:iCs w:val="1"/>
          <w:u w:val="single" w:color="auto"/>
          <w:color w:val="0000FF"/>
        </w:rPr>
        <w:t>et seq.</w:t>
      </w:r>
      <w:r>
        <w:rPr>
          <w:rFonts w:ascii="Arial" w:cs="Arial" w:eastAsia="Arial" w:hAnsi="Arial"/>
          <w:sz w:val="22"/>
          <w:szCs w:val="22"/>
          <w:b w:val="1"/>
          <w:bCs w:val="1"/>
          <w:u w:val="single" w:color="auto"/>
          <w:color w:val="0000FF"/>
        </w:rPr>
        <w:t>, as modified by Section 3(42) of ERISA, as amended from time to time.</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the rate of interest per annum publicly announced from time to time by the Lender as its prime rate in effect at its principal offices in New York City. Each change in the Prime Rate shall be effective from and including the date such change is publicly announced as being effective.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has the meaning assigned to such term in Section 5.01(d).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 Indebtedness</w:t>
      </w:r>
      <w:r>
        <w:rPr>
          <w:rFonts w:ascii="Arial" w:cs="Arial" w:eastAsia="Arial" w:hAnsi="Arial"/>
          <w:sz w:val="22"/>
          <w:szCs w:val="22"/>
          <w:color w:val="auto"/>
        </w:rPr>
        <w:t>” has the meaning assigned to such term in Section 6.01(f).</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(a) any authorization, consent, approval, license, lease, ruling, permit, tariff, rate, certification, waiver, exemption, filing, variance, claim, order, judgment or decree of, by or with, (b) any required notice to, (c) any declaration of or with or (d) any registration by or with, any Governmental Authority.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604" w:right="339" w:bottom="1440" w:gutter="0" w:footer="0" w:header="0"/>
        </w:sectPr>
      </w:pPr>
    </w:p>
    <w:bookmarkStart w:id="144" w:name="page145"/>
    <w:bookmarkEnd w:id="144"/>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releasing, spilling, leaking, pumping, pouring, emitting, emptying, discharging, injecting, escaping, leaching, migrating, disposing, or dumping of any substance into the environment.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0000FF"/>
        </w:rPr>
        <w:t>“QFC” has the meaning assigned to the term “qualified financial contract” in, and shall be interpreted in accordance with, 12 U.S.C. 5390(c)(8)(D).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“QFC Credit Support” has the meaning assigned to it in Section 8.18.</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Services, a Standard &amp; Poor’s Financial Services LLC 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has the meaning assigned to such term in Section 6.06.</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w:t>
      </w:r>
      <w:r>
        <w:rPr>
          <w:rFonts w:ascii="Arial" w:cs="Arial" w:eastAsia="Arial" w:hAnsi="Arial"/>
          <w:sz w:val="22"/>
          <w:szCs w:val="22"/>
          <w:b w:val="1"/>
          <w:bCs w:val="1"/>
          <w:u w:val="single" w:color="auto"/>
          <w:color w:val="0000FF"/>
        </w:rPr>
        <w:t>, region</w:t>
      </w:r>
      <w:r>
        <w:rPr>
          <w:rFonts w:ascii="Arial" w:cs="Arial" w:eastAsia="Arial" w:hAnsi="Arial"/>
          <w:sz w:val="22"/>
          <w:szCs w:val="22"/>
          <w:color w:val="auto"/>
        </w:rPr>
        <w:t xml:space="preserve"> or territory which is </w:t>
      </w:r>
      <w:r>
        <w:rPr>
          <w:rFonts w:ascii="Arial" w:cs="Arial" w:eastAsia="Arial" w:hAnsi="Arial"/>
          <w:sz w:val="22"/>
          <w:szCs w:val="22"/>
          <w:b w:val="1"/>
          <w:bCs w:val="1"/>
          <w:u w:val="single" w:color="auto"/>
          <w:color w:val="0000FF"/>
        </w:rPr>
        <w:t>itself</w:t>
      </w:r>
      <w:r>
        <w:rPr>
          <w:rFonts w:ascii="Arial" w:cs="Arial" w:eastAsia="Arial" w:hAnsi="Arial"/>
          <w:sz w:val="22"/>
          <w:szCs w:val="22"/>
          <w:color w:val="auto"/>
        </w:rPr>
        <w:t xml:space="preserve"> the subject or target of any Sanctions </w:t>
      </w:r>
      <w:r>
        <w:rPr>
          <w:rFonts w:ascii="Arial" w:cs="Arial" w:eastAsia="Arial" w:hAnsi="Arial"/>
          <w:sz w:val="22"/>
          <w:szCs w:val="22"/>
          <w:b w:val="1"/>
          <w:bCs w:val="1"/>
          <w:u w:val="single" w:color="auto"/>
          <w:color w:val="0000FF"/>
        </w:rPr>
        <w:t>(at the time of this Agreement, Crimea, Cuba, Iran, North Korea and Syria)</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xml:space="preserve">” means, at any time, (a) any Person listed in any Sanctions-related list of designated Persons maintained by the Office of Foreign Assets Control of the U.S. Department of the Treasury, the U.S. Department of State, </w:t>
      </w:r>
      <w:r>
        <w:rPr>
          <w:rFonts w:ascii="Arial" w:cs="Arial" w:eastAsia="Arial" w:hAnsi="Arial"/>
          <w:sz w:val="21"/>
          <w:szCs w:val="21"/>
          <w:color w:val="FF0000"/>
          <w:strike w:val="1"/>
        </w:rPr>
        <w:t>or by</w:t>
      </w:r>
      <w:r>
        <w:rPr>
          <w:rFonts w:ascii="Arial" w:cs="Arial" w:eastAsia="Arial" w:hAnsi="Arial"/>
          <w:sz w:val="21"/>
          <w:szCs w:val="21"/>
          <w:color w:val="auto"/>
        </w:rPr>
        <w:t xml:space="preserve"> the United Nations Security Council, the European Union </w:t>
      </w:r>
      <w:r>
        <w:rPr>
          <w:rFonts w:ascii="Arial" w:cs="Arial" w:eastAsia="Arial" w:hAnsi="Arial"/>
          <w:sz w:val="21"/>
          <w:szCs w:val="21"/>
          <w:color w:val="FF0000"/>
          <w:strike w:val="1"/>
        </w:rPr>
        <w:t>or</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any </w:t>
      </w:r>
      <w:r>
        <w:rPr>
          <w:rFonts w:ascii="Arial" w:cs="Arial" w:eastAsia="Arial" w:hAnsi="Arial"/>
          <w:sz w:val="21"/>
          <w:szCs w:val="21"/>
          <w:color w:val="FF0000"/>
          <w:strike w:val="1"/>
        </w:rPr>
        <w:t>EU</w:t>
      </w:r>
      <w:r>
        <w:rPr>
          <w:rFonts w:ascii="Arial" w:cs="Arial" w:eastAsia="Arial" w:hAnsi="Arial"/>
          <w:sz w:val="21"/>
          <w:szCs w:val="21"/>
          <w:b w:val="1"/>
          <w:bCs w:val="1"/>
          <w:u w:val="single" w:color="auto"/>
          <w:color w:val="0000FF"/>
        </w:rPr>
        <w:t>European Union</w:t>
      </w:r>
      <w:r>
        <w:rPr>
          <w:rFonts w:ascii="Arial" w:cs="Arial" w:eastAsia="Arial" w:hAnsi="Arial"/>
          <w:sz w:val="21"/>
          <w:szCs w:val="21"/>
          <w:color w:val="auto"/>
        </w:rPr>
        <w:t xml:space="preserve"> member state, </w:t>
      </w:r>
      <w:r>
        <w:rPr>
          <w:rFonts w:ascii="Arial" w:cs="Arial" w:eastAsia="Arial" w:hAnsi="Arial"/>
          <w:sz w:val="21"/>
          <w:szCs w:val="21"/>
          <w:b w:val="1"/>
          <w:bCs w:val="1"/>
          <w:u w:val="single" w:color="auto"/>
          <w:color w:val="0000FF"/>
        </w:rPr>
        <w:t>Her Majesty’s Treasury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of the United Kingdom or other relevant sanctions authority;</w:t>
      </w:r>
      <w:r>
        <w:rPr>
          <w:rFonts w:ascii="Arial" w:cs="Arial" w:eastAsia="Arial" w:hAnsi="Arial"/>
          <w:sz w:val="21"/>
          <w:szCs w:val="21"/>
          <w:b w:val="1"/>
          <w:bCs w:val="1"/>
          <w:color w:val="0000FF"/>
        </w:rPr>
        <w:t xml:space="preserve"> </w:t>
      </w:r>
      <w:r>
        <w:rPr>
          <w:rFonts w:ascii="Arial" w:cs="Arial" w:eastAsia="Arial" w:hAnsi="Arial"/>
          <w:sz w:val="21"/>
          <w:szCs w:val="21"/>
          <w:color w:val="000000"/>
        </w:rPr>
        <w:t>(b) any Person operating, organized or resident in a Sanctioned</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Country </w:t>
      </w:r>
      <w:r>
        <w:rPr>
          <w:rFonts w:ascii="Arial" w:cs="Arial" w:eastAsia="Arial" w:hAnsi="Arial"/>
          <w:sz w:val="21"/>
          <w:szCs w:val="21"/>
          <w:color w:val="FF0000"/>
          <w:strike w:val="1"/>
        </w:rPr>
        <w:t>or</w:t>
      </w:r>
      <w:r>
        <w:rPr>
          <w:rFonts w:ascii="Arial" w:cs="Arial" w:eastAsia="Arial" w:hAnsi="Arial"/>
          <w:sz w:val="21"/>
          <w:szCs w:val="21"/>
          <w:b w:val="1"/>
          <w:bCs w:val="1"/>
          <w:u w:val="single" w:color="auto"/>
          <w:color w:val="0000FF"/>
        </w:rPr>
        <w:t>;</w:t>
      </w:r>
      <w:r>
        <w:rPr>
          <w:rFonts w:ascii="Arial" w:cs="Arial" w:eastAsia="Arial" w:hAnsi="Arial"/>
          <w:sz w:val="21"/>
          <w:szCs w:val="21"/>
          <w:color w:val="000000"/>
        </w:rPr>
        <w:t xml:space="preserve"> (c) any Person </w:t>
      </w:r>
      <w:r>
        <w:rPr>
          <w:rFonts w:ascii="Arial" w:cs="Arial" w:eastAsia="Arial" w:hAnsi="Arial"/>
          <w:sz w:val="21"/>
          <w:szCs w:val="21"/>
          <w:b w:val="1"/>
          <w:bCs w:val="1"/>
          <w:u w:val="single" w:color="auto"/>
          <w:color w:val="0000FF"/>
        </w:rPr>
        <w:t>owned or</w:t>
      </w:r>
      <w:r>
        <w:rPr>
          <w:rFonts w:ascii="Arial" w:cs="Arial" w:eastAsia="Arial" w:hAnsi="Arial"/>
          <w:sz w:val="21"/>
          <w:szCs w:val="21"/>
          <w:color w:val="000000"/>
        </w:rPr>
        <w:t xml:space="preserve"> controlled by any such Person </w:t>
      </w:r>
      <w:r>
        <w:rPr>
          <w:rFonts w:ascii="Arial" w:cs="Arial" w:eastAsia="Arial" w:hAnsi="Arial"/>
          <w:sz w:val="21"/>
          <w:szCs w:val="21"/>
          <w:b w:val="1"/>
          <w:bCs w:val="1"/>
          <w:u w:val="single" w:color="auto"/>
          <w:color w:val="0000FF"/>
        </w:rPr>
        <w:t>or Persons described in the foregoing clauses (a) or (b);</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or (d) any Person otherwise the subject of any Sanctions</w:t>
      </w:r>
      <w:r>
        <w:rPr>
          <w:rFonts w:ascii="Arial" w:cs="Arial" w:eastAsia="Arial" w:hAnsi="Arial"/>
          <w:sz w:val="21"/>
          <w:szCs w:val="21"/>
          <w:color w:val="000000"/>
        </w:rPr>
        <w:t>.</w:t>
      </w:r>
    </w:p>
    <w:p>
      <w:pPr>
        <w:spacing w:after="0" w:line="17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all</w:t>
      </w:r>
      <w:r>
        <w:rPr>
          <w:rFonts w:ascii="Arial" w:cs="Arial" w:eastAsia="Arial" w:hAnsi="Arial"/>
          <w:sz w:val="19"/>
          <w:szCs w:val="19"/>
          <w:color w:val="auto"/>
        </w:rPr>
        <w:t xml:space="preserve"> economic or financial sanctions or trade embargoes imposed, administered or enforced from time to time by </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the U.S. government, including those administered by </w:t>
      </w:r>
      <w:r>
        <w:rPr>
          <w:rFonts w:ascii="Arial" w:cs="Arial" w:eastAsia="Arial" w:hAnsi="Arial"/>
          <w:sz w:val="19"/>
          <w:szCs w:val="19"/>
          <w:color w:val="FF0000"/>
          <w:strike w:val="1"/>
        </w:rPr>
        <w:t>the</w:t>
      </w:r>
      <w:r>
        <w:rPr>
          <w:rFonts w:ascii="Arial" w:cs="Arial" w:eastAsia="Arial" w:hAnsi="Arial"/>
          <w:sz w:val="19"/>
          <w:szCs w:val="19"/>
          <w:color w:val="auto"/>
        </w:rPr>
        <w:t xml:space="preserve"> Office of Foreign Assets Control of the U.S. Department of the Treasury or the U.S. Department of State</w:t>
      </w:r>
      <w:r>
        <w:rPr>
          <w:rFonts w:ascii="Arial" w:cs="Arial" w:eastAsia="Arial" w:hAnsi="Arial"/>
          <w:sz w:val="19"/>
          <w:szCs w:val="19"/>
          <w:b w:val="1"/>
          <w:bCs w:val="1"/>
          <w:u w:val="single" w:color="auto"/>
          <w:color w:val="0000FF"/>
        </w:rPr>
        <w:t>, or (b) the United Nations Security Council, the European Union,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604" w:right="3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b w:val="1"/>
          <w:bCs w:val="1"/>
          <w:u w:val="single" w:color="auto"/>
          <w:color w:val="0000FF"/>
        </w:rPr>
        <w:t>European Union member state, Her Majesty’s Treasury of the United Kingdom or other relevant sanctions authority</w:t>
      </w:r>
      <w:r>
        <w:rPr>
          <w:rFonts w:ascii="Arial" w:cs="Arial" w:eastAsia="Arial" w:hAnsi="Arial"/>
          <w:sz w:val="19"/>
          <w:szCs w:val="19"/>
          <w:color w:val="000000"/>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SJWTX Credit Agreement</w:t>
      </w:r>
      <w:r>
        <w:rPr>
          <w:rFonts w:ascii="Arial" w:cs="Arial" w:eastAsia="Arial" w:hAnsi="Arial"/>
          <w:sz w:val="22"/>
          <w:szCs w:val="22"/>
          <w:color w:val="auto"/>
        </w:rPr>
        <w:t>” means that certain Credit Agreement dated as of the date hereof by and between SJWTX, Inc. and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Statement</w:t>
      </w:r>
      <w:r>
        <w:rPr>
          <w:rFonts w:ascii="Arial" w:cs="Arial" w:eastAsia="Arial" w:hAnsi="Arial"/>
          <w:sz w:val="22"/>
          <w:szCs w:val="22"/>
          <w:color w:val="auto"/>
        </w:rPr>
        <w:t>” has the meaning assigned to such term in Section 2.16(c).</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Board to which the Lender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the Lender under such Regulation D of the Board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direct or indirect subsidiary of the Borrower or Holdco, as the context requires.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“Supported QFC” has the meaning assigned to it in Section 8.18.</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Agreement</w:t>
      </w:r>
      <w:r>
        <w:rPr>
          <w:rFonts w:ascii="Arial" w:cs="Arial" w:eastAsia="Arial" w:hAnsi="Arial"/>
          <w:sz w:val="21"/>
          <w:szCs w:val="21"/>
          <w:color w:val="auto"/>
        </w:rPr>
        <w:t xml:space="preserve">” means any agreement with respect to any swap, forward, spot, future, credit default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598" w:right="339" w:bottom="1440" w:gutter="0" w:footer="0" w:header="0"/>
        </w:sectPr>
      </w:pPr>
    </w:p>
    <w:bookmarkStart w:id="146" w:name="page147"/>
    <w:bookmarkEnd w:id="146"/>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“U.S. Special Resolution Regime” has the meaning assigned to it in Section 8.18.</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has the meaning assigned to such term in Section in Section 2.15(g).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Wells Facility</w:t>
      </w:r>
      <w:r>
        <w:rPr>
          <w:rFonts w:ascii="Arial" w:cs="Arial" w:eastAsia="Arial" w:hAnsi="Arial"/>
          <w:sz w:val="22"/>
          <w:szCs w:val="22"/>
          <w:color w:val="008000"/>
          <w:strike w:val="1"/>
        </w:rPr>
        <w:t>” has the meaning assigned to such term in Section</w:t>
      </w:r>
      <w:r>
        <w:rPr>
          <w:rFonts w:ascii="Arial" w:cs="Arial" w:eastAsia="Arial" w:hAnsi="Arial"/>
          <w:sz w:val="22"/>
          <w:szCs w:val="22"/>
          <w:color w:val="FF0000"/>
          <w:strike w:val="1"/>
        </w:rPr>
        <w:t xml:space="preserve"> 4.01(f).</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“Eurodollar Loan”). Borrowings also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“Eurodollar Borrowing”).</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Terms Generally</w:t>
      </w:r>
      <w:r>
        <w:rPr>
          <w:rFonts w:ascii="Arial" w:cs="Arial" w:eastAsia="Arial" w:hAnsi="Arial"/>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604" w:right="339" w:bottom="1440" w:gutter="0" w:footer="0" w:header="0"/>
        </w:sectPr>
      </w:pPr>
    </w:p>
    <w:bookmarkStart w:id="147" w:name="page148"/>
    <w:bookmarkEnd w:id="147"/>
    <w:p>
      <w:pPr>
        <w:jc w:val="both"/>
        <w:spacing w:after="0" w:line="287" w:lineRule="auto"/>
        <w:rPr>
          <w:sz w:val="20"/>
          <w:szCs w:val="20"/>
          <w:color w:val="auto"/>
        </w:rPr>
      </w:pPr>
      <w:r>
        <w:rPr>
          <w:rFonts w:ascii="Arial" w:cs="Arial" w:eastAsia="Arial" w:hAnsi="Arial"/>
          <w:sz w:val="19"/>
          <w:szCs w:val="19"/>
          <w:color w:val="auto"/>
        </w:rPr>
        <w:t>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6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the date hereof there occurs any change in GAAP or in the application thereof on the operation of any provision hereof and the Borrower notifies the Lender that the Borrower requests an amendment to any provision hereof to eliminate the effect of change in GAAP or in the application thereof (or if the Lender notifies the Borrower that the Lender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Borrower, Holdco or any Subsidiary of Holdco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b w:val="1"/>
          <w:bCs w:val="1"/>
          <w:u w:val="single" w:color="auto"/>
          <w:color w:val="0000FF"/>
        </w:rPr>
        <w:t>SECTION 1.05. Interest Rates; LIBOR Notification. The interest rate on Eurodollar Loans is determined by reference to the LIBO Rate, which is derived from the London interbank offered rate (“LIBOR”). LIBOR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604" w:right="339" w:bottom="1440" w:gutter="0" w:footer="0" w:header="0"/>
        </w:sectPr>
      </w:pPr>
    </w:p>
    <w:bookmarkStart w:id="148" w:name="page149"/>
    <w:bookmarkEnd w:id="148"/>
    <w:p>
      <w:pPr>
        <w:jc w:val="both"/>
        <w:spacing w:after="0" w:line="287" w:lineRule="auto"/>
        <w:rPr>
          <w:sz w:val="20"/>
          <w:szCs w:val="20"/>
          <w:color w:val="auto"/>
        </w:rPr>
      </w:pPr>
      <w:r>
        <w:rPr>
          <w:rFonts w:ascii="Arial" w:cs="Arial" w:eastAsia="Arial" w:hAnsi="Arial"/>
          <w:sz w:val="19"/>
          <w:szCs w:val="19"/>
          <w:b w:val="1"/>
          <w:bCs w:val="1"/>
          <w:u w:val="single" w:color="auto"/>
          <w:color w:val="0000FF"/>
        </w:rPr>
        <w:t>Benchmark Administrator, the “IBA”) for purposes of the IBA setting LIBOR. As a result, it is possible that commencing in 2022, LIBOR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LIBOR. In the event a Benchmark Transition Event occurs, Section 2.12(c) of this Agreement provides a mechanism for determining an alternative rate of interest. The Lender will notify the Borrower, pursuant to Section 2.12(c), in advance of any change to the reference rate upon which the interest rate of Eurodollar Loans is based. However, the Lender does not warrant or accept any responsibility for, and shall not have any liability with respect to, the administration, submission or any other matter related to LIBOR or other rates in the definition of “LIBO Rate” or with respect to any alternative, successor rate thereto, or replacement rate thereof, including without limitation, whether the composition or characteristics of any such alternative, successor or replacement reference rate will be similar to, or produce the same value or economic equivalence of the LIBO Rate or have the same volume or liquidity as did LIBOR prior to its discontinuance or unavailability.</w:t>
      </w:r>
    </w:p>
    <w:p>
      <w:pPr>
        <w:spacing w:after="0" w:line="15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b w:val="1"/>
          <w:bCs w:val="1"/>
          <w:u w:val="single" w:color="auto"/>
          <w:color w:val="0000FF"/>
        </w:rPr>
        <w:t>SECTION 1.06.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CREDITS</w:t>
      </w:r>
    </w:p>
    <w:p>
      <w:pPr>
        <w:spacing w:after="0" w:line="22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Subject to the terms and conditions set forth herein, the Lender agrees to make Loans in dollars to the Borrower from time to time during the Availability Period in an aggregate principal amount that will not result in the Exposure exceeding the Commitment. Within the foregoing limits and subject to the terms and conditions set forth herein, the Borrower may borrow, prepay and reborrow Loans.</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Loan shall be made as part of a Borrowing consisting of Loans of the same Type.</w:t>
      </w:r>
    </w:p>
    <w:p>
      <w:pPr>
        <w:spacing w:after="0" w:line="233" w:lineRule="exact"/>
        <w:rPr>
          <w:rFonts w:ascii="Arial" w:cs="Arial" w:eastAsia="Arial" w:hAnsi="Arial"/>
          <w:sz w:val="22"/>
          <w:szCs w:val="22"/>
          <w:color w:val="auto"/>
        </w:rPr>
      </w:pPr>
    </w:p>
    <w:p>
      <w:pPr>
        <w:jc w:val="both"/>
        <w:ind w:firstLine="1304"/>
        <w:spacing w:after="0" w:line="254" w:lineRule="auto"/>
        <w:tabs>
          <w:tab w:leader="none" w:pos="178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Subject to Section 2.12, each Borrowing shall be comprised entirely of ABR Loans or Eurodollar Loans as the Borrower may request in accordance 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Borrowings made on the Effective Date must be made as ABR Borrowings but may be converted into Eurodollar Borrowings in accordance with Section 2.06. The Lender at its option may make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598" w:right="339" w:bottom="1440" w:gutter="0" w:footer="0" w:header="0"/>
        </w:sectPr>
      </w:pPr>
    </w:p>
    <w:bookmarkStart w:id="149" w:name="page150"/>
    <w:bookmarkEnd w:id="149"/>
    <w:p>
      <w:pPr>
        <w:jc w:val="both"/>
        <w:spacing w:after="0" w:line="250" w:lineRule="auto"/>
        <w:rPr>
          <w:sz w:val="20"/>
          <w:szCs w:val="20"/>
          <w:color w:val="auto"/>
        </w:rPr>
      </w:pPr>
      <w:r>
        <w:rPr>
          <w:rFonts w:ascii="Arial" w:cs="Arial" w:eastAsia="Arial" w:hAnsi="Arial"/>
          <w:sz w:val="22"/>
          <w:szCs w:val="22"/>
          <w:color w:val="auto"/>
        </w:rPr>
        <w:t xml:space="preserve">any Eurodollar Loan by causing any domestic or foreign branch or Affiliate of the Lender to make such Loan (and in the case of an Affiliate, the provisions of Sections 2.12, 2.13, 2.14 and 2.15 shall apply to such Affiliate to the same extent as to the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w:t>
      </w:r>
    </w:p>
    <w:p>
      <w:pPr>
        <w:spacing w:after="0" w:line="188" w:lineRule="exact"/>
        <w:rPr>
          <w:sz w:val="20"/>
          <w:szCs w:val="20"/>
          <w:color w:val="auto"/>
        </w:rPr>
      </w:pPr>
    </w:p>
    <w:p>
      <w:pPr>
        <w:jc w:val="both"/>
        <w:ind w:firstLine="1304"/>
        <w:spacing w:after="0" w:line="254" w:lineRule="auto"/>
        <w:tabs>
          <w:tab w:leader="none" w:pos="175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At the commencement of each Interest Period for any Eurodollar Borrowing, such Borrowing shall be in an aggregate amount that is an integral multiple of $1,000,000 and not less than $5,000,000. ABR Borrowings may be in any amount. Borrowings of more than one Type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shall not at any time be more than a total of ten Eurodollar Borrowings outstanding.</w:t>
      </w:r>
    </w:p>
    <w:p>
      <w:pPr>
        <w:spacing w:after="0" w:line="184" w:lineRule="exact"/>
        <w:rPr>
          <w:rFonts w:ascii="Arial" w:cs="Arial" w:eastAsia="Arial" w:hAnsi="Arial"/>
          <w:sz w:val="22"/>
          <w:szCs w:val="22"/>
          <w:color w:val="auto"/>
        </w:rPr>
      </w:pPr>
    </w:p>
    <w:p>
      <w:pPr>
        <w:jc w:val="both"/>
        <w:ind w:firstLine="1304"/>
        <w:spacing w:after="0" w:line="259" w:lineRule="auto"/>
        <w:tabs>
          <w:tab w:leader="none" w:pos="178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Borrowing Procedures; Requests for Borrowings</w:t>
      </w:r>
      <w:r>
        <w:rPr>
          <w:rFonts w:ascii="Arial" w:cs="Arial" w:eastAsia="Arial" w:hAnsi="Arial"/>
          <w:sz w:val="21"/>
          <w:szCs w:val="21"/>
          <w:color w:val="auto"/>
        </w:rPr>
        <w:t xml:space="preserve">. To request a Borrowing, the Borrower shall notify the Lender of such request either in writing (delivered by hand, fax or electronic email)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signed by the Borrower or by telephone (a) in the case of a Eurodollar Borrowing, not later than 10:00 a.m., Pacific time, three (3) Business Days before the date of the proposed Borrowing or (b) in the case of an ABR Borrowing, not later than noon, Pacific time, on the date of the proposed Borrowing;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of a an ABR Borrowing to finance the reimbursement of an LC Disbursement as contemplated by Section 2.04(d) may be given not later than 10:00 a.m., Pacific time, on the date of the proposed Borrowing. Each such telephonic Borrowing Request shall be irrevocable and shall be confirmed promptly by hand delivery, fax or electronic mail to the Lender of a written Borrowing Request in a form approved by the Lender and signed by the Borrower. Each such telephonic and written Borrowing Request shall specify the following information in compliance with Section 2.01:</w:t>
      </w:r>
    </w:p>
    <w:p>
      <w:pPr>
        <w:spacing w:after="0" w:line="178" w:lineRule="exact"/>
        <w:rPr>
          <w:sz w:val="20"/>
          <w:szCs w:val="20"/>
          <w:color w:val="auto"/>
        </w:rPr>
      </w:pPr>
    </w:p>
    <w:p>
      <w:pPr>
        <w:ind w:left="2360" w:hanging="408"/>
        <w:spacing w:after="0"/>
        <w:tabs>
          <w:tab w:leader="none" w:pos="23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aggregate amount of the requested Borrowing, and a breakdown of the separate wires comprising</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such Borrowing;</w:t>
      </w:r>
    </w:p>
    <w:p>
      <w:pPr>
        <w:spacing w:after="0" w:line="215" w:lineRule="exact"/>
        <w:rPr>
          <w:rFonts w:ascii="Arial" w:cs="Arial" w:eastAsia="Arial" w:hAnsi="Arial"/>
          <w:sz w:val="19"/>
          <w:szCs w:val="19"/>
          <w:color w:val="auto"/>
        </w:rPr>
      </w:pPr>
    </w:p>
    <w:p>
      <w:pPr>
        <w:ind w:left="2400" w:hanging="448"/>
        <w:spacing w:after="0"/>
        <w:tabs>
          <w:tab w:leader="none" w:pos="24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33" w:lineRule="exact"/>
        <w:rPr>
          <w:rFonts w:ascii="Arial" w:cs="Arial" w:eastAsia="Arial" w:hAnsi="Arial"/>
          <w:sz w:val="22"/>
          <w:szCs w:val="22"/>
          <w:color w:val="auto"/>
        </w:rPr>
      </w:pPr>
    </w:p>
    <w:p>
      <w:pPr>
        <w:ind w:left="2460" w:hanging="508"/>
        <w:spacing w:after="0"/>
        <w:tabs>
          <w:tab w:leader="none" w:pos="24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Eurodollar Borrowing; and</w:t>
      </w:r>
    </w:p>
    <w:p>
      <w:pPr>
        <w:spacing w:after="0" w:line="233" w:lineRule="exact"/>
        <w:rPr>
          <w:rFonts w:ascii="Arial" w:cs="Arial" w:eastAsia="Arial" w:hAnsi="Arial"/>
          <w:sz w:val="22"/>
          <w:szCs w:val="22"/>
          <w:color w:val="auto"/>
        </w:rPr>
      </w:pPr>
    </w:p>
    <w:p>
      <w:pPr>
        <w:ind w:left="660" w:firstLine="1292"/>
        <w:spacing w:after="0" w:line="276" w:lineRule="auto"/>
        <w:tabs>
          <w:tab w:leader="none" w:pos="246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604" w:right="339" w:bottom="1440" w:gutter="0" w:footer="0" w:header="0"/>
        </w:sectPr>
      </w:pPr>
    </w:p>
    <w:bookmarkStart w:id="150" w:name="page151"/>
    <w:bookmarkEnd w:id="150"/>
    <w:p>
      <w:pPr>
        <w:ind w:left="1300"/>
        <w:spacing w:after="0"/>
        <w:tabs>
          <w:tab w:leader="none" w:pos="28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837"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set forth herein, the Borrower may request the issuance of Letters of Credit denominated in dollars as the applicant thereof for the support of its or its Subsidiaries’ obligations, in a form reasonably acceptable to the Lender,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Lender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2.10(b)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w:t>
      </w:r>
    </w:p>
    <w:p>
      <w:pPr>
        <w:spacing w:after="0" w:line="180" w:lineRule="exact"/>
        <w:rPr>
          <w:rFonts w:ascii="Arial" w:cs="Arial" w:eastAsia="Arial" w:hAnsi="Arial"/>
          <w:sz w:val="21"/>
          <w:szCs w:val="21"/>
          <w:color w:val="auto"/>
        </w:rPr>
      </w:pPr>
    </w:p>
    <w:p>
      <w:pPr>
        <w:jc w:val="both"/>
        <w:ind w:firstLine="1304"/>
        <w:spacing w:after="0" w:line="288" w:lineRule="auto"/>
        <w:tabs>
          <w:tab w:leader="none" w:pos="1741"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To request the issuance of a Letter of Credit (or the amendment, renewal or extension of an outstanding Letter of Credit), the Borrower shall hand deliver or fax (or transmit by electronic communication, if arrangements for doing so have been approved by the Lender) to the Lender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Lender, the Borrower also shall submit a letter of credit application on the Lender’s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$10,000,000 and (ii) the Exposure shall not exceed the Commitment.</w:t>
      </w:r>
    </w:p>
    <w:p>
      <w:pPr>
        <w:spacing w:after="0" w:line="155" w:lineRule="exact"/>
        <w:rPr>
          <w:rFonts w:ascii="Arial" w:cs="Arial" w:eastAsia="Arial" w:hAnsi="Arial"/>
          <w:sz w:val="19"/>
          <w:szCs w:val="19"/>
          <w:color w:val="auto"/>
        </w:rPr>
      </w:pPr>
    </w:p>
    <w:p>
      <w:pPr>
        <w:jc w:val="both"/>
        <w:ind w:firstLine="1304"/>
        <w:spacing w:after="0" w:line="251" w:lineRule="auto"/>
        <w:tabs>
          <w:tab w:leader="none" w:pos="17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Each Letter of Credit shall expire (or be subject to termination or non-renewal by notice from the Lender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Maturity Date.</w:t>
      </w:r>
    </w:p>
    <w:p>
      <w:pPr>
        <w:spacing w:after="0" w:line="189" w:lineRule="exact"/>
        <w:rPr>
          <w:rFonts w:ascii="Arial" w:cs="Arial" w:eastAsia="Arial" w:hAnsi="Arial"/>
          <w:sz w:val="22"/>
          <w:szCs w:val="22"/>
          <w:color w:val="auto"/>
        </w:rPr>
      </w:pPr>
    </w:p>
    <w:p>
      <w:pPr>
        <w:ind w:firstLine="1304"/>
        <w:spacing w:after="0" w:line="276" w:lineRule="auto"/>
        <w:tabs>
          <w:tab w:leader="none" w:pos="172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 If the Lender shall make any LC Disbursement in respect of a Letter of Credit, the Borrower shall reimburse such LC Disbursement by paying to the Lender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604" w:right="339" w:bottom="1440" w:gutter="0" w:footer="0" w:header="0"/>
        </w:sectPr>
      </w:pPr>
    </w:p>
    <w:bookmarkStart w:id="151" w:name="page152"/>
    <w:bookmarkEnd w:id="151"/>
    <w:p>
      <w:pPr>
        <w:jc w:val="both"/>
        <w:spacing w:after="0" w:line="292" w:lineRule="auto"/>
        <w:rPr>
          <w:sz w:val="20"/>
          <w:szCs w:val="20"/>
          <w:color w:val="auto"/>
        </w:rPr>
      </w:pPr>
      <w:r>
        <w:rPr>
          <w:rFonts w:ascii="Arial" w:cs="Arial" w:eastAsia="Arial" w:hAnsi="Arial"/>
          <w:sz w:val="19"/>
          <w:szCs w:val="19"/>
          <w:color w:val="auto"/>
        </w:rPr>
        <w:t xml:space="preserve">an amount equal to such LC Disbursement not later than 11:00 a.m., Pacific time, on (i) the Business Day that the Borrower receives notice of such LC Disbursement, if such notice is received prior to 9:00 a.m., Pacific time, on the day of receipt, or (ii) the Business Day immediately following the day that the Borrower receives such notice, if such notice is received after 9:00 a.m., Pacific time, on the day of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greater than or equal to $3,000,000, the Borrower may, subject to the conditions to borrowing set forth herein, request in accordance with Section 2.03 or 2.05 that such payment be financed initially with an ABR Borrowing in an equivalent amount and, to the extent so financed, the Borrower’s obligation to make such payment shall be discharged and replaced by the resulting ABR Borrowing.</w:t>
      </w:r>
    </w:p>
    <w:p>
      <w:pPr>
        <w:spacing w:after="0" w:line="151" w:lineRule="exact"/>
        <w:rPr>
          <w:sz w:val="20"/>
          <w:szCs w:val="20"/>
          <w:color w:val="auto"/>
        </w:rPr>
      </w:pPr>
    </w:p>
    <w:p>
      <w:pPr>
        <w:jc w:val="both"/>
        <w:ind w:firstLine="1304"/>
        <w:spacing w:after="0" w:line="285" w:lineRule="auto"/>
        <w:tabs>
          <w:tab w:leader="none" w:pos="202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paragraph (d) of this Section shall be absolute, unconditional and irrevocable, and shall be performed strictly in accordance with the terms of this Agreement under any and all circumstances whatsoever and irrespective of any (i) lack of validity or enforceability of any Letter of Credit or this Agreement, or any term or provision therein or herein, (ii) draft or other document presented under a Letter of Credit proving to be forged, fraudulent or invalid in any respect or any statement therein being untrue or inaccurate in any respect, (iii) payment by the Lender under a Letter of Credit against presentation of a draft or other document that does not comply with the terms of such Letter of Credit, or (iv) other event or circumstance whatsoever, whether or not similar to any of the foregoing, that might, but for the provisions of this Section, constitute a legal or equitable discharge of, or provide a right of setoff against, the Borrower’s obligations hereunder. Neither the Lender nor any of its Related Parties, shall have any liability or responsibility by reason of or in connection with the issuance or transfer of any Letter of Credit,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Lender’s failure to exercise care when determining whether drafts and other documents presented under a Letter of Credit comply with the terms thereof. The parties hereto expressly agree that, in the absence of gross negligence or willful misconduct on the part of the Lender (as finally determined by a court of competent jurisdiction), the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1304"/>
        <w:spacing w:after="0" w:line="276" w:lineRule="auto"/>
        <w:tabs>
          <w:tab w:leader="none" w:pos="1759"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The Lender shall, promptly following its receipt thereof, examine all documents purporting to represent a demand for payment under a Letter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604" w:right="339" w:bottom="1440" w:gutter="0" w:footer="0" w:header="0"/>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 xml:space="preserve">Credit. The Lender shall promptly notify the Borrower by telephone (confirmed by fax or electronic mail) of such demand for payment and whether the Lender has made or will make an LC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Borrower of its obligation to reimburse the Lender with respect to any such LC Disbursement.</w:t>
      </w:r>
    </w:p>
    <w:p>
      <w:pPr>
        <w:spacing w:after="0" w:line="188" w:lineRule="exact"/>
        <w:rPr>
          <w:sz w:val="20"/>
          <w:szCs w:val="20"/>
          <w:color w:val="auto"/>
        </w:rPr>
      </w:pPr>
    </w:p>
    <w:p>
      <w:pPr>
        <w:jc w:val="both"/>
        <w:ind w:firstLine="1304"/>
        <w:spacing w:after="0" w:line="248" w:lineRule="auto"/>
        <w:tabs>
          <w:tab w:leader="none" w:pos="178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Interim Interest</w:t>
      </w:r>
      <w:r>
        <w:rPr>
          <w:rFonts w:ascii="Arial" w:cs="Arial" w:eastAsia="Arial" w:hAnsi="Arial"/>
          <w:sz w:val="22"/>
          <w:szCs w:val="22"/>
          <w:color w:val="auto"/>
        </w:rPr>
        <w:t xml:space="preserve">. If the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due and payable on the date when such reimbursement is due;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Borrower fails to reimburse such LC Disbursement when due pursuant to paragraph (d) of this Section, then Section 2.11(c) shall apply. Interest accrued pursuant to this paragraph shall be for the account of the Lender.</w:t>
      </w:r>
    </w:p>
    <w:p>
      <w:pPr>
        <w:spacing w:after="0" w:line="195" w:lineRule="exact"/>
        <w:rPr>
          <w:rFonts w:ascii="Arial" w:cs="Arial" w:eastAsia="Arial" w:hAnsi="Arial"/>
          <w:sz w:val="22"/>
          <w:szCs w:val="22"/>
          <w:color w:val="auto"/>
        </w:rPr>
      </w:pPr>
    </w:p>
    <w:p>
      <w:pPr>
        <w:jc w:val="both"/>
        <w:ind w:firstLine="1304"/>
        <w:spacing w:after="0" w:line="286" w:lineRule="auto"/>
        <w:tabs>
          <w:tab w:leader="none" w:pos="1768"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any Default shall occur and be continuing, on the Business Day that the Borrower receives notice from the Lender demanding the deposit of cash collateral pursuant to this paragraph, the Borrower shall deposit in an account with the Lender, in the name and for the benefit of the Lender (the “</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xml:space="preserve">”), an amount in cash equal to 105% of the amount of the LC Exposure as of such date plus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(i) or (j) of Article VII. The Borrower also shall deposit cash collateral in accordance with this paragraph as and to the extent required by Section 2.09(b). Each such deposit shall be held by the Lender as collateral for the payment and performance of the Obligations. The Lender shall have exclusive dominion and control, including the exclusive right of withdrawal, over the LC Collateral Account and the Borrower hereby grants the Lender a security interest in the LC Collateral Account and all moneys or other assets on deposit therein or credited thereto. Other than any interest earned on the investment of such deposits, which investments shall be made at the option and sole discretion of the Lender and at the Borrower’s risk and expense, such deposits shall not bear interest. Interest or profits, if any, on such investments shall accumulate in such account. Moneys in such account shall be applied by the Lender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If the Borrower is required to provide an amount of cash collateral hereunder as a result of the occurrence of a Default, such amount (to the extent not applied as aforesaid) shall be returned to the Borrower within three (3) Business Days after all such Defaults have been cured or waived as confirmed in writing by the Lender.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54" w:lineRule="auto"/>
        <w:tabs>
          <w:tab w:leader="none" w:pos="1707"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LC Exposure Determination</w:t>
      </w:r>
      <w:r>
        <w:rPr>
          <w:rFonts w:ascii="Arial" w:cs="Arial" w:eastAsia="Arial" w:hAnsi="Arial"/>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604" w:right="339" w:bottom="1440" w:gutter="0" w:footer="0" w:header="0"/>
        </w:sectPr>
      </w:pPr>
    </w:p>
    <w:bookmarkStart w:id="153" w:name="page154"/>
    <w:bookmarkEnd w:id="153"/>
    <w:p>
      <w:pPr>
        <w:jc w:val="both"/>
        <w:ind w:firstLine="1296"/>
        <w:spacing w:after="0" w:line="254"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 xml:space="preserve">. The Lender shall make each Loan to be made by it hereunder on the proposed date thereof available to the Borrower by promptly crediting the amounts in immediately available funds, to the Funding Account;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ABR Loans made to finance the reimbursement of an LC Disbursement as provided in Section 2.04(d) shall be remitted to the Lender.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9" w:lineRule="auto"/>
        <w:tabs>
          <w:tab w:leader="none" w:pos="174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and the Loans comprising each such portion shall be considered a separate Borrowing.</w:t>
      </w:r>
    </w:p>
    <w:p>
      <w:pPr>
        <w:spacing w:after="0" w:line="193" w:lineRule="exact"/>
        <w:rPr>
          <w:rFonts w:ascii="Arial" w:cs="Arial" w:eastAsia="Arial" w:hAnsi="Arial"/>
          <w:sz w:val="22"/>
          <w:szCs w:val="22"/>
          <w:color w:val="auto"/>
        </w:rPr>
      </w:pPr>
    </w:p>
    <w:p>
      <w:pPr>
        <w:jc w:val="both"/>
        <w:ind w:firstLine="1304"/>
        <w:spacing w:after="0" w:line="300" w:lineRule="auto"/>
        <w:tabs>
          <w:tab w:leader="none" w:pos="1863"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Lender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fax or electronic mail to the Lender of a written Interest Election Request in a form approved by the Lender and signed by the Borrower.</w:t>
      </w:r>
    </w:p>
    <w:p>
      <w:pPr>
        <w:spacing w:after="0" w:line="146" w:lineRule="exact"/>
        <w:rPr>
          <w:rFonts w:ascii="Arial" w:cs="Arial" w:eastAsia="Arial" w:hAnsi="Arial"/>
          <w:sz w:val="19"/>
          <w:szCs w:val="19"/>
          <w:color w:val="auto"/>
        </w:rPr>
      </w:pPr>
    </w:p>
    <w:p>
      <w:pPr>
        <w:ind w:left="1760" w:hanging="456"/>
        <w:spacing w:after="0"/>
        <w:tabs>
          <w:tab w:leader="none" w:pos="17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2.02:</w:t>
      </w:r>
    </w:p>
    <w:p>
      <w:pPr>
        <w:spacing w:after="0" w:line="215" w:lineRule="exact"/>
        <w:rPr>
          <w:rFonts w:ascii="Arial" w:cs="Arial" w:eastAsia="Arial" w:hAnsi="Arial"/>
          <w:sz w:val="19"/>
          <w:szCs w:val="19"/>
          <w:color w:val="auto"/>
        </w:rPr>
      </w:pPr>
    </w:p>
    <w:p>
      <w:pPr>
        <w:jc w:val="both"/>
        <w:ind w:left="660" w:firstLine="1292"/>
        <w:spacing w:after="0" w:line="254" w:lineRule="auto"/>
        <w:tabs>
          <w:tab w:leader="none" w:pos="2461"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 and (iii) below shall be specified for each resulting Borrowing);</w:t>
      </w:r>
    </w:p>
    <w:p>
      <w:pPr>
        <w:spacing w:after="0" w:line="184" w:lineRule="exact"/>
        <w:rPr>
          <w:rFonts w:ascii="Arial" w:cs="Arial" w:eastAsia="Arial" w:hAnsi="Arial"/>
          <w:sz w:val="22"/>
          <w:szCs w:val="22"/>
          <w:color w:val="auto"/>
        </w:rPr>
      </w:pPr>
    </w:p>
    <w:p>
      <w:pPr>
        <w:ind w:left="2460" w:hanging="508"/>
        <w:spacing w:after="0"/>
        <w:tabs>
          <w:tab w:leader="none" w:pos="24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215" w:lineRule="exact"/>
        <w:rPr>
          <w:rFonts w:ascii="Arial" w:cs="Arial" w:eastAsia="Arial" w:hAnsi="Arial"/>
          <w:sz w:val="19"/>
          <w:szCs w:val="19"/>
          <w:color w:val="auto"/>
        </w:rPr>
      </w:pPr>
    </w:p>
    <w:p>
      <w:pPr>
        <w:ind w:left="2460" w:hanging="508"/>
        <w:spacing w:after="0"/>
        <w:tabs>
          <w:tab w:leader="none" w:pos="24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Eurodollar Borrowing; and</w:t>
      </w:r>
    </w:p>
    <w:p>
      <w:pPr>
        <w:spacing w:after="0" w:line="233" w:lineRule="exact"/>
        <w:rPr>
          <w:rFonts w:ascii="Arial" w:cs="Arial" w:eastAsia="Arial" w:hAnsi="Arial"/>
          <w:sz w:val="22"/>
          <w:szCs w:val="22"/>
          <w:color w:val="auto"/>
        </w:rPr>
      </w:pPr>
    </w:p>
    <w:p>
      <w:pPr>
        <w:ind w:left="660" w:firstLine="1292"/>
        <w:spacing w:after="0" w:line="358" w:lineRule="auto"/>
        <w:tabs>
          <w:tab w:leader="none" w:pos="244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604" w:right="339" w:bottom="1440" w:gutter="0" w:footer="0" w:header="0"/>
        </w:sectPr>
      </w:pPr>
    </w:p>
    <w:bookmarkStart w:id="154" w:name="page155"/>
    <w:bookmarkEnd w:id="154"/>
    <w:p>
      <w:pPr>
        <w:jc w:val="both"/>
        <w:ind w:firstLine="1304"/>
        <w:spacing w:after="0" w:line="297" w:lineRule="auto"/>
        <w:tabs>
          <w:tab w:leader="none" w:pos="180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Lender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46"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Termination and Reduction of Commitment</w:t>
      </w:r>
      <w:r>
        <w:rPr>
          <w:rFonts w:ascii="Arial" w:cs="Arial" w:eastAsia="Arial" w:hAnsi="Arial"/>
          <w:sz w:val="19"/>
          <w:szCs w:val="19"/>
          <w:color w:val="auto"/>
        </w:rPr>
        <w:t>.</w:t>
      </w:r>
    </w:p>
    <w:p>
      <w:pPr>
        <w:spacing w:after="0" w:line="233" w:lineRule="exact"/>
        <w:rPr>
          <w:sz w:val="20"/>
          <w:szCs w:val="20"/>
          <w:color w:val="auto"/>
        </w:rPr>
      </w:pPr>
    </w:p>
    <w:p>
      <w:pPr>
        <w:ind w:left="1720" w:hanging="416"/>
        <w:spacing w:after="0"/>
        <w:tabs>
          <w:tab w:leader="none" w:pos="17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Unless previously terminated, the Commitment shall terminate on the Maturity Date.</w:t>
      </w:r>
    </w:p>
    <w:p>
      <w:pPr>
        <w:spacing w:after="0" w:line="233" w:lineRule="exact"/>
        <w:rPr>
          <w:rFonts w:ascii="Arial" w:cs="Arial" w:eastAsia="Arial" w:hAnsi="Arial"/>
          <w:sz w:val="22"/>
          <w:szCs w:val="22"/>
          <w:color w:val="auto"/>
        </w:rPr>
      </w:pPr>
    </w:p>
    <w:p>
      <w:pPr>
        <w:jc w:val="both"/>
        <w:ind w:firstLine="1304"/>
        <w:spacing w:after="0" w:line="297" w:lineRule="auto"/>
        <w:tabs>
          <w:tab w:leader="none" w:pos="180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Borrower may at any time terminate the Commitment upon (i) the payment in full of all outstanding Loans and LC Disbursements, together with accrued and unpaid interest thereon, (ii) the cancellation and return of all outstanding Letters of Credit (or alternatively, with respect to each such Letter of Credit, the furnishing to the Lender of a cash deposit (or at the discretion of the Lender a backup standby letter of credit satisfactory to the Lender)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46" w:lineRule="exact"/>
        <w:rPr>
          <w:rFonts w:ascii="Arial" w:cs="Arial" w:eastAsia="Arial" w:hAnsi="Arial"/>
          <w:sz w:val="19"/>
          <w:szCs w:val="19"/>
          <w:color w:val="auto"/>
        </w:rPr>
      </w:pPr>
    </w:p>
    <w:p>
      <w:pPr>
        <w:jc w:val="both"/>
        <w:ind w:firstLine="1304"/>
        <w:spacing w:after="0" w:line="254" w:lineRule="auto"/>
        <w:tabs>
          <w:tab w:leader="none" w:pos="186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The Borrower may from time to time reduce the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Commitment shall be in an amount that is an integral multiple of $1,000,000 and not less than $5,000,000 and (ii) the Borrower shall not terminate or reduce the Commitment if, after giving effect to any concurrent prepayment of the Loans in accordance with Section 2.09, the Exposure would exceed the Commitment.</w:t>
      </w:r>
    </w:p>
    <w:p>
      <w:pPr>
        <w:spacing w:after="0" w:line="184" w:lineRule="exact"/>
        <w:rPr>
          <w:rFonts w:ascii="Arial" w:cs="Arial" w:eastAsia="Arial" w:hAnsi="Arial"/>
          <w:sz w:val="22"/>
          <w:szCs w:val="22"/>
          <w:color w:val="auto"/>
        </w:rPr>
      </w:pPr>
    </w:p>
    <w:p>
      <w:pPr>
        <w:jc w:val="both"/>
        <w:ind w:firstLine="1304"/>
        <w:spacing w:after="0" w:line="248" w:lineRule="auto"/>
        <w:tabs>
          <w:tab w:leader="none" w:pos="191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The Borrower shall notify the Lender of any election to terminate or reduce the Commitment under paragraphs (b) or (c) of this Section at least three (3) Business Days prior to the effective date of such termination, specifying such election and the effective date thereof. Each notice delivered by the Borrower pursuant to this Section shall be irrevocable;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notice of termination or reduction of the Commitment delivered by the Borrower may state that such notice is conditioned upon the effectiveness of other credit facilities, in which case such notice may be revoked by the Borrower (by notice to the Lender on or prior to the specified effective date) if such condition is not satisfied. Any termination or reduction of the Commitment shall be permanent.</w:t>
      </w:r>
    </w:p>
    <w:p>
      <w:pPr>
        <w:spacing w:after="0" w:line="19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Repayment and Amortization of Loans; Evidence of Debt</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6" w:lineRule="auto"/>
        <w:tabs>
          <w:tab w:leader="none" w:pos="175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the Lender the then unpaid principal amount of each Loan on the Maturity Date.</w:t>
      </w:r>
    </w:p>
    <w:p>
      <w:pPr>
        <w:spacing w:after="0" w:line="160" w:lineRule="exact"/>
        <w:rPr>
          <w:rFonts w:ascii="Arial" w:cs="Arial" w:eastAsia="Arial" w:hAnsi="Arial"/>
          <w:sz w:val="22"/>
          <w:szCs w:val="22"/>
          <w:color w:val="auto"/>
        </w:rPr>
      </w:pPr>
    </w:p>
    <w:p>
      <w:pPr>
        <w:ind w:firstLine="1304"/>
        <w:spacing w:after="0" w:line="276" w:lineRule="auto"/>
        <w:tabs>
          <w:tab w:leader="none" w:pos="186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Lender shall maintain in accordance with its usual practice an account or accounts evidencing the Indebtedness of the Borrower to the Lender resulting from each Loan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604"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made by the Lender, including the amounts of principal and interest payable and paid to the Lender from time to time hereunder.</w:t>
      </w:r>
    </w:p>
    <w:p>
      <w:pPr>
        <w:spacing w:after="0" w:line="254" w:lineRule="exact"/>
        <w:rPr>
          <w:sz w:val="20"/>
          <w:szCs w:val="20"/>
          <w:color w:val="auto"/>
        </w:rPr>
      </w:pPr>
    </w:p>
    <w:p>
      <w:pPr>
        <w:jc w:val="both"/>
        <w:ind w:firstLine="1304"/>
        <w:spacing w:after="0" w:line="254" w:lineRule="auto"/>
        <w:tabs>
          <w:tab w:leader="none" w:pos="172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Lender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Lender hereunder.</w:t>
      </w:r>
    </w:p>
    <w:p>
      <w:pPr>
        <w:spacing w:after="0" w:line="184" w:lineRule="exact"/>
        <w:rPr>
          <w:rFonts w:ascii="Arial" w:cs="Arial" w:eastAsia="Arial" w:hAnsi="Arial"/>
          <w:sz w:val="22"/>
          <w:szCs w:val="22"/>
          <w:color w:val="auto"/>
        </w:rPr>
      </w:pPr>
    </w:p>
    <w:p>
      <w:pPr>
        <w:jc w:val="both"/>
        <w:ind w:firstLine="1304"/>
        <w:spacing w:after="0" w:line="254" w:lineRule="auto"/>
        <w:tabs>
          <w:tab w:leader="none" w:pos="178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(b) or (c) of this Section shall be </w:t>
      </w:r>
      <w:r>
        <w:rPr>
          <w:rFonts w:ascii="Arial" w:cs="Arial" w:eastAsia="Arial" w:hAnsi="Arial"/>
          <w:sz w:val="22"/>
          <w:szCs w:val="22"/>
          <w:u w:val="single" w:color="auto"/>
          <w:color w:val="auto"/>
        </w:rPr>
        <w:t>prima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Lender to maintain such accounts or any error therein shall not in any manner affect the obligation of the Borrower to repay the Loans in accordance with the terms of this Agreement.</w:t>
      </w:r>
    </w:p>
    <w:p>
      <w:pPr>
        <w:spacing w:after="0" w:line="184" w:lineRule="exact"/>
        <w:rPr>
          <w:rFonts w:ascii="Arial" w:cs="Arial" w:eastAsia="Arial" w:hAnsi="Arial"/>
          <w:sz w:val="22"/>
          <w:szCs w:val="22"/>
          <w:color w:val="auto"/>
        </w:rPr>
      </w:pPr>
    </w:p>
    <w:p>
      <w:pPr>
        <w:jc w:val="both"/>
        <w:ind w:firstLine="1304"/>
        <w:spacing w:after="0" w:line="264" w:lineRule="auto"/>
        <w:tabs>
          <w:tab w:leader="none" w:pos="1851"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Lender may request that Loans made by it be evidenced by a promissory note. In such event, the Borrower shall prepare, execute and deliver to the Lender a promissory note payable to the order of the Lender (or, if requested by the Lender, to the Lender and its registered assigns) and in a form approved by the Lender. Thereafter, the Loans evidenced by such promissory note and interest thereon shall at all times (including after assignment pursuant to Section 8.04) be represented by one or more promissory notes in such form payable to the order of the payee named therein (or, if such promissory note is a registered note, to such payee and its registered assigns).</w:t>
      </w:r>
    </w:p>
    <w:p>
      <w:pPr>
        <w:spacing w:after="0" w:line="17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72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Borrower shall have the right at any time and from time to time to prepay any Borrowing in whole or in part, subject to prior notice in accordance with paragraph (e) of this Section and, if applicable, payment of any break funding expenses under Section 2.14.</w:t>
      </w:r>
    </w:p>
    <w:p>
      <w:pPr>
        <w:spacing w:after="0" w:line="180" w:lineRule="exact"/>
        <w:rPr>
          <w:rFonts w:ascii="Arial" w:cs="Arial" w:eastAsia="Arial" w:hAnsi="Arial"/>
          <w:sz w:val="22"/>
          <w:szCs w:val="22"/>
          <w:color w:val="auto"/>
        </w:rPr>
      </w:pPr>
    </w:p>
    <w:p>
      <w:pPr>
        <w:ind w:firstLine="1304"/>
        <w:spacing w:after="0" w:line="276" w:lineRule="auto"/>
        <w:tabs>
          <w:tab w:leader="none" w:pos="174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event and on such occasion that the Exposure exceeds the Commitment, the Borrower shall prepay the Loans and LC Exposure.</w:t>
      </w:r>
    </w:p>
    <w:p>
      <w:pPr>
        <w:spacing w:after="0" w:line="160" w:lineRule="exact"/>
        <w:rPr>
          <w:rFonts w:ascii="Arial" w:cs="Arial" w:eastAsia="Arial" w:hAnsi="Arial"/>
          <w:sz w:val="22"/>
          <w:szCs w:val="22"/>
          <w:color w:val="auto"/>
        </w:rPr>
      </w:pPr>
    </w:p>
    <w:p>
      <w:pPr>
        <w:ind w:left="1760" w:hanging="456"/>
        <w:spacing w:after="0"/>
        <w:tabs>
          <w:tab w:leader="none" w:pos="17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Borrower shall notify the Lender by telephone (confirmed by fax or electronic mail) of any prepayment</w:t>
      </w:r>
    </w:p>
    <w:p>
      <w:pPr>
        <w:spacing w:after="0" w:line="55"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19"/>
          <w:szCs w:val="19"/>
          <w:color w:val="auto"/>
        </w:rPr>
        <w:t xml:space="preserve">under this Section: (i) in the case of prepayment of a Eurodollar Borrowing, not later than 10:00 a.m., Pacific time, three (3) Business Days before the date of prepayment, or (ii) in the case of prepayment of an ABR Borrowing, not later than 10:00 a.m., Pacific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 as contemplated by Section 2.07, then such notice of prepayment may be revoked if such notice of termination is revoked in accordance with Section 2.07.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604"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accrued interest to the extent required by Section 2.11 and (ii) break funding payments pursuant to Section 2.14.</w:t>
      </w:r>
    </w:p>
    <w:p>
      <w:pPr>
        <w:spacing w:after="0" w:line="220" w:lineRule="exact"/>
        <w:rPr>
          <w:sz w:val="20"/>
          <w:szCs w:val="20"/>
          <w:color w:val="auto"/>
        </w:rPr>
      </w:pPr>
    </w:p>
    <w:p>
      <w:pPr>
        <w:ind w:firstLine="1304"/>
        <w:spacing w:after="0" w:line="276" w:lineRule="auto"/>
        <w:tabs>
          <w:tab w:leader="none" w:pos="176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At least one time during each two-year period of this Agreement, the Loans outstanding shall be reduced to zero for a period of at least 30 consecutive days.</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61" w:lineRule="auto"/>
        <w:tabs>
          <w:tab w:leader="none" w:pos="171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Borrower agrees to pay to the Lender a commitment fee, which shall accrue at the Applicable Rate on the daily amount of the undrawn portion of the Commitment of the Lender during the period from and including the Effective Date to but excluding the date on which the Lender’s Commitment terminates; it being understood that the LC Exposure shall be included in the drawn portion of the Commitment for purposes of calculating the commitment fee. Accrued commitment fees shall be payable in arrears on the last day of March, June, September and December of each year and on the date on which the Commitment terminates,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0" w:lineRule="exact"/>
        <w:rPr>
          <w:rFonts w:ascii="Arial" w:cs="Arial" w:eastAsia="Arial" w:hAnsi="Arial"/>
          <w:sz w:val="21"/>
          <w:szCs w:val="21"/>
          <w:color w:val="auto"/>
        </w:rPr>
      </w:pPr>
    </w:p>
    <w:p>
      <w:pPr>
        <w:jc w:val="both"/>
        <w:ind w:firstLine="1304"/>
        <w:spacing w:after="0" w:line="289" w:lineRule="auto"/>
        <w:tabs>
          <w:tab w:leader="none" w:pos="179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Borrower agrees to pay (i) to the Lender a letter of credit fee with respect to Letters of Credit, which shall accrue at the Letter of Credit Fee Rate on the daily amount of the Lender’s LC Exposure during the period from and including the Effective Date to but excluding the later of the date on which the Lender’s Commitment terminates and the date on which the Lender ceases to have any LC Exposure, and (ii) the Lender’s standard fees and commissions with respect to the issuance, amendment, cancellation, negotiation, transfer, presentment, renewal or extension of any Letter of Credit or processing of drawings thereunder. Letter of credit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Commitment terminates and any such fees accruing after the date on which the Commitment terminates shall be payable on demand. Any other fees payable to the Lender pursuant to this paragraph shall be payable within ten (10) days after demand. All letter of credit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firstLine="1304"/>
        <w:spacing w:after="0" w:line="276" w:lineRule="auto"/>
        <w:tabs>
          <w:tab w:leader="none" w:pos="171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Borrower agrees to pay to the Lender the fees in the amounts set forth in the fee letter dated as of June 1, 2016 between the Borrower and Lender on the terms set forth in such fee letter.</w:t>
      </w:r>
    </w:p>
    <w:p>
      <w:pPr>
        <w:spacing w:after="0" w:line="160" w:lineRule="exact"/>
        <w:rPr>
          <w:rFonts w:ascii="Arial" w:cs="Arial" w:eastAsia="Arial" w:hAnsi="Arial"/>
          <w:sz w:val="22"/>
          <w:szCs w:val="22"/>
          <w:color w:val="auto"/>
        </w:rPr>
      </w:pPr>
    </w:p>
    <w:p>
      <w:pPr>
        <w:ind w:firstLine="1304"/>
        <w:spacing w:after="0" w:line="276" w:lineRule="auto"/>
        <w:tabs>
          <w:tab w:leader="none" w:pos="172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Lender. Fees paid shall not be refundable under any circumstances.</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Loans comprising each ABR Borrowing shall bear interest at the Alternate Base Rate plus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604" w:right="339" w:bottom="1440" w:gutter="0" w:footer="0" w:header="0"/>
        </w:sectPr>
      </w:pPr>
    </w:p>
    <w:bookmarkStart w:id="157" w:name="page158"/>
    <w:bookmarkEnd w:id="157"/>
    <w:p>
      <w:pPr>
        <w:ind w:firstLine="1304"/>
        <w:spacing w:after="0" w:line="276" w:lineRule="auto"/>
        <w:tabs>
          <w:tab w:leader="none" w:pos="183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Loans comprising each Eurodollar Borrowing shall bear interest at the Adjusted LIBO Rate for the Interest Period in effect for such Borrowing plus the Applicable Rate.</w:t>
      </w:r>
    </w:p>
    <w:p>
      <w:pPr>
        <w:spacing w:after="0" w:line="160" w:lineRule="exact"/>
        <w:rPr>
          <w:rFonts w:ascii="Arial" w:cs="Arial" w:eastAsia="Arial" w:hAnsi="Arial"/>
          <w:sz w:val="22"/>
          <w:szCs w:val="22"/>
          <w:color w:val="auto"/>
        </w:rPr>
      </w:pPr>
    </w:p>
    <w:p>
      <w:pPr>
        <w:jc w:val="both"/>
        <w:ind w:firstLine="1304"/>
        <w:spacing w:after="0" w:line="307" w:lineRule="auto"/>
        <w:tabs>
          <w:tab w:leader="none" w:pos="17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Notwithstanding the foregoing, during the occurrence and continuance of an Event of Default, the Lender may, at its option, by notice to the Borrower,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37" w:lineRule="exact"/>
        <w:rPr>
          <w:rFonts w:ascii="Arial" w:cs="Arial" w:eastAsia="Arial" w:hAnsi="Arial"/>
          <w:sz w:val="19"/>
          <w:szCs w:val="19"/>
          <w:color w:val="auto"/>
        </w:rPr>
      </w:pPr>
    </w:p>
    <w:p>
      <w:pPr>
        <w:jc w:val="both"/>
        <w:ind w:firstLine="1304"/>
        <w:spacing w:after="0" w:line="294" w:lineRule="auto"/>
        <w:tabs>
          <w:tab w:leader="none" w:pos="17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Accrued interest on each Loan (for ABR Loans, accrued through the last day of the prior calendar month) shall be payable in arrears on each Interest Payment Date for such Loan and, in the case of Loans, upon termination of the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51" w:lineRule="exact"/>
        <w:rPr>
          <w:rFonts w:ascii="Arial" w:cs="Arial" w:eastAsia="Arial" w:hAnsi="Arial"/>
          <w:sz w:val="19"/>
          <w:szCs w:val="19"/>
          <w:color w:val="auto"/>
        </w:rPr>
      </w:pPr>
    </w:p>
    <w:p>
      <w:pPr>
        <w:jc w:val="both"/>
        <w:ind w:firstLine="1304"/>
        <w:spacing w:after="0" w:line="300" w:lineRule="auto"/>
        <w:tabs>
          <w:tab w:leader="none" w:pos="172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Lender, and such determination shall be conclusive absent manifest error.</w:t>
      </w:r>
    </w:p>
    <w:p>
      <w:pPr>
        <w:spacing w:after="0" w:line="14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b w:val="1"/>
          <w:bCs w:val="1"/>
          <w:u w:val="single" w:color="auto"/>
          <w:color w:val="0000FF"/>
        </w:rPr>
        <w:t>; Illegality</w:t>
      </w:r>
      <w:r>
        <w:rPr>
          <w:rFonts w:ascii="Arial" w:cs="Arial" w:eastAsia="Arial" w:hAnsi="Arial"/>
          <w:sz w:val="19"/>
          <w:szCs w:val="19"/>
          <w:color w:val="auto"/>
        </w:rPr>
        <w:t>.</w:t>
      </w:r>
    </w:p>
    <w:p>
      <w:pPr>
        <w:spacing w:after="0" w:line="239" w:lineRule="exact"/>
        <w:rPr>
          <w:sz w:val="20"/>
          <w:szCs w:val="20"/>
          <w:color w:val="auto"/>
        </w:rPr>
      </w:pPr>
    </w:p>
    <w:p>
      <w:pPr>
        <w:ind w:left="1740" w:hanging="436"/>
        <w:spacing w:after="0"/>
        <w:tabs>
          <w:tab w:leader="none" w:pos="1740" w:val="left"/>
        </w:tabs>
        <w:numPr>
          <w:ilvl w:val="0"/>
          <w:numId w:val="141"/>
        </w:numPr>
        <w:rPr>
          <w:rFonts w:ascii="Arial" w:cs="Arial" w:eastAsia="Arial" w:hAnsi="Arial"/>
          <w:sz w:val="22"/>
          <w:szCs w:val="22"/>
          <w:b w:val="1"/>
          <w:bCs w:val="1"/>
          <w:u w:val="single" w:color="auto"/>
          <w:color w:val="0000FF"/>
        </w:rPr>
      </w:pPr>
      <w:r>
        <w:rPr>
          <w:rFonts w:ascii="Arial" w:cs="Arial" w:eastAsia="Arial" w:hAnsi="Arial"/>
          <w:sz w:val="22"/>
          <w:szCs w:val="22"/>
          <w:color w:val="auto"/>
        </w:rPr>
        <w:t>If prior to the commencement of any Interest Period for a Eurodollar Borrowing:</w:t>
      </w:r>
    </w:p>
    <w:p>
      <w:pPr>
        <w:spacing w:after="0" w:line="233" w:lineRule="exact"/>
        <w:rPr>
          <w:rFonts w:ascii="Arial" w:cs="Arial" w:eastAsia="Arial" w:hAnsi="Arial"/>
          <w:sz w:val="22"/>
          <w:szCs w:val="22"/>
          <w:b w:val="1"/>
          <w:bCs w:val="1"/>
          <w:u w:val="single" w:color="auto"/>
          <w:color w:val="0000FF"/>
        </w:rPr>
      </w:pPr>
    </w:p>
    <w:p>
      <w:pPr>
        <w:jc w:val="both"/>
        <w:ind w:left="660" w:firstLine="1292"/>
        <w:spacing w:after="0" w:line="266" w:lineRule="auto"/>
        <w:tabs>
          <w:tab w:leader="none" w:pos="2340" w:val="left"/>
        </w:tabs>
        <w:numPr>
          <w:ilvl w:val="1"/>
          <w:numId w:val="141"/>
        </w:numPr>
        <w:rPr>
          <w:rFonts w:ascii="Arial" w:cs="Arial" w:eastAsia="Arial" w:hAnsi="Arial"/>
          <w:sz w:val="21"/>
          <w:szCs w:val="21"/>
          <w:b w:val="1"/>
          <w:bCs w:val="1"/>
          <w:u w:val="single" w:color="auto"/>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the Lender determines (which determination shall be conclusive and binding absent manifest error)</w:t>
      </w:r>
      <w:r>
        <w:rPr>
          <w:rFonts w:ascii="Arial" w:cs="Arial" w:eastAsia="Arial" w:hAnsi="Arial"/>
          <w:sz w:val="21"/>
          <w:szCs w:val="21"/>
          <w:color w:val="FF0000"/>
        </w:rPr>
        <w:t xml:space="preserve"> </w:t>
      </w:r>
      <w:r>
        <w:rPr>
          <w:rFonts w:ascii="Arial" w:cs="Arial" w:eastAsia="Arial" w:hAnsi="Arial"/>
          <w:sz w:val="21"/>
          <w:szCs w:val="21"/>
          <w:color w:val="000000"/>
        </w:rPr>
        <w:t xml:space="preserve">that adequate and reasonable means do not exist for ascertaining </w:t>
      </w:r>
      <w:r>
        <w:rPr>
          <w:rFonts w:ascii="Arial" w:cs="Arial" w:eastAsia="Arial" w:hAnsi="Arial"/>
          <w:sz w:val="21"/>
          <w:szCs w:val="21"/>
          <w:u w:val="single" w:color="auto"/>
          <w:color w:val="008000"/>
        </w:rPr>
        <w:t>the Adjusted LIBO Rate or</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the LIBO Rate, as</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applicable</w:t>
      </w:r>
      <w:r>
        <w:rPr>
          <w:rFonts w:ascii="Arial" w:cs="Arial" w:eastAsia="Arial" w:hAnsi="Arial"/>
          <w:sz w:val="21"/>
          <w:szCs w:val="21"/>
          <w:b w:val="1"/>
          <w:bCs w:val="1"/>
          <w:color w:val="0000FF"/>
        </w:rPr>
        <w:t xml:space="preserve"> </w:t>
      </w:r>
      <w:r>
        <w:rPr>
          <w:rFonts w:ascii="Arial" w:cs="Arial" w:eastAsia="Arial" w:hAnsi="Arial"/>
          <w:sz w:val="21"/>
          <w:szCs w:val="21"/>
          <w:color w:val="000000"/>
        </w:rPr>
        <w:t>(including, without limitation, by means of an Interpolated Rate</w:t>
      </w:r>
      <w:r>
        <w:rPr>
          <w:rFonts w:ascii="Arial" w:cs="Arial" w:eastAsia="Arial" w:hAnsi="Arial"/>
          <w:sz w:val="21"/>
          <w:szCs w:val="21"/>
          <w:color w:val="FF0000"/>
          <w:strike w:val="1"/>
        </w:rPr>
        <w:t>)</w:t>
      </w:r>
      <w:r>
        <w:rPr>
          <w:rFonts w:ascii="Arial" w:cs="Arial" w:eastAsia="Arial" w:hAnsi="Arial"/>
          <w:sz w:val="21"/>
          <w:szCs w:val="21"/>
          <w:b w:val="1"/>
          <w:bCs w:val="1"/>
          <w:color w:val="0000FF"/>
        </w:rPr>
        <w:t xml:space="preserve"> </w:t>
      </w:r>
      <w:r>
        <w:rPr>
          <w:rFonts w:ascii="Arial" w:cs="Arial" w:eastAsia="Arial" w:hAnsi="Arial"/>
          <w:sz w:val="21"/>
          <w:szCs w:val="21"/>
          <w:color w:val="008000"/>
          <w:strike w:val="1"/>
        </w:rPr>
        <w:t>the Adjusted LIBO Rate or</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or because</w:t>
      </w:r>
      <w:r>
        <w:rPr>
          <w:rFonts w:ascii="Arial" w:cs="Arial" w:eastAsia="Arial" w:hAnsi="Arial"/>
          <w:sz w:val="21"/>
          <w:szCs w:val="21"/>
          <w:b w:val="1"/>
          <w:bCs w:val="1"/>
          <w:color w:val="0000FF"/>
        </w:rPr>
        <w:t xml:space="preserve"> </w:t>
      </w:r>
      <w:r>
        <w:rPr>
          <w:rFonts w:ascii="Arial" w:cs="Arial" w:eastAsia="Arial" w:hAnsi="Arial"/>
          <w:sz w:val="21"/>
          <w:szCs w:val="21"/>
          <w:color w:val="000000"/>
        </w:rPr>
        <w:t>the</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LIBO </w:t>
      </w:r>
      <w:r>
        <w:rPr>
          <w:rFonts w:ascii="Arial" w:cs="Arial" w:eastAsia="Arial" w:hAnsi="Arial"/>
          <w:sz w:val="21"/>
          <w:szCs w:val="21"/>
          <w:b w:val="1"/>
          <w:bCs w:val="1"/>
          <w:u w:val="single" w:color="auto"/>
          <w:color w:val="0000FF"/>
        </w:rPr>
        <w:t>Screen</w:t>
      </w:r>
      <w:r>
        <w:rPr>
          <w:rFonts w:ascii="Arial" w:cs="Arial" w:eastAsia="Arial" w:hAnsi="Arial"/>
          <w:sz w:val="21"/>
          <w:szCs w:val="21"/>
          <w:color w:val="000000"/>
        </w:rPr>
        <w:t xml:space="preserve"> Rate</w:t>
      </w:r>
      <w:r>
        <w:rPr>
          <w:rFonts w:ascii="Arial" w:cs="Arial" w:eastAsia="Arial" w:hAnsi="Arial"/>
          <w:sz w:val="21"/>
          <w:szCs w:val="21"/>
          <w:color w:val="FF0000"/>
          <w:strike w:val="1"/>
        </w:rPr>
        <w:t>, as applicable,</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is not available or published on a current basis)</w:t>
      </w:r>
      <w:r>
        <w:rPr>
          <w:rFonts w:ascii="Arial" w:cs="Arial" w:eastAsia="Arial" w:hAnsi="Arial"/>
          <w:sz w:val="21"/>
          <w:szCs w:val="21"/>
          <w:color w:val="000000"/>
        </w:rPr>
        <w:t xml:space="preserve"> for such Interest Period; </w:t>
      </w:r>
      <w:r>
        <w:rPr>
          <w:rFonts w:ascii="Arial" w:cs="Arial" w:eastAsia="Arial" w:hAnsi="Arial"/>
          <w:sz w:val="21"/>
          <w:szCs w:val="21"/>
          <w:b w:val="1"/>
          <w:bCs w:val="1"/>
          <w:u w:val="single" w:color="auto"/>
          <w:color w:val="0000FF"/>
        </w:rPr>
        <w:t>provided</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that no Benchmark Transition Event shall have occurred at such time;</w:t>
      </w:r>
      <w:r>
        <w:rPr>
          <w:rFonts w:ascii="Arial" w:cs="Arial" w:eastAsia="Arial" w:hAnsi="Arial"/>
          <w:sz w:val="21"/>
          <w:szCs w:val="21"/>
          <w:b w:val="1"/>
          <w:bCs w:val="1"/>
          <w:color w:val="0000FF"/>
        </w:rPr>
        <w:t xml:space="preserve"> </w:t>
      </w:r>
      <w:r>
        <w:rPr>
          <w:rFonts w:ascii="Arial" w:cs="Arial" w:eastAsia="Arial" w:hAnsi="Arial"/>
          <w:sz w:val="21"/>
          <w:szCs w:val="21"/>
          <w:color w:val="000000"/>
        </w:rPr>
        <w:t>or</w:t>
      </w:r>
    </w:p>
    <w:p>
      <w:pPr>
        <w:spacing w:after="0" w:line="173" w:lineRule="exact"/>
        <w:rPr>
          <w:rFonts w:ascii="Arial" w:cs="Arial" w:eastAsia="Arial" w:hAnsi="Arial"/>
          <w:sz w:val="21"/>
          <w:szCs w:val="21"/>
          <w:b w:val="1"/>
          <w:bCs w:val="1"/>
          <w:u w:val="single" w:color="auto"/>
          <w:color w:val="0000FF"/>
        </w:rPr>
      </w:pPr>
    </w:p>
    <w:p>
      <w:pPr>
        <w:jc w:val="both"/>
        <w:ind w:left="660" w:firstLine="1292"/>
        <w:spacing w:after="0" w:line="254" w:lineRule="auto"/>
        <w:tabs>
          <w:tab w:leader="none" w:pos="2427" w:val="left"/>
        </w:tabs>
        <w:numPr>
          <w:ilvl w:val="1"/>
          <w:numId w:val="141"/>
        </w:numPr>
        <w:rPr>
          <w:rFonts w:ascii="Arial" w:cs="Arial" w:eastAsia="Arial" w:hAnsi="Arial"/>
          <w:sz w:val="22"/>
          <w:szCs w:val="22"/>
          <w:b w:val="1"/>
          <w:bCs w:val="1"/>
          <w:u w:val="single" w:color="auto"/>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the Lender determines the Adjusted LIBO Rate or the LIBO Rate, as applicable, for such Interest</w:t>
      </w:r>
      <w:r>
        <w:rPr>
          <w:rFonts w:ascii="Arial" w:cs="Arial" w:eastAsia="Arial" w:hAnsi="Arial"/>
          <w:sz w:val="22"/>
          <w:szCs w:val="22"/>
          <w:color w:val="FF0000"/>
        </w:rPr>
        <w:t xml:space="preserve"> </w:t>
      </w:r>
      <w:r>
        <w:rPr>
          <w:rFonts w:ascii="Arial" w:cs="Arial" w:eastAsia="Arial" w:hAnsi="Arial"/>
          <w:sz w:val="22"/>
          <w:szCs w:val="22"/>
          <w:color w:val="000000"/>
        </w:rPr>
        <w:t xml:space="preserve">Period will not adequately and fairly reflect the cost to the Lender of making or maintaining its </w:t>
      </w:r>
      <w:r>
        <w:rPr>
          <w:rFonts w:ascii="Arial" w:cs="Arial" w:eastAsia="Arial" w:hAnsi="Arial"/>
          <w:sz w:val="22"/>
          <w:szCs w:val="22"/>
          <w:b w:val="1"/>
          <w:bCs w:val="1"/>
          <w:u w:val="single" w:color="auto"/>
          <w:color w:val="0000FF"/>
        </w:rPr>
        <w:t>Loans (or</w:t>
      </w:r>
      <w:r>
        <w:rPr>
          <w:rFonts w:ascii="Arial" w:cs="Arial" w:eastAsia="Arial" w:hAnsi="Arial"/>
          <w:sz w:val="22"/>
          <w:szCs w:val="22"/>
          <w:color w:val="000000"/>
        </w:rPr>
        <w:t xml:space="preserve"> Loan</w:t>
      </w:r>
      <w:r>
        <w:rPr>
          <w:rFonts w:ascii="Arial" w:cs="Arial" w:eastAsia="Arial" w:hAnsi="Arial"/>
          <w:sz w:val="22"/>
          <w:szCs w:val="22"/>
          <w:b w:val="1"/>
          <w:bCs w:val="1"/>
          <w:u w:val="single" w:color="auto"/>
          <w:color w:val="0000FF"/>
        </w:rPr>
        <w:t>)</w:t>
      </w:r>
      <w:r>
        <w:rPr>
          <w:rFonts w:ascii="Arial" w:cs="Arial" w:eastAsia="Arial" w:hAnsi="Arial"/>
          <w:sz w:val="22"/>
          <w:szCs w:val="22"/>
          <w:color w:val="000000"/>
        </w:rPr>
        <w:t xml:space="preserve"> included in such Borrowing for such Interest Period; </w:t>
      </w:r>
      <w:r>
        <w:rPr>
          <w:rFonts w:ascii="Arial" w:cs="Arial" w:eastAsia="Arial" w:hAnsi="Arial"/>
          <w:sz w:val="22"/>
          <w:szCs w:val="22"/>
          <w:b w:val="1"/>
          <w:bCs w:val="1"/>
          <w:u w:val="single" w:color="auto"/>
          <w:color w:val="0000FF"/>
        </w:rPr>
        <w:t>provided that no Benchmark Transition Event shall have occurred at</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such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604" w:right="339" w:bottom="1440" w:gutter="0" w:footer="0" w:header="0"/>
        </w:sectPr>
      </w:pPr>
    </w:p>
    <w:bookmarkStart w:id="158" w:name="page159"/>
    <w:bookmarkEnd w:id="158"/>
    <w:p>
      <w:pPr>
        <w:jc w:val="both"/>
        <w:ind w:left="660"/>
        <w:spacing w:after="0" w:line="246" w:lineRule="auto"/>
        <w:rPr>
          <w:sz w:val="20"/>
          <w:szCs w:val="20"/>
          <w:color w:val="auto"/>
        </w:rPr>
      </w:pPr>
      <w:r>
        <w:rPr>
          <w:rFonts w:ascii="Arial" w:cs="Arial" w:eastAsia="Arial" w:hAnsi="Arial"/>
          <w:sz w:val="22"/>
          <w:szCs w:val="22"/>
          <w:color w:val="auto"/>
        </w:rPr>
        <w:t>then the Lender shall give notice thereof to the Borrower by telephone, fax or electronic communication as provided in Section 8.01 as promptly as practicable thereafter and, until the Lender notifies the Borrower that the circumstances giving rise to such notice no longer exist, (</w:t>
      </w:r>
      <w:r>
        <w:rPr>
          <w:rFonts w:ascii="Arial" w:cs="Arial" w:eastAsia="Arial" w:hAnsi="Arial"/>
          <w:sz w:val="22"/>
          <w:szCs w:val="22"/>
          <w:color w:val="FF0000"/>
          <w:strike w:val="1"/>
        </w:rPr>
        <w:t>i</w:t>
      </w:r>
      <w:r>
        <w:rPr>
          <w:rFonts w:ascii="Arial" w:cs="Arial" w:eastAsia="Arial" w:hAnsi="Arial"/>
          <w:sz w:val="22"/>
          <w:szCs w:val="22"/>
          <w:b w:val="1"/>
          <w:bCs w:val="1"/>
          <w:u w:val="single" w:color="auto"/>
          <w:color w:val="0000FF"/>
        </w:rPr>
        <w:t>A</w:t>
      </w:r>
      <w:r>
        <w:rPr>
          <w:rFonts w:ascii="Arial" w:cs="Arial" w:eastAsia="Arial" w:hAnsi="Arial"/>
          <w:sz w:val="22"/>
          <w:szCs w:val="22"/>
          <w:color w:val="auto"/>
        </w:rPr>
        <w:t xml:space="preserve">) any Interest Election Request that requests the conversion of any Borrowing to, or continuation of any Borrowing as, a Eurodollar Borrowing shall be ineffective and any such Eurodollar Borrowing shall be repaid </w:t>
      </w:r>
      <w:r>
        <w:rPr>
          <w:rFonts w:ascii="Arial" w:cs="Arial" w:eastAsia="Arial" w:hAnsi="Arial"/>
          <w:sz w:val="22"/>
          <w:szCs w:val="22"/>
          <w:b w:val="1"/>
          <w:bCs w:val="1"/>
          <w:u w:val="single" w:color="auto"/>
          <w:color w:val="0000FF"/>
        </w:rPr>
        <w:t>or converted into an ABR Borrowing</w:t>
      </w:r>
      <w:r>
        <w:rPr>
          <w:rFonts w:ascii="Arial" w:cs="Arial" w:eastAsia="Arial" w:hAnsi="Arial"/>
          <w:sz w:val="22"/>
          <w:szCs w:val="22"/>
          <w:color w:val="auto"/>
        </w:rPr>
        <w:t xml:space="preserve"> on the last day of the then current Interest Period applicable thereto, and (</w:t>
      </w:r>
      <w:r>
        <w:rPr>
          <w:rFonts w:ascii="Arial" w:cs="Arial" w:eastAsia="Arial" w:hAnsi="Arial"/>
          <w:sz w:val="22"/>
          <w:szCs w:val="22"/>
          <w:color w:val="FF0000"/>
          <w:strike w:val="1"/>
        </w:rPr>
        <w:t>ii</w:t>
      </w:r>
      <w:r>
        <w:rPr>
          <w:rFonts w:ascii="Arial" w:cs="Arial" w:eastAsia="Arial" w:hAnsi="Arial"/>
          <w:sz w:val="22"/>
          <w:szCs w:val="22"/>
          <w:b w:val="1"/>
          <w:bCs w:val="1"/>
          <w:u w:val="single" w:color="auto"/>
          <w:color w:val="0000FF"/>
        </w:rPr>
        <w:t>B</w:t>
      </w:r>
      <w:r>
        <w:rPr>
          <w:rFonts w:ascii="Arial" w:cs="Arial" w:eastAsia="Arial" w:hAnsi="Arial"/>
          <w:sz w:val="22"/>
          <w:szCs w:val="22"/>
          <w:color w:val="auto"/>
        </w:rPr>
        <w:t>) if any Borrowing Request requests a Eurodollar Borrowing, such Borrowing shall be made as an ABR Borrowing.</w:t>
      </w:r>
    </w:p>
    <w:p>
      <w:pPr>
        <w:spacing w:after="0" w:line="190" w:lineRule="exact"/>
        <w:rPr>
          <w:sz w:val="20"/>
          <w:szCs w:val="20"/>
          <w:color w:val="auto"/>
        </w:rPr>
      </w:pPr>
    </w:p>
    <w:p>
      <w:pPr>
        <w:jc w:val="both"/>
        <w:ind w:firstLine="1304"/>
        <w:spacing w:after="0" w:line="290" w:lineRule="auto"/>
        <w:tabs>
          <w:tab w:leader="none" w:pos="1767" w:val="left"/>
        </w:tabs>
        <w:numPr>
          <w:ilvl w:val="0"/>
          <w:numId w:val="14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the Lender determines that any Requirement of Law has made it unlawful, or if any Governmental Authority has asserted that it is unlawful, for the Lender or its applicable lending office to make, maintain, fund or continue any Eurodollar Borrowing, or any Governmental Authority has imposed material restrictions on the authority of the Lender to purchase or sell, or to take deposits of, dollars in the London interbank market, then, on notice thereof by the Lender to the Borrower, any obligations of the Lender to make, maintain, fund or continue Eurodollar Loans or to convert ABR Borrowings to Eurodollar Borrowings will be suspended until the Lender notifies the Borrower that the circumstances giving rise to such determination no longer exist. Upon receipt of such notice, the Borrower will upon demand from the Lender, either prepay or convert all Eurodollar Borrowings of the Lender to ABR Borrowings, either on the last day of the Interest Period therefor, if the Lender may lawfully continue to maintain such Eurodollar Borrowings to such day, or immediately, if the Lender may not lawfully continue to maintain such Loans. Upon any such prepayment or conversion, the Borrower will also pay accrued interest on the amount so prepaid or converted.</w:t>
      </w:r>
    </w:p>
    <w:p>
      <w:pPr>
        <w:spacing w:after="0" w:line="146" w:lineRule="exact"/>
        <w:rPr>
          <w:rFonts w:ascii="Arial" w:cs="Arial" w:eastAsia="Arial" w:hAnsi="Arial"/>
          <w:sz w:val="19"/>
          <w:szCs w:val="19"/>
          <w:b w:val="1"/>
          <w:bCs w:val="1"/>
          <w:u w:val="single" w:color="auto"/>
          <w:color w:val="0000FF"/>
        </w:rPr>
      </w:pPr>
    </w:p>
    <w:p>
      <w:pPr>
        <w:jc w:val="both"/>
        <w:ind w:firstLine="1304"/>
        <w:spacing w:after="0" w:line="285" w:lineRule="auto"/>
        <w:tabs>
          <w:tab w:leader="none" w:pos="1878" w:val="left"/>
        </w:tabs>
        <w:numPr>
          <w:ilvl w:val="0"/>
          <w:numId w:val="14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If a Benchmark Transition Event occurs, then the Lender may, by notice to Borrower, select an alternate rate of interest for the LIBO Rate that gives due consideration to the then-evolving or prevailing market convention for determining a rate of interest for loans in US Dollars at such time (the “Alternate Rate”); Borrower acknowledges that the Alternate Rate may include a mathematical adjustment using any then-evolving or prevailing market convention or method for determining a spread adjustment for the replacement of the LIBO Rate. For avoidance of doubt, all references to the LIBO Rate shall be deemed to be references to the Alternate Rate when the Alternate Rate becomes effective in accordance with this section. In addition, the Lender will have the right, from time to time by notice to Borrower to make technical, administrative or operational changes (including, without limitation, changes to the definition of “Interest Period”, timing and frequency of determining rates and making payments of interest and other administrative matters) that the Lender decides in its reasonable discretion may be appropriate to reflect the adoption and implementation of the Alternate Rate. The Alternate Rate, </w:t>
      </w:r>
      <w:r>
        <w:rPr>
          <w:rFonts w:ascii="Arial" w:cs="Arial" w:eastAsia="Arial" w:hAnsi="Arial"/>
          <w:sz w:val="19"/>
          <w:szCs w:val="19"/>
          <w:u w:val="single" w:color="auto"/>
          <w:color w:val="008000"/>
        </w:rPr>
        <w:t>together with all such</w:t>
      </w:r>
      <w:r>
        <w:rPr>
          <w:rFonts w:ascii="Arial" w:cs="Arial" w:eastAsia="Arial" w:hAnsi="Arial"/>
          <w:sz w:val="19"/>
          <w:szCs w:val="19"/>
          <w:b w:val="1"/>
          <w:bCs w:val="1"/>
          <w:u w:val="single" w:color="auto"/>
          <w:color w:val="0000FF"/>
        </w:rPr>
        <w:t xml:space="preserve"> technical, administrative and operational changes as specified in any notice, shall become effective at the later </w:t>
      </w:r>
      <w:r>
        <w:rPr>
          <w:rFonts w:ascii="Arial" w:cs="Arial" w:eastAsia="Arial" w:hAnsi="Arial"/>
          <w:sz w:val="19"/>
          <w:szCs w:val="19"/>
          <w:u w:val="single" w:color="auto"/>
          <w:color w:val="008000"/>
        </w:rPr>
        <w:t>of (i) the</w:t>
      </w:r>
      <w:r>
        <w:rPr>
          <w:rFonts w:ascii="Arial" w:cs="Arial" w:eastAsia="Arial" w:hAnsi="Arial"/>
          <w:sz w:val="19"/>
          <w:szCs w:val="19"/>
          <w:b w:val="1"/>
          <w:bCs w:val="1"/>
          <w:u w:val="single" w:color="auto"/>
          <w:color w:val="0000FF"/>
        </w:rPr>
        <w:t xml:space="preserve"> fifth (5th) Business Day after the</w:t>
      </w:r>
    </w:p>
    <w:p>
      <w:pPr>
        <w:spacing w:after="0" w:line="2" w:lineRule="exact"/>
        <w:rPr>
          <w:rFonts w:ascii="Arial" w:cs="Arial" w:eastAsia="Arial" w:hAnsi="Arial"/>
          <w:sz w:val="19"/>
          <w:szCs w:val="19"/>
          <w:b w:val="1"/>
          <w:bCs w:val="1"/>
          <w:u w:val="single" w:color="auto"/>
          <w:color w:val="0000FF"/>
        </w:rPr>
      </w:pPr>
    </w:p>
    <w:p>
      <w:pPr>
        <w:jc w:val="both"/>
        <w:spacing w:after="0" w:line="262" w:lineRule="auto"/>
        <w:rPr>
          <w:rFonts w:ascii="Arial" w:cs="Arial" w:eastAsia="Arial" w:hAnsi="Arial"/>
          <w:sz w:val="19"/>
          <w:szCs w:val="19"/>
          <w:b w:val="1"/>
          <w:bCs w:val="1"/>
          <w:u w:val="single" w:color="auto"/>
          <w:color w:val="0000FF"/>
        </w:rPr>
      </w:pPr>
      <w:r>
        <w:rPr>
          <w:rFonts w:ascii="Arial" w:cs="Arial" w:eastAsia="Arial" w:hAnsi="Arial"/>
          <w:sz w:val="21"/>
          <w:szCs w:val="21"/>
          <w:b w:val="1"/>
          <w:bCs w:val="1"/>
          <w:u w:val="single" w:color="auto"/>
          <w:color w:val="0000FF"/>
        </w:rPr>
        <w:t>Lender has provided notice to the Borrower (the “Notice Date”) and (ii) a date specified by the Lender in the notice, without any further action or consent of the Borrower, so long as Lender has not received, by 5:00pm Eastern time on the Notice Date, written notice of objection to the Alternate Rate from the Borrower.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604" w:right="339" w:bottom="1440" w:gutter="0" w:footer="0" w:header="0"/>
        </w:sectPr>
      </w:pPr>
    </w:p>
    <w:bookmarkStart w:id="159" w:name="page160"/>
    <w:bookmarkEnd w:id="159"/>
    <w:p>
      <w:pPr>
        <w:jc w:val="both"/>
        <w:spacing w:after="0" w:line="293" w:lineRule="auto"/>
        <w:rPr>
          <w:sz w:val="20"/>
          <w:szCs w:val="20"/>
          <w:color w:val="auto"/>
        </w:rPr>
      </w:pPr>
      <w:r>
        <w:rPr>
          <w:rFonts w:ascii="Arial" w:cs="Arial" w:eastAsia="Arial" w:hAnsi="Arial"/>
          <w:sz w:val="19"/>
          <w:szCs w:val="19"/>
          <w:b w:val="1"/>
          <w:bCs w:val="1"/>
          <w:u w:val="single" w:color="auto"/>
          <w:color w:val="0000FF"/>
        </w:rPr>
        <w:t>determination, decision, or election that may be made by the Lender pursuant to this section, including any determination with respect to a rate or adjustment or the occurrence or non-occurrence of an event, circumstance or date, and any decision to take or refrain from taking any action, will be conclusive and binding absent manifest error and may be made in its sole discretion and without consent from the Borrower. Until an Alternate Rate shall be determined in accordance with this section, the interest rate shall be equal to the sum of (a) the greater of (x) Prime Rate and (y) 2.50%, plus (b) the Applicable Rate with respect to the appropriate “ABR Rate Spread” specified within such Applicable Rate definition. In no event shall the Alternate Rate be less than 0.50%.</w:t>
      </w:r>
    </w:p>
    <w:p>
      <w:pPr>
        <w:spacing w:after="0" w:line="15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color w:val="auto"/>
        </w:rPr>
        <w:t>. If any Change in Law shall:</w:t>
      </w:r>
    </w:p>
    <w:p>
      <w:pPr>
        <w:spacing w:after="0" w:line="233" w:lineRule="exact"/>
        <w:rPr>
          <w:sz w:val="20"/>
          <w:szCs w:val="20"/>
          <w:color w:val="auto"/>
        </w:rPr>
      </w:pPr>
    </w:p>
    <w:p>
      <w:pPr>
        <w:jc w:val="both"/>
        <w:ind w:left="660" w:firstLine="1292"/>
        <w:spacing w:after="0" w:line="254" w:lineRule="auto"/>
        <w:tabs>
          <w:tab w:leader="none" w:pos="248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the Lender (except any such reserve requirement reflected in the Adjusted LIBO Rate); or</w:t>
      </w:r>
    </w:p>
    <w:p>
      <w:pPr>
        <w:spacing w:after="0" w:line="184" w:lineRule="exact"/>
        <w:rPr>
          <w:rFonts w:ascii="Arial" w:cs="Arial" w:eastAsia="Arial" w:hAnsi="Arial"/>
          <w:sz w:val="22"/>
          <w:szCs w:val="22"/>
          <w:color w:val="auto"/>
        </w:rPr>
      </w:pPr>
    </w:p>
    <w:p>
      <w:pPr>
        <w:ind w:left="660" w:firstLine="1292"/>
        <w:spacing w:after="0" w:line="276" w:lineRule="auto"/>
        <w:tabs>
          <w:tab w:leader="none" w:pos="2481" w:val="left"/>
        </w:tabs>
        <w:numPr>
          <w:ilvl w:val="1"/>
          <w:numId w:val="143"/>
        </w:numPr>
        <w:rPr>
          <w:rFonts w:ascii="Arial" w:cs="Arial" w:eastAsia="Arial" w:hAnsi="Arial"/>
          <w:sz w:val="22"/>
          <w:szCs w:val="22"/>
          <w:color w:val="auto"/>
        </w:rPr>
      </w:pPr>
      <w:r>
        <w:rPr>
          <w:rFonts w:ascii="Arial" w:cs="Arial" w:eastAsia="Arial" w:hAnsi="Arial"/>
          <w:sz w:val="22"/>
          <w:szCs w:val="22"/>
          <w:color w:val="auto"/>
        </w:rPr>
        <w:t>impose on the Lender or the London interbank market any other condition, cost or expense (other than Taxes) affecting this Agreement or Loans made by the Lender or any Letter of Credit; or</w:t>
      </w:r>
    </w:p>
    <w:p>
      <w:pPr>
        <w:spacing w:after="0" w:line="160" w:lineRule="exact"/>
        <w:rPr>
          <w:rFonts w:ascii="Arial" w:cs="Arial" w:eastAsia="Arial" w:hAnsi="Arial"/>
          <w:sz w:val="22"/>
          <w:szCs w:val="22"/>
          <w:color w:val="auto"/>
        </w:rPr>
      </w:pPr>
    </w:p>
    <w:p>
      <w:pPr>
        <w:ind w:left="2500" w:hanging="548"/>
        <w:spacing w:after="0"/>
        <w:tabs>
          <w:tab w:leader="none" w:pos="25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subject the Lender to any Taxes (other than (A) Indemnified Taxes, (B) Taxes described in clauses</w:t>
      </w:r>
    </w:p>
    <w:p>
      <w:pPr>
        <w:spacing w:after="0" w:line="55" w:lineRule="exact"/>
        <w:rPr>
          <w:rFonts w:ascii="Arial" w:cs="Arial" w:eastAsia="Arial" w:hAnsi="Arial"/>
          <w:sz w:val="19"/>
          <w:szCs w:val="19"/>
          <w:color w:val="auto"/>
        </w:rPr>
      </w:pPr>
    </w:p>
    <w:p>
      <w:pPr>
        <w:ind w:left="660" w:hanging="4"/>
        <w:spacing w:after="0" w:line="338" w:lineRule="auto"/>
        <w:tabs>
          <w:tab w:leader="none" w:pos="97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and the result of any of the foregoing shall be to increase the cost to the Lender of making, continuing, converting into or maintaining any Loan (or of maintaining its obligation to make any such Loan) or to increase the cost to the Lender of issuing or maintaining any Letter of Credit or to reduce the amount of any sum received or receivable by the Lender hereunder (whether of principal, interest or otherwise), then the Borrower will pay to the Lender such additional amount or amounts as will compensate the Lender for such additional costs incurred or reduction suffered.</w:t>
      </w:r>
    </w:p>
    <w:p>
      <w:pPr>
        <w:spacing w:after="0" w:line="175" w:lineRule="exact"/>
        <w:rPr>
          <w:sz w:val="20"/>
          <w:szCs w:val="20"/>
          <w:color w:val="auto"/>
        </w:rPr>
      </w:pPr>
    </w:p>
    <w:p>
      <w:pPr>
        <w:jc w:val="both"/>
        <w:ind w:firstLine="1304"/>
        <w:spacing w:after="0" w:line="262" w:lineRule="auto"/>
        <w:tabs>
          <w:tab w:leader="none" w:pos="179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If the Lender determines that any Change in Law regarding capital or liquidity requirements has or would have the effect of reducing the rate of return on the Lender’s capital or on the capital of the Lender’s holding company as a consequence of this Agreement, the Commitment of or the Loans made by Letters of Credit issued by the Lender to a level below that which the Lender or the Lender’s holding company could have achieved but for such Change in Law (taking into consideration the Lender’s policies and the policies of the Lender’s holding company with respect to capital adequacy and liquidity), then from time to time the Borrower will pay to the Lender such additional amount or amounts as will compensate the Lender or the Lender’s holding company for any such reduction suffered.</w:t>
      </w:r>
    </w:p>
    <w:p>
      <w:pPr>
        <w:spacing w:after="0" w:line="179" w:lineRule="exact"/>
        <w:rPr>
          <w:rFonts w:ascii="Arial" w:cs="Arial" w:eastAsia="Arial" w:hAnsi="Arial"/>
          <w:sz w:val="21"/>
          <w:szCs w:val="21"/>
          <w:color w:val="auto"/>
        </w:rPr>
      </w:pPr>
    </w:p>
    <w:p>
      <w:pPr>
        <w:ind w:right="20" w:firstLine="1304"/>
        <w:spacing w:after="0" w:line="276" w:lineRule="auto"/>
        <w:tabs>
          <w:tab w:leader="none" w:pos="178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certificate of the Lender setting forth the amount or amounts necessary to compensate the Lender or its holding company, as the case may be, as specified in paragraph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598" w:right="3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or (b) of this Section shall be delivered to the Borrower and shall be conclusive absent manifest error. The Borrower shall pay the Lender the amount shown as due on any such certificate within ten (10) days after receipt thereof.</w:t>
      </w:r>
    </w:p>
    <w:p>
      <w:pPr>
        <w:spacing w:after="0" w:line="175" w:lineRule="exact"/>
        <w:rPr>
          <w:sz w:val="20"/>
          <w:szCs w:val="20"/>
          <w:color w:val="auto"/>
        </w:rPr>
      </w:pPr>
    </w:p>
    <w:p>
      <w:pPr>
        <w:jc w:val="both"/>
        <w:ind w:firstLine="1304"/>
        <w:spacing w:after="0" w:line="248" w:lineRule="auto"/>
        <w:tabs>
          <w:tab w:leader="none" w:pos="187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Failure or delay on the part of the Lender to demand compensation pursuant to this Section shall not constitute a waiver of the Lender’s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compensate the Lender pursuant to this Section for any increased costs or reductions incurred more than 270 days prior to the date that the Lender notifies the Borrower of the Change in Law giving rise to such increased costs or reductions and of the Lender’s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 (a) the payment of any principal of any Eurodollar Loan other than on the last day of an Interest Period applicable thereto (including as a result of an Event of Default or as a result of any prepayment pursuant to Section 2.09), (b) the conversion of any Eurodollar Loan other than on the last day of the Interest Period applicable thereto, or (c) the failure to borrow, convert, continue or prepay any Eurodollar Loan on the date specified in any notice delivered pursuant hereto (regardless of whether such notice may be revoked under Section 2.07(c) and is revoked in accordance therewith), then, in any such event, the Borrower shall compensate the Lender for the loss, cost and expense attributable to such event. In the case of a Eurodollar Loan, such loss, cost or expense to the Lender shall be deemed to include an amount determined by the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the Lender would bid were it to bid, at the commencement of such period, for dollar deposits of a comparable amount and period from other banks in the eurodollar market. A certificate of the Lender setting forth any amount or amounts that the Lender is entitled to receive pursuant to this Section shall be delivered to the Borrower and shall be conclusive absent manifest error. The Borrower shall pay the Lender the amount shown as due on any such certificate within ten (10) days after receipt thereof.</w:t>
      </w:r>
    </w:p>
    <w:p>
      <w:pPr>
        <w:spacing w:after="0" w:line="16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48" w:lineRule="auto"/>
        <w:tabs>
          <w:tab w:leader="none" w:pos="1837"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Withholding Taxes; Gross-Up; Payments Free of Taxes</w:t>
      </w:r>
      <w:r>
        <w:rPr>
          <w:rFonts w:ascii="Arial" w:cs="Arial" w:eastAsia="Arial" w:hAnsi="Arial"/>
          <w:sz w:val="22"/>
          <w:szCs w:val="22"/>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604" w:right="339" w:bottom="1440" w:gutter="0" w:footer="0" w:header="0"/>
        </w:sectPr>
      </w:pPr>
    </w:p>
    <w:bookmarkStart w:id="161" w:name="page162"/>
    <w:bookmarkEnd w:id="161"/>
    <w:p>
      <w:pPr>
        <w:jc w:val="both"/>
        <w:spacing w:after="0" w:line="253" w:lineRule="auto"/>
        <w:rPr>
          <w:sz w:val="20"/>
          <w:szCs w:val="20"/>
          <w:color w:val="auto"/>
        </w:rPr>
      </w:pPr>
      <w:r>
        <w:rPr>
          <w:rFonts w:ascii="Arial" w:cs="Arial" w:eastAsia="Arial" w:hAnsi="Arial"/>
          <w:sz w:val="22"/>
          <w:szCs w:val="22"/>
          <w:color w:val="auto"/>
        </w:rPr>
        <w:t>the Borrower shall be increased as necessary so that after such deduction or withholding has been made (including such deductions and withholdings applicable to additional sums payable under this Section 2.15), the Lender receives an amount equal to the sum it would have received had no such deduction or withholding been made.</w:t>
      </w:r>
    </w:p>
    <w:p>
      <w:pPr>
        <w:spacing w:after="0" w:line="185" w:lineRule="exact"/>
        <w:rPr>
          <w:sz w:val="20"/>
          <w:szCs w:val="20"/>
          <w:color w:val="auto"/>
        </w:rPr>
      </w:pPr>
    </w:p>
    <w:p>
      <w:pPr>
        <w:ind w:right="20" w:firstLine="1304"/>
        <w:spacing w:after="0" w:line="358" w:lineRule="auto"/>
        <w:tabs>
          <w:tab w:leader="none" w:pos="1849"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The Borrower shall timely pay to the relevant Governmental Authority in accordance with applicable law, or at the option of the Lender, timely reimburse it for, Other Taxes.</w:t>
      </w:r>
    </w:p>
    <w:p>
      <w:pPr>
        <w:spacing w:after="0" w:line="90" w:lineRule="exact"/>
        <w:rPr>
          <w:rFonts w:ascii="Arial" w:cs="Arial" w:eastAsia="Arial" w:hAnsi="Arial"/>
          <w:sz w:val="19"/>
          <w:szCs w:val="19"/>
          <w:color w:val="auto"/>
        </w:rPr>
      </w:pPr>
    </w:p>
    <w:p>
      <w:pPr>
        <w:jc w:val="both"/>
        <w:ind w:firstLine="1304"/>
        <w:spacing w:after="0" w:line="254" w:lineRule="auto"/>
        <w:tabs>
          <w:tab w:leader="none" w:pos="1729"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Evidence of Payment</w:t>
      </w:r>
      <w:r>
        <w:rPr>
          <w:rFonts w:ascii="Arial" w:cs="Arial" w:eastAsia="Arial" w:hAnsi="Arial"/>
          <w:sz w:val="22"/>
          <w:szCs w:val="22"/>
          <w:color w:val="auto"/>
        </w:rPr>
        <w:t>. As soon as practicable after any payment of Taxes by the Borrower to a Governmental Authority pursuant to this Section 2.15,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84" w:lineRule="exact"/>
        <w:rPr>
          <w:rFonts w:ascii="Arial" w:cs="Arial" w:eastAsia="Arial" w:hAnsi="Arial"/>
          <w:sz w:val="22"/>
          <w:szCs w:val="22"/>
          <w:color w:val="auto"/>
        </w:rPr>
      </w:pPr>
    </w:p>
    <w:p>
      <w:pPr>
        <w:jc w:val="both"/>
        <w:ind w:firstLine="1304"/>
        <w:spacing w:after="0" w:line="297" w:lineRule="auto"/>
        <w:tabs>
          <w:tab w:leader="none" w:pos="1863"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Lender, within ten (10) days after demand therefor, for the full amount of any Indemnified Taxes (including Indemnified Taxes imposed or asserted on or attributable to amounts payable under this Section)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the Lender shall be conclusive absent manifest error.</w:t>
      </w:r>
    </w:p>
    <w:p>
      <w:pPr>
        <w:spacing w:after="0" w:line="146" w:lineRule="exact"/>
        <w:rPr>
          <w:rFonts w:ascii="Arial" w:cs="Arial" w:eastAsia="Arial" w:hAnsi="Arial"/>
          <w:sz w:val="19"/>
          <w:szCs w:val="19"/>
          <w:color w:val="auto"/>
        </w:rPr>
      </w:pPr>
    </w:p>
    <w:p>
      <w:pPr>
        <w:jc w:val="both"/>
        <w:ind w:firstLine="1304"/>
        <w:spacing w:after="0" w:line="287" w:lineRule="auto"/>
        <w:tabs>
          <w:tab w:leader="none" w:pos="175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the Lender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the Lender and without interest (other than any interest paid by the relevant Governmental Authority with respect to such refund). Such indemnifying party, upon the request of the Lender, shall repay to the Lender the amount paid to the Lender (plus any penalties, interest or other charges imposed by the relevant Governmental Authority) in the event the Lender is required to repay such refund to such Governmental Authority. Notwithstanding anything to the contrary in this paragraph (e), in no event will the Lender be required to pay any amount to any indemnifying party pursuant to this paragraph (e),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giving rise to such refund had never been paid. This paragraph (e) shall not be construed to require the Lender to make available its Tax returns (or any other information relating to its Taxes that it deems confidential) to the indemnifying party or any other Person.</w:t>
      </w:r>
    </w:p>
    <w:p>
      <w:pPr>
        <w:spacing w:after="0" w:line="162" w:lineRule="exact"/>
        <w:rPr>
          <w:rFonts w:ascii="Arial" w:cs="Arial" w:eastAsia="Arial" w:hAnsi="Arial"/>
          <w:sz w:val="19"/>
          <w:szCs w:val="19"/>
          <w:color w:val="auto"/>
        </w:rPr>
      </w:pPr>
    </w:p>
    <w:p>
      <w:pPr>
        <w:ind w:right="20" w:firstLine="1304"/>
        <w:spacing w:after="0" w:line="276" w:lineRule="auto"/>
        <w:tabs>
          <w:tab w:leader="none" w:pos="1719"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Section 2.15 shall survive the resignation or replacement of the Lender or any assignment of rights by, or the replacement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604" w:right="33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22"/>
          <w:szCs w:val="22"/>
          <w:color w:val="auto"/>
        </w:rPr>
        <w:t>Lender, the termination of the Commitment and the repayment, satisfaction or discharge of all obligations under any Loan Document.</w:t>
      </w:r>
    </w:p>
    <w:p>
      <w:pPr>
        <w:spacing w:after="0" w:line="175" w:lineRule="exact"/>
        <w:rPr>
          <w:sz w:val="20"/>
          <w:szCs w:val="20"/>
          <w:color w:val="auto"/>
        </w:rPr>
      </w:pPr>
    </w:p>
    <w:p>
      <w:pPr>
        <w:ind w:left="1740" w:hanging="436"/>
        <w:spacing w:after="0"/>
        <w:tabs>
          <w:tab w:leader="none" w:pos="17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Status of Lenders.</w:t>
      </w:r>
    </w:p>
    <w:p>
      <w:pPr>
        <w:spacing w:after="0" w:line="233" w:lineRule="exact"/>
        <w:rPr>
          <w:rFonts w:ascii="Arial" w:cs="Arial" w:eastAsia="Arial" w:hAnsi="Arial"/>
          <w:sz w:val="22"/>
          <w:szCs w:val="22"/>
          <w:color w:val="auto"/>
        </w:rPr>
      </w:pPr>
    </w:p>
    <w:p>
      <w:pPr>
        <w:jc w:val="both"/>
        <w:ind w:left="660" w:firstLine="1292"/>
        <w:spacing w:after="0" w:line="289" w:lineRule="auto"/>
        <w:tabs>
          <w:tab w:leader="none" w:pos="239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U.S. federal withholding Tax with respect to payments made under any Loan Document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rFonts w:ascii="Arial" w:cs="Arial" w:eastAsia="Arial" w:hAnsi="Arial"/>
          <w:sz w:val="19"/>
          <w:szCs w:val="19"/>
          <w:color w:val="auto"/>
        </w:rPr>
      </w:pPr>
    </w:p>
    <w:p>
      <w:pPr>
        <w:ind w:left="2440" w:hanging="488"/>
        <w:spacing w:after="0"/>
        <w:tabs>
          <w:tab w:leader="none" w:pos="244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 Borrower,</w:t>
      </w:r>
    </w:p>
    <w:p>
      <w:pPr>
        <w:spacing w:after="0" w:line="267" w:lineRule="exact"/>
        <w:rPr>
          <w:rFonts w:ascii="Arial" w:cs="Arial" w:eastAsia="Arial" w:hAnsi="Arial"/>
          <w:sz w:val="19"/>
          <w:szCs w:val="19"/>
          <w:color w:val="auto"/>
        </w:rPr>
      </w:pPr>
    </w:p>
    <w:p>
      <w:pPr>
        <w:ind w:left="660" w:right="260" w:firstLine="2588"/>
        <w:spacing w:after="0" w:line="254" w:lineRule="auto"/>
        <w:tabs>
          <w:tab w:leader="none" w:pos="3732" w:val="left"/>
        </w:tabs>
        <w:numPr>
          <w:ilvl w:val="2"/>
          <w:numId w:val="149"/>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on or prior to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184" w:lineRule="exact"/>
        <w:rPr>
          <w:rFonts w:ascii="Arial" w:cs="Arial" w:eastAsia="Arial" w:hAnsi="Arial"/>
          <w:sz w:val="22"/>
          <w:szCs w:val="22"/>
          <w:color w:val="auto"/>
        </w:rPr>
      </w:pPr>
    </w:p>
    <w:p>
      <w:pPr>
        <w:ind w:left="660" w:right="120" w:firstLine="2588"/>
        <w:spacing w:after="0" w:line="254" w:lineRule="auto"/>
        <w:tabs>
          <w:tab w:leader="none" w:pos="372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(in such number of copies as shall be requested by the Borrower) on or prior to the date on which such Foreign Lender becomes a Lender under this Agreement (and from time to time thereafter upon the reasonable request of the Borrower), whichever of the following is applicable:</w:t>
      </w:r>
    </w:p>
    <w:p>
      <w:pPr>
        <w:spacing w:after="0" w:line="184" w:lineRule="exact"/>
        <w:rPr>
          <w:rFonts w:ascii="Arial" w:cs="Arial" w:eastAsia="Arial" w:hAnsi="Arial"/>
          <w:sz w:val="22"/>
          <w:szCs w:val="22"/>
          <w:color w:val="auto"/>
        </w:rPr>
      </w:pPr>
    </w:p>
    <w:p>
      <w:pPr>
        <w:ind w:left="2600" w:right="140" w:firstLine="1134"/>
        <w:spacing w:after="0" w:line="260" w:lineRule="auto"/>
        <w:tabs>
          <w:tab w:leader="none" w:pos="4040" w:val="left"/>
        </w:tabs>
        <w:numPr>
          <w:ilvl w:val="3"/>
          <w:numId w:val="149"/>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 or IRS Form W-8BEN-E, or applicable successor form, establishing an exemption from, or reduction of, U.S. federal withholding Tax pursuant to the “interest” article of such tax treaty and (y) with respect to any other applicable payments under any Loan Document, IRS Form W-8BEN, or IRS Form W-8BEN-E, or applicable successor form, establishing an exemption from,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604" w:right="339" w:bottom="1440" w:gutter="0" w:footer="0" w:header="0"/>
        </w:sectPr>
      </w:pPr>
    </w:p>
    <w:bookmarkStart w:id="163" w:name="page164"/>
    <w:bookmarkEnd w:id="163"/>
    <w:p>
      <w:pPr>
        <w:ind w:left="2600" w:right="420"/>
        <w:spacing w:after="0" w:line="263" w:lineRule="auto"/>
        <w:rPr>
          <w:sz w:val="20"/>
          <w:szCs w:val="20"/>
          <w:color w:val="auto"/>
        </w:rPr>
      </w:pPr>
      <w:r>
        <w:rPr>
          <w:rFonts w:ascii="Arial" w:cs="Arial" w:eastAsia="Arial" w:hAnsi="Arial"/>
          <w:sz w:val="22"/>
          <w:szCs w:val="22"/>
          <w:color w:val="auto"/>
        </w:rPr>
        <w:t>reduction of, U.S. federal withholding Tax pursuant to the “business profits” or “other income” article of such tax treaty;</w:t>
      </w:r>
    </w:p>
    <w:p>
      <w:pPr>
        <w:spacing w:after="0" w:line="175" w:lineRule="exact"/>
        <w:rPr>
          <w:sz w:val="20"/>
          <w:szCs w:val="20"/>
          <w:color w:val="auto"/>
        </w:rPr>
      </w:pPr>
    </w:p>
    <w:p>
      <w:pPr>
        <w:ind w:left="4040" w:hanging="306"/>
        <w:spacing w:after="0"/>
        <w:tabs>
          <w:tab w:leader="none" w:pos="404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19" w:lineRule="exact"/>
        <w:rPr>
          <w:rFonts w:ascii="Arial" w:cs="Arial" w:eastAsia="Arial" w:hAnsi="Arial"/>
          <w:sz w:val="22"/>
          <w:szCs w:val="22"/>
          <w:color w:val="auto"/>
        </w:rPr>
      </w:pPr>
    </w:p>
    <w:p>
      <w:pPr>
        <w:ind w:left="2600" w:right="20" w:firstLine="1134"/>
        <w:spacing w:after="0" w:line="285" w:lineRule="auto"/>
        <w:tabs>
          <w:tab w:leader="none" w:pos="404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in the form as reasonably determined by the Borrower to the effect that such Foreign Lender is not a “bank” within the meaning of Section 881(c)(3)(A) of the Code, a “10 percent shareholder” of the Borrower within the meaning of Section 881(c)(3)(B) of the Code, or a “controlled foreign corporation” described in Section 881(c)</w:t>
      </w:r>
    </w:p>
    <w:p>
      <w:pPr>
        <w:spacing w:after="0" w:line="3" w:lineRule="exact"/>
        <w:rPr>
          <w:rFonts w:ascii="Arial" w:cs="Arial" w:eastAsia="Arial" w:hAnsi="Arial"/>
          <w:sz w:val="19"/>
          <w:szCs w:val="19"/>
          <w:color w:val="auto"/>
        </w:rPr>
      </w:pPr>
    </w:p>
    <w:p>
      <w:pPr>
        <w:ind w:left="2600" w:right="120"/>
        <w:spacing w:after="0" w:line="246" w:lineRule="auto"/>
        <w:rPr>
          <w:rFonts w:ascii="Arial" w:cs="Arial" w:eastAsia="Arial" w:hAnsi="Arial"/>
          <w:sz w:val="19"/>
          <w:szCs w:val="19"/>
          <w:color w:val="auto"/>
        </w:rPr>
      </w:pPr>
      <w:r>
        <w:rPr>
          <w:rFonts w:ascii="Arial" w:cs="Arial" w:eastAsia="Arial" w:hAnsi="Arial"/>
          <w:sz w:val="22"/>
          <w:szCs w:val="22"/>
          <w:color w:val="auto"/>
        </w:rPr>
        <w:t>(3)(C) of the Code (a “U.S. Tax Compliance Certificate”) and (y) executed copies of IRS Form W-8BEN, or IRS Form W-8BEN-E, or applicable successor form; or</w:t>
      </w:r>
    </w:p>
    <w:p>
      <w:pPr>
        <w:spacing w:after="0" w:line="192" w:lineRule="exact"/>
        <w:rPr>
          <w:rFonts w:ascii="Arial" w:cs="Arial" w:eastAsia="Arial" w:hAnsi="Arial"/>
          <w:sz w:val="19"/>
          <w:szCs w:val="19"/>
          <w:color w:val="auto"/>
        </w:rPr>
      </w:pPr>
    </w:p>
    <w:p>
      <w:pPr>
        <w:ind w:left="2600" w:right="20" w:firstLine="1134"/>
        <w:spacing w:after="0" w:line="290" w:lineRule="auto"/>
        <w:tabs>
          <w:tab w:leader="none" w:pos="404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or IRS Form W-8BEN-E, or applicable successor form, a U.S. Tax Compliance Certificate in the form as reasonably determined by the Borrower,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in the form as reasonably determined by the Borrower, on behalf of each such direct and indirect partner;</w:t>
      </w:r>
    </w:p>
    <w:p>
      <w:pPr>
        <w:spacing w:after="0" w:line="155" w:lineRule="exact"/>
        <w:rPr>
          <w:rFonts w:ascii="Arial" w:cs="Arial" w:eastAsia="Arial" w:hAnsi="Arial"/>
          <w:sz w:val="19"/>
          <w:szCs w:val="19"/>
          <w:color w:val="auto"/>
        </w:rPr>
      </w:pPr>
    </w:p>
    <w:p>
      <w:pPr>
        <w:jc w:val="both"/>
        <w:ind w:firstLine="2600"/>
        <w:spacing w:after="0" w:line="264" w:lineRule="auto"/>
        <w:tabs>
          <w:tab w:leader="none" w:pos="310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74" w:lineRule="exact"/>
        <w:rPr>
          <w:rFonts w:ascii="Arial" w:cs="Arial" w:eastAsia="Arial" w:hAnsi="Arial"/>
          <w:sz w:val="21"/>
          <w:szCs w:val="21"/>
          <w:color w:val="auto"/>
        </w:rPr>
      </w:pPr>
    </w:p>
    <w:p>
      <w:pPr>
        <w:jc w:val="both"/>
        <w:ind w:firstLine="2600"/>
        <w:spacing w:after="0" w:line="249" w:lineRule="auto"/>
        <w:tabs>
          <w:tab w:leader="none" w:pos="31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604" w:right="339" w:bottom="1440" w:gutter="0" w:footer="0" w:header="0"/>
        </w:sectPr>
      </w:pPr>
    </w:p>
    <w:bookmarkStart w:id="164" w:name="page165"/>
    <w:bookmarkEnd w:id="164"/>
    <w:p>
      <w:pPr>
        <w:jc w:val="both"/>
        <w:spacing w:after="0" w:line="312" w:lineRule="auto"/>
        <w:rPr>
          <w:sz w:val="20"/>
          <w:szCs w:val="20"/>
          <w:color w:val="auto"/>
        </w:rPr>
      </w:pPr>
      <w:r>
        <w:rPr>
          <w:rFonts w:ascii="Arial" w:cs="Arial" w:eastAsia="Arial" w:hAnsi="Arial"/>
          <w:sz w:val="19"/>
          <w:szCs w:val="19"/>
          <w:color w:val="auto"/>
        </w:rPr>
        <w:t>may be necessary for the Borrower to comply with its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33"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04" w:lineRule="exact"/>
        <w:rPr>
          <w:sz w:val="20"/>
          <w:szCs w:val="20"/>
          <w:color w:val="auto"/>
        </w:rPr>
      </w:pPr>
    </w:p>
    <w:p>
      <w:pPr>
        <w:ind w:left="1300" w:right="1380" w:firstLine="4"/>
        <w:spacing w:after="0" w:line="461" w:lineRule="auto"/>
        <w:tabs>
          <w:tab w:leader="none" w:pos="173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Section 2.15, the term “applicable law” includes FATCA. SECTION 2.16. </w:t>
      </w:r>
      <w:r>
        <w:rPr>
          <w:rFonts w:ascii="Arial" w:cs="Arial" w:eastAsia="Arial" w:hAnsi="Arial"/>
          <w:sz w:val="22"/>
          <w:szCs w:val="22"/>
          <w:u w:val="single" w:color="auto"/>
          <w:color w:val="auto"/>
        </w:rPr>
        <w:t>Payments Generally; Allocation of Proceeds</w:t>
      </w:r>
      <w:r>
        <w:rPr>
          <w:rFonts w:ascii="Arial" w:cs="Arial" w:eastAsia="Arial" w:hAnsi="Arial"/>
          <w:sz w:val="22"/>
          <w:szCs w:val="22"/>
          <w:color w:val="auto"/>
        </w:rPr>
        <w:t>.</w:t>
      </w:r>
    </w:p>
    <w:p>
      <w:pPr>
        <w:jc w:val="both"/>
        <w:ind w:firstLine="1304"/>
        <w:spacing w:after="0" w:line="261" w:lineRule="exact"/>
        <w:tabs>
          <w:tab w:leader="none" w:pos="175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hereunder (whether of principal, interest, fees or reimbursement of LC Disbursements, or of amounts payable under Sections 2.13, 2.14 or 2.15, or otherwise) prior to 2:00 p.m., Pacific time, on the date when due, in immediately available funds, without set</w:t>
      </w:r>
      <w:r>
        <w:rPr>
          <w:rFonts w:ascii="MS PGothic" w:cs="MS PGothic" w:eastAsia="MS PGothic" w:hAnsi="MS PGothic"/>
          <w:sz w:val="19"/>
          <w:szCs w:val="19"/>
          <w:color w:val="auto"/>
        </w:rPr>
        <w:t>‑</w:t>
      </w:r>
      <w:r>
        <w:rPr>
          <w:rFonts w:ascii="Arial" w:cs="Arial" w:eastAsia="Arial" w:hAnsi="Arial"/>
          <w:sz w:val="19"/>
          <w:szCs w:val="19"/>
          <w:color w:val="auto"/>
        </w:rPr>
        <w:t>off or counterclaim. Any amounts received after such time on any date may, in the discretion of the Lender, be deemed to have been received on the next succeeding Business Day for purposes of calculating interest thereon. All such payments shall be made to the Lender at its offices at 10 South Dearborn Street, Chicago, IL 60603.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8" w:lineRule="exact"/>
        <w:rPr>
          <w:rFonts w:ascii="Arial" w:cs="Arial" w:eastAsia="Arial" w:hAnsi="Arial"/>
          <w:sz w:val="19"/>
          <w:szCs w:val="19"/>
          <w:color w:val="auto"/>
        </w:rPr>
      </w:pPr>
    </w:p>
    <w:p>
      <w:pPr>
        <w:jc w:val="both"/>
        <w:ind w:firstLine="1304"/>
        <w:spacing w:after="0" w:line="292" w:lineRule="auto"/>
        <w:tabs>
          <w:tab w:leader="none" w:pos="190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At the election of the Lender, all payments of principal, interest, LC Disbursements, fees, premiums, reimbursable expenses (including, without limitation, all reimbursement for fees, costs and expenses pursuant to Section 8.03),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Lender. The Borrower hereby irrevocably authorizes the Lender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 2.03.</w:t>
      </w:r>
    </w:p>
    <w:p>
      <w:pPr>
        <w:spacing w:after="0" w:line="154" w:lineRule="exact"/>
        <w:rPr>
          <w:rFonts w:ascii="Arial" w:cs="Arial" w:eastAsia="Arial" w:hAnsi="Arial"/>
          <w:sz w:val="19"/>
          <w:szCs w:val="19"/>
          <w:color w:val="auto"/>
        </w:rPr>
      </w:pPr>
    </w:p>
    <w:p>
      <w:pPr>
        <w:jc w:val="both"/>
        <w:ind w:firstLine="1304"/>
        <w:spacing w:after="0" w:line="297" w:lineRule="auto"/>
        <w:tabs>
          <w:tab w:leader="none" w:pos="172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Lender may from time to time provide the Borrower with account statements or invoices with respect to any of the Obligations (the “</w:t>
      </w:r>
      <w:r>
        <w:rPr>
          <w:rFonts w:ascii="Arial" w:cs="Arial" w:eastAsia="Arial" w:hAnsi="Arial"/>
          <w:sz w:val="19"/>
          <w:szCs w:val="19"/>
          <w:u w:val="single" w:color="auto"/>
          <w:color w:val="auto"/>
        </w:rPr>
        <w:t>Statements</w:t>
      </w:r>
      <w:r>
        <w:rPr>
          <w:rFonts w:ascii="Arial" w:cs="Arial" w:eastAsia="Arial" w:hAnsi="Arial"/>
          <w:sz w:val="19"/>
          <w:szCs w:val="19"/>
          <w:color w:val="auto"/>
        </w:rPr>
        <w:t>”). The Lender is under no duty or obligation to provide Statements, which, if provided, will be solely for the Borrower’s convenience. Statements may contain estimates of the amounts owed during the relevant billing period, whether of principal, interest, fees or other Obligations. If the Borrower pays the full amount indicated on a Statement on or before the due date indicated on such Statement, the Borrower shall not be in default of payment with respect to the billing period indicated on such Statement; provided, that acceptance by the Lender of any payment that is less than the total amount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604" w:right="339" w:bottom="1440" w:gutter="0" w:footer="0" w:header="0"/>
        </w:sectPr>
      </w:pPr>
    </w:p>
    <w:bookmarkStart w:id="165" w:name="page166"/>
    <w:bookmarkEnd w:id="165"/>
    <w:p>
      <w:pPr>
        <w:jc w:val="both"/>
        <w:spacing w:after="0" w:line="263" w:lineRule="auto"/>
        <w:rPr>
          <w:sz w:val="20"/>
          <w:szCs w:val="20"/>
          <w:color w:val="auto"/>
        </w:rPr>
      </w:pPr>
      <w:r>
        <w:rPr>
          <w:rFonts w:ascii="Arial" w:cs="Arial" w:eastAsia="Arial" w:hAnsi="Arial"/>
          <w:sz w:val="22"/>
          <w:szCs w:val="22"/>
          <w:color w:val="auto"/>
        </w:rPr>
        <w:t>actually due at that time (including but not limited to any past due amounts) shall not constitute a waiver of the Lender’s right to receive payment in full at another time.</w:t>
      </w:r>
    </w:p>
    <w:p>
      <w:pPr>
        <w:spacing w:after="0" w:line="17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Indemnity for Returned Payments</w:t>
      </w:r>
      <w:r>
        <w:rPr>
          <w:rFonts w:ascii="Arial" w:cs="Arial" w:eastAsia="Arial" w:hAnsi="Arial"/>
          <w:sz w:val="19"/>
          <w:szCs w:val="19"/>
          <w:color w:val="auto"/>
        </w:rPr>
        <w:t>. If after receipt of any payment which is applied to the payment of all or any part of the Obligations (including a payment effected through exercise of a right of setoff), the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Lender in its discretion), then the Obligations or part thereof intended to be satisfied shall be revived and continued and this Agreement shall continue in full force as if such payment or proceeds had not been received by the Lender. The provisions of this Section 2.17 shall be and remain effective notwithstanding any contrary action which may have been taken by the Lender in reliance upon such payment or application of proceeds. The provisions of this Section 2.17 shall survive the termination of this Agreement.</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represents and warrants to the Lender that (and where applicable, agrees):</w:t>
      </w:r>
    </w:p>
    <w:p>
      <w:pPr>
        <w:spacing w:after="0" w:line="22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The Borrower and each Subsidiary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the Borrower’s organizational powers and have been duly authorized by all necessary organizational actions and, if required, actions by equity holders. Each Loan Document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Governmental Approvals; No Conflicts</w:t>
      </w:r>
      <w:r>
        <w:rPr>
          <w:rFonts w:ascii="Arial" w:cs="Arial" w:eastAsia="Arial" w:hAnsi="Arial"/>
          <w:sz w:val="21"/>
          <w:szCs w:val="21"/>
          <w:color w:val="auto"/>
        </w:rPr>
        <w:t>. The Transactions (a) do not require Regulatory Approval or any consent or approval of, registration or filing with, or any other action by, any Governmental Authority, except such as have been obtained or made and are in full force and effect, (b) will not violate any Requirement of Law applicable to the Borrower or any Subsidiary, (c) will not violate or result in a default under any Material Agreement binding upon the Borrower or any Subsidiary or the assets of the Borrower or any Subsidiary, or give rise to a right thereunder to require any payment to be made by the Borrower or any Subsidiary, and (d) will not result in the creation or imposition of any Lien on any asset of the Borrower or any Subsidiary.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604" w:right="339" w:bottom="1440" w:gutter="0" w:footer="0" w:header="0"/>
        </w:sectPr>
      </w:pPr>
    </w:p>
    <w:bookmarkStart w:id="166" w:name="page167"/>
    <w:bookmarkEnd w:id="166"/>
    <w:p>
      <w:pPr>
        <w:ind w:left="1300"/>
        <w:spacing w:after="0"/>
        <w:tabs>
          <w:tab w:leader="none" w:pos="28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0" w:lineRule="exact"/>
        <w:tabs>
          <w:tab w:leader="none" w:pos="1864"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Borrower has heretofore furnished to the Lender the consolidated balance sheet and statements of income, stockholders equity and cash flows of Holdco (i) as of and for the fiscal year ended 2015, reported on by KPMG, independent public accountants, (ii) as of and for the fiscal quarter and the portion of the fiscal year ended March 31, 2016, certified by a Financial Officer. The Borrower has heretofore furnished to the Lender the consolidating balance sheet and statements of income, stockholders equity and cash flows of Holdco as of and for the fiscal year ended 2015 and as of and for the fiscal quarter and the portion of the fiscal year ended March 31, 2016, in each case, certified by a Financial Officer. Such financial statements present fairly, in all material respects, the financial position and results of operations and cash flows of Holdco and its consolidated Subsidiaries as of such dates and for such periods in accordance with GAAP, subject to normal year</w:t>
      </w:r>
      <w:r>
        <w:rPr>
          <w:rFonts w:ascii="MS PGothic" w:cs="MS PGothic" w:eastAsia="MS PGothic" w:hAnsi="MS PGothic"/>
          <w:sz w:val="21"/>
          <w:szCs w:val="21"/>
          <w:color w:val="auto"/>
        </w:rPr>
        <w:t>‑</w:t>
      </w:r>
      <w:r>
        <w:rPr>
          <w:rFonts w:ascii="Arial" w:cs="Arial" w:eastAsia="Arial" w:hAnsi="Arial"/>
          <w:sz w:val="21"/>
          <w:szCs w:val="21"/>
          <w:color w:val="auto"/>
        </w:rPr>
        <w:t>end audit adjustments all of which, when taken as a whole, would not be materially adverse and the absence of footnotes in the case of the statements referred to in clause (ii) above.</w:t>
      </w:r>
    </w:p>
    <w:p>
      <w:pPr>
        <w:spacing w:after="0" w:line="198" w:lineRule="exact"/>
        <w:rPr>
          <w:rFonts w:ascii="Arial" w:cs="Arial" w:eastAsia="Arial" w:hAnsi="Arial"/>
          <w:sz w:val="21"/>
          <w:szCs w:val="21"/>
          <w:color w:val="auto"/>
        </w:rPr>
      </w:pPr>
    </w:p>
    <w:p>
      <w:pPr>
        <w:ind w:right="20" w:firstLine="1304"/>
        <w:spacing w:after="0" w:line="276" w:lineRule="auto"/>
        <w:tabs>
          <w:tab w:leader="none" w:pos="174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No event, change or condition has occurred that has had, or could reasonably be expected to have, a Material Adverse Effect, since December 31, 2015.</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87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Each material lease and sublease of Borrower and each of its Subsidiaries is valid and enforceable in accordance with its terms and is in full force and effect, and no default by any party to any such lease or sublease exists. The Borrower and each of its Subsidiaries have good and indefeasible title to, or valid leasehold interests in, all of their real and personal property that is necessary to conduct their business, and such property is free of all Liens other than those permitted by Section 6.02.</w:t>
      </w:r>
    </w:p>
    <w:p>
      <w:pPr>
        <w:spacing w:after="0" w:line="189" w:lineRule="exact"/>
        <w:rPr>
          <w:rFonts w:ascii="Arial" w:cs="Arial" w:eastAsia="Arial" w:hAnsi="Arial"/>
          <w:sz w:val="22"/>
          <w:szCs w:val="22"/>
          <w:color w:val="auto"/>
        </w:rPr>
      </w:pPr>
    </w:p>
    <w:p>
      <w:pPr>
        <w:jc w:val="both"/>
        <w:ind w:firstLine="1304"/>
        <w:spacing w:after="0" w:line="307" w:lineRule="auto"/>
        <w:tabs>
          <w:tab w:leader="none" w:pos="172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Borrower and each Subsidiary owns, or is licensed to use, all trademarks, tradenames, copyrights, patents and other intellectual property necessary to its business as currently conducted, and the use thereof by the Borrower and each Subsidiary does not infringe in any material respect upon the rights of any other Person, and, other than with respect to software licenses, the Borrower’s and each Subsidiary’s rights thereto are not subject to any licensing agreement or similar arrangement.</w:t>
      </w:r>
    </w:p>
    <w:p>
      <w:pPr>
        <w:spacing w:after="0" w:line="13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6" w:lineRule="auto"/>
        <w:tabs>
          <w:tab w:leader="none" w:pos="179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There are no actions, suits or proceedings by or before any arbitrator or Governmental Authority pending against or, to the knowledge of the Borrower, threatened against or affecting the Borrower or any Subsidiary (i) as to which there is a reasonable possibility of an adverse determination and that, if adversely determined, could reasonably be expected, individually or in the aggregate, to result in a Material Adverse Effect (other than the Disclosed Matters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3.06</w:t>
      </w:r>
      <w:r>
        <w:rPr>
          <w:rFonts w:ascii="Arial" w:cs="Arial" w:eastAsia="Arial" w:hAnsi="Arial"/>
          <w:sz w:val="21"/>
          <w:szCs w:val="21"/>
          <w:color w:val="auto"/>
        </w:rPr>
        <w:t>) or (ii) that involve any Loan Document or the Transactions.</w:t>
      </w:r>
    </w:p>
    <w:p>
      <w:pPr>
        <w:spacing w:after="0" w:line="173" w:lineRule="exact"/>
        <w:rPr>
          <w:rFonts w:ascii="Arial" w:cs="Arial" w:eastAsia="Arial" w:hAnsi="Arial"/>
          <w:sz w:val="21"/>
          <w:szCs w:val="21"/>
          <w:color w:val="auto"/>
        </w:rPr>
      </w:pPr>
    </w:p>
    <w:p>
      <w:pPr>
        <w:ind w:firstLine="1304"/>
        <w:spacing w:after="0" w:line="276" w:lineRule="auto"/>
        <w:tabs>
          <w:tab w:leader="none" w:pos="182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Except for the Disclosed Matters, (i) neither the Borrower nor any Subsidiary has received notice of any claim with respect to any Environmental Liability or knows of any basis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604" w:right="339" w:bottom="1440" w:gutter="0" w:footer="0" w:header="0"/>
        </w:sectPr>
      </w:pPr>
    </w:p>
    <w:bookmarkStart w:id="167" w:name="page168"/>
    <w:bookmarkEnd w:id="167"/>
    <w:p>
      <w:pPr>
        <w:jc w:val="both"/>
        <w:spacing w:after="0" w:line="261" w:lineRule="auto"/>
        <w:rPr>
          <w:sz w:val="20"/>
          <w:szCs w:val="20"/>
          <w:color w:val="auto"/>
        </w:rPr>
      </w:pPr>
      <w:r>
        <w:rPr>
          <w:rFonts w:ascii="Arial" w:cs="Arial" w:eastAsia="Arial" w:hAnsi="Arial"/>
          <w:sz w:val="21"/>
          <w:szCs w:val="21"/>
          <w:color w:val="auto"/>
        </w:rPr>
        <w:t>for any Environmental Liability that, individually or in the aggregate, could reasonably be expected to result in a Material Adverse Effect and (ii) and except with respect to any other matters that, individually or in the aggregate, could not reasonably be expected to result in a Material Adverse Effect, neither the Borrower nor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79" w:lineRule="exact"/>
        <w:rPr>
          <w:sz w:val="20"/>
          <w:szCs w:val="20"/>
          <w:color w:val="auto"/>
        </w:rPr>
      </w:pPr>
    </w:p>
    <w:p>
      <w:pPr>
        <w:ind w:firstLine="1304"/>
        <w:spacing w:after="0" w:line="301" w:lineRule="auto"/>
        <w:tabs>
          <w:tab w:leader="none" w:pos="183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3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Compliance with Laws and Agreements; No Default</w:t>
      </w:r>
      <w:r>
        <w:rPr>
          <w:rFonts w:ascii="Arial" w:cs="Arial" w:eastAsia="Arial" w:hAnsi="Arial"/>
          <w:sz w:val="21"/>
          <w:szCs w:val="21"/>
          <w:color w:val="auto"/>
        </w:rPr>
        <w:t>. Except where the failure to do so, individually or in the aggregate, could not reasonably be expected to result in a Material Adverse Effect, the Borrower and each Subsidiary is in compliance with (i) all Requirements of Law applicable to it or its property and (ii) all indentures, agreements and other instruments binding upon it or its property. No Default has occurred and is continuing.</w:t>
      </w:r>
    </w:p>
    <w:p>
      <w:pPr>
        <w:spacing w:after="0" w:line="169"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Neither the Borrower nor any Subsidiary is an “investment company” as defined in, or subject to regulation under, the Investment Company Act of 1940.</w:t>
      </w:r>
    </w:p>
    <w:p>
      <w:pPr>
        <w:spacing w:after="0" w:line="161"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The Borrower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be expected to result in a Material Adverse Effect. No tax liens have been filed and no claims are being asserted with respect to any such taxes.</w:t>
      </w:r>
    </w:p>
    <w:p>
      <w:pPr>
        <w:spacing w:after="0" w:line="14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 No Plan is, or is reasonably expected to become, an “at-risk” plan within the meaning of Section 430 of the Code or Section 303 of ERISA.</w:t>
      </w:r>
    </w:p>
    <w:p>
      <w:pPr>
        <w:spacing w:after="0" w:line="179"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color w:val="auto"/>
        </w:rPr>
        <w:t xml:space="preserve">SECTION 3.11. Disclosure. </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The Borrower has disclosed to the Lender all agreements, instruments and corporate or other restrictions to which the Borrower or any Subsidiary is subject, and all other matters known to it, that, individually or in the aggregate, could reasonably be expected to result in a Material Adverse Effect. None of the reports, financial statements, certificates or other information furnished by or on behalf of the Borrower or any Subsidiary to the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604" w:right="339" w:bottom="1440" w:gutter="0" w:footer="0" w:header="0"/>
        </w:sectPr>
      </w:pPr>
    </w:p>
    <w:bookmarkStart w:id="168" w:name="page169"/>
    <w:bookmarkEnd w:id="168"/>
    <w:p>
      <w:pPr>
        <w:jc w:val="both"/>
        <w:ind w:right="20"/>
        <w:spacing w:after="0" w:line="253" w:lineRule="auto"/>
        <w:rPr>
          <w:sz w:val="20"/>
          <w:szCs w:val="20"/>
          <w:color w:val="auto"/>
        </w:rPr>
      </w:pPr>
      <w:r>
        <w:rPr>
          <w:rFonts w:ascii="Arial" w:cs="Arial" w:eastAsia="Arial" w:hAnsi="Arial"/>
          <w:sz w:val="22"/>
          <w:szCs w:val="22"/>
          <w:color w:val="auto"/>
        </w:rPr>
        <w:t>projected financial information, the Borrower represents only that such information was prepared in good faith based upon assumptions believed to be reasonable at the time delivered and, if such projected financial information was delivered prior to the Effective Date, as of the Effective Date.</w:t>
      </w:r>
    </w:p>
    <w:p>
      <w:pPr>
        <w:spacing w:after="0" w:line="179" w:lineRule="exact"/>
        <w:rPr>
          <w:sz w:val="20"/>
          <w:szCs w:val="20"/>
          <w:color w:val="auto"/>
        </w:rPr>
      </w:pPr>
    </w:p>
    <w:p>
      <w:pPr>
        <w:ind w:firstLine="1304"/>
        <w:spacing w:after="0" w:line="364" w:lineRule="auto"/>
        <w:tabs>
          <w:tab w:leader="none" w:pos="1767" w:val="left"/>
        </w:tabs>
        <w:numPr>
          <w:ilvl w:val="0"/>
          <w:numId w:val="15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To the knowledge of the Borrower, the information included in the Beneficial Ownership Certification provided on or prior to May 11, 2020 to any Lender in connection with this Agreement is true and correct in all respects.</w:t>
      </w:r>
    </w:p>
    <w:p>
      <w:pPr>
        <w:spacing w:after="0" w:line="8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Material Agreements</w:t>
      </w:r>
      <w:r>
        <w:rPr>
          <w:rFonts w:ascii="Arial" w:cs="Arial" w:eastAsia="Arial" w:hAnsi="Arial"/>
          <w:sz w:val="22"/>
          <w:szCs w:val="22"/>
          <w:color w:val="auto"/>
        </w:rPr>
        <w:t>. All Material Agreements to which the Borrower or any Subsidiary is a party or is bound as of the date of this Agreement are listed on Schedule 3.12. Neither the Borrower nor any Subsidiary is in default in the performance, observance or fulfillment of any of the obligations, covenants or conditions contained in any Material Agreement to which it is a party.</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Solvency</w:t>
      </w:r>
      <w:r>
        <w:rPr>
          <w:rFonts w:ascii="Arial" w:cs="Arial" w:eastAsia="Arial" w:hAnsi="Arial"/>
          <w:sz w:val="21"/>
          <w:szCs w:val="21"/>
          <w:color w:val="auto"/>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Borrower will not have unreasonably small capital with which to conduct the business in which it is engaged as such business is now conducted and is proposed to be conducted after the Effective Date.</w:t>
      </w:r>
    </w:p>
    <w:p>
      <w:pPr>
        <w:spacing w:after="0" w:line="181" w:lineRule="exact"/>
        <w:rPr>
          <w:sz w:val="20"/>
          <w:szCs w:val="20"/>
          <w:color w:val="auto"/>
        </w:rPr>
      </w:pPr>
    </w:p>
    <w:p>
      <w:pPr>
        <w:jc w:val="both"/>
        <w:ind w:firstLine="656"/>
        <w:spacing w:after="0" w:line="250" w:lineRule="auto"/>
        <w:tabs>
          <w:tab w:leader="none" w:pos="115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Borrower does not intend to, nor will it permit any Subsidiary to, and the Borrower does not believe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Insurance</w:t>
      </w:r>
      <w:r>
        <w:rPr>
          <w:rFonts w:ascii="Arial" w:cs="Arial" w:eastAsia="Arial" w:hAnsi="Arial"/>
          <w:sz w:val="22"/>
          <w:szCs w:val="22"/>
          <w:color w:val="auto"/>
        </w:rPr>
        <w:t>. As of the Effective Date, all premiums in respect of the Borrower’s and its Subsidiaries’ insurance have been paid. The Borrower believes that the insurance maintained by or on behalf of the Borrower and its Subsidiaries is adequate and is customary for companies engaged in the same or similar businesses operating in the same or similar locations.</w:t>
      </w:r>
    </w:p>
    <w:p>
      <w:pPr>
        <w:spacing w:after="0" w:line="185" w:lineRule="exact"/>
        <w:rPr>
          <w:sz w:val="20"/>
          <w:szCs w:val="20"/>
          <w:color w:val="auto"/>
        </w:rPr>
      </w:pPr>
    </w:p>
    <w:p>
      <w:pPr>
        <w:jc w:val="both"/>
        <w:ind w:firstLine="1296"/>
        <w:spacing w:after="0" w:line="261" w:lineRule="exact"/>
        <w:rPr>
          <w:sz w:val="20"/>
          <w:szCs w:val="20"/>
          <w:color w:val="auto"/>
        </w:rPr>
      </w:pPr>
      <w:r>
        <w:rPr>
          <w:rFonts w:ascii="Arial" w:cs="Arial" w:eastAsia="Arial" w:hAnsi="Arial"/>
          <w:sz w:val="21"/>
          <w:szCs w:val="21"/>
          <w:color w:val="auto"/>
        </w:rPr>
        <w:t xml:space="preserve">SECTION 3.15. </w:t>
      </w:r>
      <w:r>
        <w:rPr>
          <w:rFonts w:ascii="Arial" w:cs="Arial" w:eastAsia="Arial" w:hAnsi="Arial"/>
          <w:sz w:val="21"/>
          <w:szCs w:val="21"/>
          <w:u w:val="single" w:color="auto"/>
          <w:color w:val="auto"/>
        </w:rPr>
        <w:t>Capitalization and Subsidiaries</w:t>
      </w:r>
      <w:r>
        <w:rPr>
          <w:rFonts w:ascii="Arial" w:cs="Arial" w:eastAsia="Arial" w:hAnsi="Arial"/>
          <w:sz w:val="21"/>
          <w:szCs w:val="21"/>
          <w:color w:val="auto"/>
        </w:rPr>
        <w:t xml:space="preserve">. As of the Effective Date, </w:t>
      </w:r>
      <w:r>
        <w:rPr>
          <w:rFonts w:ascii="Arial" w:cs="Arial" w:eastAsia="Arial" w:hAnsi="Arial"/>
          <w:sz w:val="21"/>
          <w:szCs w:val="21"/>
          <w:u w:val="single" w:color="auto"/>
          <w:color w:val="auto"/>
        </w:rPr>
        <w:t>Schedule 3.15</w:t>
      </w:r>
      <w:r>
        <w:rPr>
          <w:rFonts w:ascii="Arial" w:cs="Arial" w:eastAsia="Arial" w:hAnsi="Arial"/>
          <w:sz w:val="21"/>
          <w:szCs w:val="21"/>
          <w:color w:val="auto"/>
        </w:rPr>
        <w:t xml:space="preserve"> sets forth (a) a correct and complete list of the name and relationship to the Borrower of each Subsidiary, (b) a true and complete listing of each class of each of the Borrower’s authorized Equity Interests, of which all of such issued Equity Interests are validly issued, outstanding, fully paid and non-assessable, and owned beneficially and of record by the Persons identified on </w:t>
      </w:r>
      <w:r>
        <w:rPr>
          <w:rFonts w:ascii="Arial" w:cs="Arial" w:eastAsia="Arial" w:hAnsi="Arial"/>
          <w:sz w:val="21"/>
          <w:szCs w:val="21"/>
          <w:u w:val="single" w:color="auto"/>
          <w:color w:val="auto"/>
        </w:rPr>
        <w:t>Schedule 3.15</w:t>
      </w:r>
      <w:r>
        <w:rPr>
          <w:rFonts w:ascii="Arial" w:cs="Arial" w:eastAsia="Arial" w:hAnsi="Arial"/>
          <w:sz w:val="21"/>
          <w:szCs w:val="21"/>
          <w:color w:val="auto"/>
        </w:rPr>
        <w:t>, and (c) the type of entity of the Borrower and each Subsidiary. All of the issued and outstanding Equity Interests owned by the Borrower have been (to the extent such concepts are relevant with respect to such ownership interests) duly authorized and issued and are fully paid and non</w:t>
      </w:r>
      <w:r>
        <w:rPr>
          <w:rFonts w:ascii="MS PGothic" w:cs="MS PGothic" w:eastAsia="MS PGothic" w:hAnsi="MS PGothic"/>
          <w:sz w:val="21"/>
          <w:szCs w:val="21"/>
          <w:color w:val="auto"/>
        </w:rPr>
        <w:t>‑</w:t>
      </w:r>
      <w:r>
        <w:rPr>
          <w:rFonts w:ascii="Arial" w:cs="Arial" w:eastAsia="Arial" w:hAnsi="Arial"/>
          <w:sz w:val="21"/>
          <w:szCs w:val="21"/>
          <w:color w:val="auto"/>
        </w:rPr>
        <w:t>assessable.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604" w:right="339" w:bottom="1440" w:gutter="0" w:footer="0" w:header="0"/>
        </w:sectPr>
      </w:pPr>
    </w:p>
    <w:bookmarkStart w:id="169" w:name="page170"/>
    <w:bookmarkEnd w:id="169"/>
    <w:p>
      <w:pPr>
        <w:jc w:val="both"/>
        <w:ind w:firstLine="1296"/>
        <w:spacing w:after="0" w:line="248"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Employment Matters</w:t>
      </w:r>
      <w:r>
        <w:rPr>
          <w:rFonts w:ascii="Arial" w:cs="Arial" w:eastAsia="Arial" w:hAnsi="Arial"/>
          <w:sz w:val="22"/>
          <w:szCs w:val="22"/>
          <w:color w:val="auto"/>
        </w:rPr>
        <w:t>. As of the Effective Date, there are no strikes, lockouts or slowdowns against the Borrower or any Subsidiary pending or, to the knowledge of the Borrower, threatened. The hours worked by and payments made to employees of the Borrower and its Subsidiaries have not been in violation of the Fair Labor Standards Act or any other applicable federal, state, local or foreign law dealing with such matters.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No part of the proceeds of any Loan or Letter of Credit has been used or will be used, whether directly or indirectly, for any purpose that entails a violation of any of the Regulations of the Board, including Regulations T, U and X.</w:t>
      </w:r>
    </w:p>
    <w:p>
      <w:pPr>
        <w:spacing w:after="0" w:line="180"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have been used and will be used, whether directly or indirectly as set forth in Section 5.08.</w:t>
      </w:r>
    </w:p>
    <w:p>
      <w:pPr>
        <w:spacing w:after="0" w:line="161"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No Burdensome Restrictions</w:t>
      </w:r>
      <w:r>
        <w:rPr>
          <w:rFonts w:ascii="Arial" w:cs="Arial" w:eastAsia="Arial" w:hAnsi="Arial"/>
          <w:sz w:val="22"/>
          <w:szCs w:val="22"/>
          <w:color w:val="auto"/>
        </w:rPr>
        <w:t>. The Borrower is not subject to any Burdensome Restrictions except Burdensome Restrictions permitted under Section 6.10.</w:t>
      </w:r>
    </w:p>
    <w:p>
      <w:pPr>
        <w:spacing w:after="0" w:line="16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None of (a) the Borrower, any Subsidiary or any of their respective directors, officers or employees, or (b) to the knowledge of any the Borrower or Subsidiary, any agent of the Borrower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48"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b w:val="1"/>
          <w:bCs w:val="1"/>
          <w:u w:val="single" w:color="auto"/>
          <w:color w:val="0000FF"/>
        </w:rPr>
        <w:t>SECTION 3.21. Plan Assets; Prohibited Transactions. None of the Borrower or any of its Subsidiaries is an entity deemed to hold “plan assets” (within the meaning of the Plan Asset Regulations), and neither the execution, delivery nor performance of the Transactions, including the making of any Loan and the issuance of any Letter of Credit hereunder, will give rise to a non-exempt prohibited transaction under Section 406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604"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w:t>
      </w:r>
    </w:p>
    <w:p>
      <w:pPr>
        <w:spacing w:after="0" w:line="220"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The obligations of the Lender to make the initial Loans and to issue the initial Letters of Credit hereunder shall not become effective until the date on which each of the following conditions is satisfied (or waived in accordance with Section 8.02):</w:t>
      </w:r>
    </w:p>
    <w:p>
      <w:pPr>
        <w:spacing w:after="0" w:line="180" w:lineRule="exact"/>
        <w:rPr>
          <w:sz w:val="20"/>
          <w:szCs w:val="20"/>
          <w:color w:val="auto"/>
        </w:rPr>
      </w:pPr>
    </w:p>
    <w:p>
      <w:pPr>
        <w:jc w:val="both"/>
        <w:ind w:firstLine="1304"/>
        <w:spacing w:after="0" w:line="249" w:lineRule="auto"/>
        <w:tabs>
          <w:tab w:leader="none" w:pos="1756"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Credit Agreement and Loan Documents</w:t>
      </w:r>
      <w:r>
        <w:rPr>
          <w:rFonts w:ascii="Arial" w:cs="Arial" w:eastAsia="Arial" w:hAnsi="Arial"/>
          <w:sz w:val="22"/>
          <w:szCs w:val="22"/>
          <w:color w:val="auto"/>
        </w:rPr>
        <w:t>. The Lender (or its counsel) shall have received (i) from each party hereto either (A) a counterpart of this Agreement signed on behalf of such party or (B) written evidence satisfactory to the Lender (which may include fax or other electronic transmission of a signed signature page of this Agreement) that such party has signed a counterpart of this Agreement and (ii) duly executed copies of the Loan Documents and such other certificates, documents, instruments and agreements as the Lender shall reasonably request in connection with the transactions contemplated by this Agreement and the other Loan Documents.</w:t>
      </w:r>
    </w:p>
    <w:p>
      <w:pPr>
        <w:spacing w:after="0" w:line="193" w:lineRule="exact"/>
        <w:rPr>
          <w:rFonts w:ascii="Arial" w:cs="Arial" w:eastAsia="Arial" w:hAnsi="Arial"/>
          <w:sz w:val="22"/>
          <w:szCs w:val="22"/>
          <w:color w:val="auto"/>
        </w:rPr>
      </w:pPr>
    </w:p>
    <w:p>
      <w:pPr>
        <w:jc w:val="both"/>
        <w:ind w:firstLine="1304"/>
        <w:spacing w:after="0" w:line="297" w:lineRule="auto"/>
        <w:tabs>
          <w:tab w:leader="none" w:pos="1863"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Financial Statements and Projections</w:t>
      </w:r>
      <w:r>
        <w:rPr>
          <w:rFonts w:ascii="Arial" w:cs="Arial" w:eastAsia="Arial" w:hAnsi="Arial"/>
          <w:sz w:val="19"/>
          <w:szCs w:val="19"/>
          <w:color w:val="auto"/>
        </w:rPr>
        <w:t>. The Lender shall have received (i) audited consolidated financial statements of Holdco for the 2015 fiscal year, (ii) unaudited interim consolidated financial statements of Holdco for each fiscal quarter ended after the date of the latest applicable financial statements delivered pursuant to clause (i) of this paragraph as to which such financial statements are available, and such financial statements shall not, in the reasonable judgment of the Lender, reflect any material adverse change in the consolidated financial condition of Holdco, as reflected in the audited, consolidated financial statements described in clause (i) of this paragraph and (iii) satisfactory Projections through December 31, 2016.</w:t>
      </w:r>
    </w:p>
    <w:p>
      <w:pPr>
        <w:spacing w:after="0" w:line="146" w:lineRule="exact"/>
        <w:rPr>
          <w:rFonts w:ascii="Arial" w:cs="Arial" w:eastAsia="Arial" w:hAnsi="Arial"/>
          <w:sz w:val="19"/>
          <w:szCs w:val="19"/>
          <w:color w:val="auto"/>
        </w:rPr>
      </w:pPr>
    </w:p>
    <w:p>
      <w:pPr>
        <w:jc w:val="both"/>
        <w:ind w:firstLine="1304"/>
        <w:spacing w:after="0" w:line="260" w:lineRule="auto"/>
        <w:tabs>
          <w:tab w:leader="none" w:pos="1824"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Closing Certificates; Certified Certificate of Incorporation; Good Standing Certificates</w:t>
      </w:r>
      <w:r>
        <w:rPr>
          <w:rFonts w:ascii="Arial" w:cs="Arial" w:eastAsia="Arial" w:hAnsi="Arial"/>
          <w:sz w:val="21"/>
          <w:szCs w:val="21"/>
          <w:color w:val="auto"/>
        </w:rPr>
        <w:t>. The Lender shall have received (i) a certificate of the Borrower,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the Borrower authorized to sign the Loan Documents to which it is a party and its Financial Officers, and (C) contain appropriate attachments, including the charter, articles or certificate of organization or incorporation of the Borrower certified by the relevant authority of the jurisdiction of organization of the Borrower and a true and correct copy of its bylaws or operating, management or partnership agreement, or other organizational or governing documents, and (ii) a long form good standing certificate for the Borrower from its jurisdiction of organization.</w:t>
      </w:r>
    </w:p>
    <w:p>
      <w:pPr>
        <w:spacing w:after="0" w:line="183" w:lineRule="exact"/>
        <w:rPr>
          <w:rFonts w:ascii="Arial" w:cs="Arial" w:eastAsia="Arial" w:hAnsi="Arial"/>
          <w:sz w:val="21"/>
          <w:szCs w:val="21"/>
          <w:color w:val="auto"/>
        </w:rPr>
      </w:pPr>
    </w:p>
    <w:p>
      <w:pPr>
        <w:jc w:val="both"/>
        <w:ind w:firstLine="1304"/>
        <w:spacing w:after="0" w:line="251" w:lineRule="auto"/>
        <w:tabs>
          <w:tab w:leader="none" w:pos="1822"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No Default Certificate</w:t>
      </w:r>
      <w:r>
        <w:rPr>
          <w:rFonts w:ascii="Arial" w:cs="Arial" w:eastAsia="Arial" w:hAnsi="Arial"/>
          <w:sz w:val="22"/>
          <w:szCs w:val="22"/>
          <w:color w:val="auto"/>
        </w:rPr>
        <w:t>. The Lender shall have received a certificate, signed by a Financial Officer of the Borrower, dated as of the Effective Date (i) stating that no Default has occurred and is continuing, (ii) stating that the representations and warranties contained in the Loan Documents are true and correct as of such date, (iii) certifying as to the Borrower’s current Credit Rating, and (iv) certifying as to any other factual matters as may be reasonably requested by the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604" w:right="339" w:bottom="1440" w:gutter="0" w:footer="0" w:header="0"/>
        </w:sectPr>
      </w:pPr>
    </w:p>
    <w:bookmarkStart w:id="171" w:name="page172"/>
    <w:bookmarkEnd w:id="171"/>
    <w:p>
      <w:pPr>
        <w:jc w:val="both"/>
        <w:ind w:firstLine="1304"/>
        <w:spacing w:after="0" w:line="270" w:lineRule="auto"/>
        <w:tabs>
          <w:tab w:leader="none" w:pos="1729"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Lender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Lender on or before the Effective Date.</w:t>
      </w:r>
    </w:p>
    <w:p>
      <w:pPr>
        <w:spacing w:after="0" w:line="168" w:lineRule="exact"/>
        <w:rPr>
          <w:rFonts w:ascii="Arial" w:cs="Arial" w:eastAsia="Arial" w:hAnsi="Arial"/>
          <w:sz w:val="21"/>
          <w:szCs w:val="21"/>
          <w:color w:val="auto"/>
        </w:rPr>
      </w:pPr>
    </w:p>
    <w:p>
      <w:pPr>
        <w:jc w:val="both"/>
        <w:ind w:right="20" w:firstLine="1304"/>
        <w:spacing w:after="0" w:line="270" w:lineRule="auto"/>
        <w:tabs>
          <w:tab w:leader="none" w:pos="1840"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Lien Searches</w:t>
      </w:r>
      <w:r>
        <w:rPr>
          <w:rFonts w:ascii="Arial" w:cs="Arial" w:eastAsia="Arial" w:hAnsi="Arial"/>
          <w:sz w:val="21"/>
          <w:szCs w:val="21"/>
          <w:color w:val="auto"/>
        </w:rPr>
        <w:t>. The Lender shall have received the results of a recent lien search in the jurisdiction of organization of the Borrower and each jurisdiction where assets of the Borrower are located, and such search shall reveal no Liens on any of the assets of the Borrower except for liens permitted by Section 6.02 or discharged on or prior to the Effective Date pursuant to a pay-off letter or other documentation satisfactory to the Lender.</w:t>
      </w:r>
    </w:p>
    <w:p>
      <w:pPr>
        <w:spacing w:after="0" w:line="168" w:lineRule="exact"/>
        <w:rPr>
          <w:rFonts w:ascii="Arial" w:cs="Arial" w:eastAsia="Arial" w:hAnsi="Arial"/>
          <w:sz w:val="21"/>
          <w:szCs w:val="21"/>
          <w:color w:val="auto"/>
        </w:rPr>
      </w:pPr>
    </w:p>
    <w:p>
      <w:pPr>
        <w:jc w:val="both"/>
        <w:ind w:firstLine="1304"/>
        <w:spacing w:after="0" w:line="278" w:lineRule="auto"/>
        <w:tabs>
          <w:tab w:leader="none" w:pos="1836"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Commitment Reduction</w:t>
      </w:r>
      <w:r>
        <w:rPr>
          <w:rFonts w:ascii="Arial" w:cs="Arial" w:eastAsia="Arial" w:hAnsi="Arial"/>
          <w:sz w:val="21"/>
          <w:szCs w:val="21"/>
          <w:color w:val="auto"/>
        </w:rPr>
        <w:t xml:space="preserve">. The Lender shall have received satisfactory evidence that the commitments and outstandings under the Borrower’s existing credit facility with Wells Fargo Bank, N.A. </w:t>
      </w:r>
      <w:r>
        <w:rPr>
          <w:rFonts w:ascii="Arial" w:cs="Arial" w:eastAsia="Arial" w:hAnsi="Arial"/>
          <w:sz w:val="21"/>
          <w:szCs w:val="21"/>
          <w:color w:val="FF0000"/>
          <w:strike w:val="1"/>
        </w:rPr>
        <w:t>(the “</w:t>
      </w:r>
      <w:r>
        <w:rPr>
          <w:rFonts w:ascii="Arial" w:cs="Arial" w:eastAsia="Arial" w:hAnsi="Arial"/>
          <w:sz w:val="21"/>
          <w:szCs w:val="21"/>
          <w:u w:val="single" w:color="auto"/>
          <w:color w:val="FF0000"/>
          <w:strike w:val="1"/>
        </w:rPr>
        <w:t>Wells Facility</w:t>
      </w:r>
      <w:r>
        <w:rPr>
          <w:rFonts w:ascii="Arial" w:cs="Arial" w:eastAsia="Arial" w:hAnsi="Arial"/>
          <w:sz w:val="21"/>
          <w:szCs w:val="21"/>
          <w:color w:val="FF0000"/>
          <w:strike w:val="1"/>
        </w:rPr>
        <w:t>”)</w:t>
      </w:r>
      <w:r>
        <w:rPr>
          <w:rFonts w:ascii="Arial" w:cs="Arial" w:eastAsia="Arial" w:hAnsi="Arial"/>
          <w:sz w:val="21"/>
          <w:szCs w:val="21"/>
          <w:color w:val="auto"/>
        </w:rPr>
        <w:t xml:space="preserve"> has been permanently reduced to an amount not greater than $3,200,000 effective as of the Effective Date.</w:t>
      </w:r>
    </w:p>
    <w:p>
      <w:pPr>
        <w:spacing w:after="0" w:line="159" w:lineRule="exact"/>
        <w:rPr>
          <w:rFonts w:ascii="Arial" w:cs="Arial" w:eastAsia="Arial" w:hAnsi="Arial"/>
          <w:sz w:val="21"/>
          <w:szCs w:val="21"/>
          <w:color w:val="auto"/>
        </w:rPr>
      </w:pPr>
    </w:p>
    <w:p>
      <w:pPr>
        <w:jc w:val="both"/>
        <w:ind w:firstLine="1304"/>
        <w:spacing w:after="0" w:line="259" w:lineRule="auto"/>
        <w:tabs>
          <w:tab w:leader="none" w:pos="1755"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Funding Account</w:t>
      </w:r>
      <w:r>
        <w:rPr>
          <w:rFonts w:ascii="Arial" w:cs="Arial" w:eastAsia="Arial" w:hAnsi="Arial"/>
          <w:sz w:val="22"/>
          <w:szCs w:val="22"/>
          <w:color w:val="auto"/>
        </w:rPr>
        <w:t>. The Lender shall have received a notice setting forth the deposit account of the Borrower (the “</w:t>
      </w:r>
      <w:r>
        <w:rPr>
          <w:rFonts w:ascii="Arial" w:cs="Arial" w:eastAsia="Arial" w:hAnsi="Arial"/>
          <w:sz w:val="22"/>
          <w:szCs w:val="22"/>
          <w:u w:val="single" w:color="auto"/>
          <w:color w:val="auto"/>
        </w:rPr>
        <w:t>Funding Account</w:t>
      </w:r>
      <w:r>
        <w:rPr>
          <w:rFonts w:ascii="Arial" w:cs="Arial" w:eastAsia="Arial" w:hAnsi="Arial"/>
          <w:sz w:val="22"/>
          <w:szCs w:val="22"/>
          <w:color w:val="auto"/>
        </w:rPr>
        <w:t>”) to which the Lender is authorized by the Borrower to transfer the proceeds of any Borrowings requested or authorized pursuant to this Agreement.</w:t>
      </w:r>
    </w:p>
    <w:p>
      <w:pPr>
        <w:spacing w:after="0" w:line="180" w:lineRule="exact"/>
        <w:rPr>
          <w:rFonts w:ascii="Arial" w:cs="Arial" w:eastAsia="Arial" w:hAnsi="Arial"/>
          <w:sz w:val="22"/>
          <w:szCs w:val="22"/>
          <w:color w:val="auto"/>
        </w:rPr>
      </w:pPr>
    </w:p>
    <w:p>
      <w:pPr>
        <w:ind w:right="20" w:firstLine="1304"/>
        <w:spacing w:after="0" w:line="276" w:lineRule="auto"/>
        <w:tabs>
          <w:tab w:leader="none" w:pos="180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The Lender shall have received a solvency certificate signed by a Financial Officer dated the Effective Date in form and substance reasonably satisfactory to the Lender.</w:t>
      </w:r>
    </w:p>
    <w:p>
      <w:pPr>
        <w:spacing w:after="0" w:line="160" w:lineRule="exact"/>
        <w:rPr>
          <w:rFonts w:ascii="Arial" w:cs="Arial" w:eastAsia="Arial" w:hAnsi="Arial"/>
          <w:sz w:val="22"/>
          <w:szCs w:val="22"/>
          <w:color w:val="auto"/>
        </w:rPr>
      </w:pPr>
    </w:p>
    <w:p>
      <w:pPr>
        <w:ind w:firstLine="1304"/>
        <w:spacing w:after="0" w:line="358" w:lineRule="auto"/>
        <w:tabs>
          <w:tab w:leader="none" w:pos="178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Lender shall have received evidence of insurance coverage in form, scope, and substance reasonably satisfactory to the Lender and otherwise in compliance with the terms of Section 5.10 of this Agreement.</w:t>
      </w:r>
    </w:p>
    <w:p>
      <w:pPr>
        <w:spacing w:after="0" w:line="90" w:lineRule="exact"/>
        <w:rPr>
          <w:rFonts w:ascii="Arial" w:cs="Arial" w:eastAsia="Arial" w:hAnsi="Arial"/>
          <w:sz w:val="19"/>
          <w:szCs w:val="19"/>
          <w:color w:val="auto"/>
        </w:rPr>
      </w:pPr>
    </w:p>
    <w:p>
      <w:pPr>
        <w:jc w:val="both"/>
        <w:ind w:firstLine="1304"/>
        <w:spacing w:after="0" w:line="259" w:lineRule="auto"/>
        <w:tabs>
          <w:tab w:leader="none" w:pos="1782"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The Lender shall have received a properly completed letter of credit application (whether standalone or pursuant to a master agreement, as applicable) if the issuance of a Letter of Credit will be required on the Effective Date.</w:t>
      </w:r>
    </w:p>
    <w:p>
      <w:pPr>
        <w:spacing w:after="0" w:line="180" w:lineRule="exact"/>
        <w:rPr>
          <w:rFonts w:ascii="Arial" w:cs="Arial" w:eastAsia="Arial" w:hAnsi="Arial"/>
          <w:sz w:val="22"/>
          <w:szCs w:val="22"/>
          <w:color w:val="auto"/>
        </w:rPr>
      </w:pPr>
    </w:p>
    <w:p>
      <w:pPr>
        <w:ind w:firstLine="1304"/>
        <w:spacing w:after="0" w:line="276" w:lineRule="auto"/>
        <w:tabs>
          <w:tab w:leader="none" w:pos="172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Legal Due Diligence</w:t>
      </w:r>
      <w:r>
        <w:rPr>
          <w:rFonts w:ascii="Arial" w:cs="Arial" w:eastAsia="Arial" w:hAnsi="Arial"/>
          <w:sz w:val="22"/>
          <w:szCs w:val="22"/>
          <w:color w:val="auto"/>
        </w:rPr>
        <w:t>. The Lender and its counsel shall have completed all legal due diligence, the results of which shall be satisfactory to Lender in its sole discretion.</w:t>
      </w:r>
    </w:p>
    <w:p>
      <w:pPr>
        <w:spacing w:after="0" w:line="160" w:lineRule="exact"/>
        <w:rPr>
          <w:rFonts w:ascii="Arial" w:cs="Arial" w:eastAsia="Arial" w:hAnsi="Arial"/>
          <w:sz w:val="22"/>
          <w:szCs w:val="22"/>
          <w:color w:val="auto"/>
        </w:rPr>
      </w:pPr>
    </w:p>
    <w:p>
      <w:pPr>
        <w:jc w:val="both"/>
        <w:ind w:firstLine="1304"/>
        <w:spacing w:after="0" w:line="319" w:lineRule="auto"/>
        <w:tabs>
          <w:tab w:leader="none" w:pos="186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USA PATRIOT Act, Etc</w:t>
      </w:r>
      <w:r>
        <w:rPr>
          <w:rFonts w:ascii="Arial" w:cs="Arial" w:eastAsia="Arial" w:hAnsi="Arial"/>
          <w:sz w:val="19"/>
          <w:szCs w:val="19"/>
          <w:color w:val="auto"/>
        </w:rPr>
        <w:t>. The Lender shall have received all documentation and other information required by bank regulatory authorities under applicable “know your customer” and anti-money laundering rules and regulations, including USA PATRIOT Act, and a properly completed and signed IRS Form W-8 or W-9, as applicable, for the Borrower.</w:t>
      </w:r>
    </w:p>
    <w:p>
      <w:pPr>
        <w:spacing w:after="0" w:line="127" w:lineRule="exact"/>
        <w:rPr>
          <w:rFonts w:ascii="Arial" w:cs="Arial" w:eastAsia="Arial" w:hAnsi="Arial"/>
          <w:sz w:val="19"/>
          <w:szCs w:val="19"/>
          <w:color w:val="auto"/>
        </w:rPr>
      </w:pPr>
    </w:p>
    <w:p>
      <w:pPr>
        <w:ind w:firstLine="1304"/>
        <w:spacing w:after="0" w:line="276" w:lineRule="auto"/>
        <w:tabs>
          <w:tab w:leader="none" w:pos="1795"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The Lender shall have received such other documents as the Lender or its counsel may have reasonably requested.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604"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The Lender shall notify the Borrower of the Effective Date, and such notice shall be conclusive and binding.</w:t>
      </w:r>
    </w:p>
    <w:p>
      <w:pPr>
        <w:spacing w:after="0" w:line="220"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21"/>
          <w:szCs w:val="21"/>
          <w:u w:val="single" w:color="auto"/>
          <w:color w:val="auto"/>
        </w:rPr>
        <w:t>Each Credit Event</w:t>
      </w:r>
      <w:r>
        <w:rPr>
          <w:rFonts w:ascii="Arial" w:cs="Arial" w:eastAsia="Arial" w:hAnsi="Arial"/>
          <w:sz w:val="21"/>
          <w:szCs w:val="21"/>
          <w:color w:val="auto"/>
        </w:rPr>
        <w:t>. The obligation of the Lender to make a Loan on the occasion of any</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Borrowing, and to issue, amend, renew or extend any Letter of Credit, is subject to the satisfaction of the following conditions:</w:t>
      </w:r>
    </w:p>
    <w:p>
      <w:pPr>
        <w:spacing w:after="0" w:line="250" w:lineRule="exact"/>
        <w:rPr>
          <w:sz w:val="20"/>
          <w:szCs w:val="20"/>
          <w:color w:val="auto"/>
        </w:rPr>
      </w:pPr>
    </w:p>
    <w:p>
      <w:pPr>
        <w:jc w:val="both"/>
        <w:ind w:firstLine="1304"/>
        <w:spacing w:after="0" w:line="249" w:lineRule="auto"/>
        <w:tabs>
          <w:tab w:leader="none" w:pos="172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93" w:lineRule="exact"/>
        <w:rPr>
          <w:rFonts w:ascii="Arial" w:cs="Arial" w:eastAsia="Arial" w:hAnsi="Arial"/>
          <w:sz w:val="22"/>
          <w:szCs w:val="22"/>
          <w:color w:val="auto"/>
        </w:rPr>
      </w:pPr>
    </w:p>
    <w:p>
      <w:pPr>
        <w:ind w:firstLine="1304"/>
        <w:spacing w:after="0" w:line="276" w:lineRule="auto"/>
        <w:tabs>
          <w:tab w:leader="none" w:pos="172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or the issuance, amendment, renewal or extension of such Letter of Credit, as applicable, no Default shall have occurred and be continuing.</w:t>
      </w:r>
    </w:p>
    <w:p>
      <w:pPr>
        <w:spacing w:after="0" w:line="160" w:lineRule="exact"/>
        <w:rPr>
          <w:rFonts w:ascii="Arial" w:cs="Arial" w:eastAsia="Arial" w:hAnsi="Arial"/>
          <w:sz w:val="22"/>
          <w:szCs w:val="22"/>
          <w:color w:val="auto"/>
        </w:rPr>
      </w:pPr>
    </w:p>
    <w:p>
      <w:pPr>
        <w:ind w:firstLine="1304"/>
        <w:spacing w:after="0" w:line="276" w:lineRule="auto"/>
        <w:tabs>
          <w:tab w:leader="none" w:pos="172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 event shall have occurred and no condition shall exist which has or could be reasonably expected to have a Material Adverse Effect.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Borrowing and each issuance, amendment, renewal or extension of a Letter of Credit shall be deemed to constitute a representation and warranty by the Borrower on the date thereof as to the matters specified in paragraphs (a), (b) and (c) of this Section.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Until the Commitment shall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Borrower covenants and agrees with the Lender that:</w:t>
      </w:r>
    </w:p>
    <w:p>
      <w:pPr>
        <w:spacing w:after="0" w:line="133"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Financial Statements; Other Information</w:t>
      </w:r>
      <w:r>
        <w:rPr>
          <w:rFonts w:ascii="Arial" w:cs="Arial" w:eastAsia="Arial" w:hAnsi="Arial"/>
          <w:sz w:val="19"/>
          <w:szCs w:val="19"/>
          <w:color w:val="auto"/>
        </w:rPr>
        <w:t>. The Borrower will furnish to the Lender:</w:t>
      </w:r>
    </w:p>
    <w:p>
      <w:pPr>
        <w:spacing w:after="0" w:line="227" w:lineRule="exact"/>
        <w:rPr>
          <w:sz w:val="20"/>
          <w:szCs w:val="20"/>
          <w:color w:val="auto"/>
        </w:rPr>
      </w:pPr>
    </w:p>
    <w:p>
      <w:pPr>
        <w:jc w:val="both"/>
        <w:ind w:firstLine="1304"/>
        <w:spacing w:after="0" w:line="251" w:lineRule="auto"/>
        <w:tabs>
          <w:tab w:leader="none" w:pos="179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within 100 days after the end of each fiscal year of </w:t>
      </w:r>
      <w:r>
        <w:rPr>
          <w:rFonts w:ascii="Arial" w:cs="Arial" w:eastAsia="Arial" w:hAnsi="Arial"/>
          <w:sz w:val="22"/>
          <w:szCs w:val="22"/>
          <w:color w:val="FF0000"/>
          <w:strike w:val="1"/>
        </w:rPr>
        <w:t>Holdco</w:t>
      </w:r>
      <w:r>
        <w:rPr>
          <w:rFonts w:ascii="Arial" w:cs="Arial" w:eastAsia="Arial" w:hAnsi="Arial"/>
          <w:sz w:val="22"/>
          <w:szCs w:val="22"/>
          <w:b w:val="1"/>
          <w:bCs w:val="1"/>
          <w:u w:val="single" w:color="auto"/>
          <w:color w:val="0000FF"/>
        </w:rPr>
        <w:t>Borrower</w:t>
      </w:r>
      <w:r>
        <w:rPr>
          <w:rFonts w:ascii="Arial" w:cs="Arial" w:eastAsia="Arial" w:hAnsi="Arial"/>
          <w:sz w:val="22"/>
          <w:szCs w:val="22"/>
          <w:color w:val="auto"/>
        </w:rPr>
        <w:t xml:space="preserve">, </w:t>
      </w:r>
      <w:r>
        <w:rPr>
          <w:rFonts w:ascii="Arial" w:cs="Arial" w:eastAsia="Arial" w:hAnsi="Arial"/>
          <w:sz w:val="22"/>
          <w:szCs w:val="22"/>
          <w:color w:val="FF0000"/>
          <w:strike w:val="1"/>
        </w:rPr>
        <w:t>(i)</w:t>
      </w:r>
      <w:r>
        <w:rPr>
          <w:rFonts w:ascii="Arial" w:cs="Arial" w:eastAsia="Arial" w:hAnsi="Arial"/>
          <w:sz w:val="22"/>
          <w:szCs w:val="22"/>
          <w:color w:val="auto"/>
        </w:rPr>
        <w:t xml:space="preserve"> its audited consolidated balance sheet and related income statement,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604" w:right="339" w:bottom="1440" w:gutter="0" w:footer="0" w:header="0"/>
        </w:sectPr>
      </w:pPr>
    </w:p>
    <w:bookmarkStart w:id="173" w:name="page174"/>
    <w:bookmarkEnd w:id="173"/>
    <w:p>
      <w:pPr>
        <w:jc w:val="both"/>
        <w:spacing w:after="0" w:line="298" w:lineRule="auto"/>
        <w:rPr>
          <w:sz w:val="20"/>
          <w:szCs w:val="20"/>
          <w:color w:val="auto"/>
        </w:rPr>
      </w:pPr>
      <w:r>
        <w:rPr>
          <w:rFonts w:ascii="Arial" w:cs="Arial" w:eastAsia="Arial" w:hAnsi="Arial"/>
          <w:sz w:val="19"/>
          <w:szCs w:val="19"/>
          <w:color w:val="auto"/>
        </w:rPr>
        <w:t xml:space="preserve">operations of </w:t>
      </w:r>
      <w:r>
        <w:rPr>
          <w:rFonts w:ascii="Arial" w:cs="Arial" w:eastAsia="Arial" w:hAnsi="Arial"/>
          <w:sz w:val="19"/>
          <w:szCs w:val="19"/>
          <w:color w:val="FF0000"/>
          <w:strike w:val="1"/>
        </w:rPr>
        <w:t>Holdco</w:t>
      </w:r>
      <w:r>
        <w:rPr>
          <w:rFonts w:ascii="Arial" w:cs="Arial" w:eastAsia="Arial" w:hAnsi="Arial"/>
          <w:sz w:val="19"/>
          <w:szCs w:val="19"/>
          <w:b w:val="1"/>
          <w:bCs w:val="1"/>
          <w:u w:val="single" w:color="auto"/>
          <w:color w:val="0000FF"/>
        </w:rPr>
        <w:t>Borrower</w:t>
      </w:r>
      <w:r>
        <w:rPr>
          <w:rFonts w:ascii="Arial" w:cs="Arial" w:eastAsia="Arial" w:hAnsi="Arial"/>
          <w:sz w:val="19"/>
          <w:szCs w:val="19"/>
          <w:color w:val="auto"/>
        </w:rPr>
        <w:t xml:space="preserve"> and its consolidated Subsidiaries on a consolidated basis in accordance with GAAP consistently applied, accompanied by any management letter prepared by said accountants </w:t>
      </w:r>
      <w:r>
        <w:rPr>
          <w:rFonts w:ascii="Arial" w:cs="Arial" w:eastAsia="Arial" w:hAnsi="Arial"/>
          <w:sz w:val="19"/>
          <w:szCs w:val="19"/>
          <w:color w:val="008000"/>
          <w:strike w:val="1"/>
        </w:rPr>
        <w:t>and (ii)</w:t>
      </w:r>
      <w:r>
        <w:rPr>
          <w:rFonts w:ascii="Arial" w:cs="Arial" w:eastAsia="Arial" w:hAnsi="Arial"/>
          <w:sz w:val="19"/>
          <w:szCs w:val="19"/>
          <w:color w:val="auto"/>
        </w:rPr>
        <w:t xml:space="preserve"> </w:t>
      </w:r>
      <w:r>
        <w:rPr>
          <w:rFonts w:ascii="Arial" w:cs="Arial" w:eastAsia="Arial" w:hAnsi="Arial"/>
          <w:sz w:val="19"/>
          <w:szCs w:val="19"/>
          <w:color w:val="FF0000"/>
          <w:strike w:val="1"/>
        </w:rPr>
        <w:t>its unaudited</w:t>
      </w:r>
      <w:r>
        <w:rPr>
          <w:rFonts w:ascii="Arial" w:cs="Arial" w:eastAsia="Arial" w:hAnsi="Arial"/>
          <w:sz w:val="19"/>
          <w:szCs w:val="19"/>
          <w:color w:val="auto"/>
        </w:rPr>
        <w:t xml:space="preserve"> </w:t>
      </w:r>
      <w:r>
        <w:rPr>
          <w:rFonts w:ascii="Arial" w:cs="Arial" w:eastAsia="Arial" w:hAnsi="Arial"/>
          <w:sz w:val="19"/>
          <w:szCs w:val="19"/>
          <w:color w:val="008000"/>
          <w:strike w:val="1"/>
        </w:rPr>
        <w:t>consolidating balance sheet</w:t>
      </w:r>
      <w:r>
        <w:rPr>
          <w:rFonts w:ascii="Arial" w:cs="Arial" w:eastAsia="Arial" w:hAnsi="Arial"/>
          <w:sz w:val="19"/>
          <w:szCs w:val="19"/>
          <w:color w:val="auto"/>
        </w:rPr>
        <w:t xml:space="preserve"> </w:t>
      </w:r>
      <w:r>
        <w:rPr>
          <w:rFonts w:ascii="Arial" w:cs="Arial" w:eastAsia="Arial" w:hAnsi="Arial"/>
          <w:sz w:val="19"/>
          <w:szCs w:val="19"/>
          <w:color w:val="008000"/>
          <w:strike w:val="1"/>
        </w:rPr>
        <w:t>and related income statement</w:t>
      </w:r>
      <w:r>
        <w:rPr>
          <w:rFonts w:ascii="Arial" w:cs="Arial" w:eastAsia="Arial" w:hAnsi="Arial"/>
          <w:sz w:val="19"/>
          <w:szCs w:val="19"/>
          <w:color w:val="FF0000"/>
          <w:strike w:val="1"/>
        </w:rPr>
        <w:t>, stockholders’ equity and</w:t>
      </w:r>
      <w:r>
        <w:rPr>
          <w:rFonts w:ascii="Arial" w:cs="Arial" w:eastAsia="Arial" w:hAnsi="Arial"/>
          <w:sz w:val="19"/>
          <w:szCs w:val="19"/>
          <w:color w:val="008000"/>
          <w:strike w:val="1"/>
        </w:rPr>
        <w:t xml:space="preserve"> cash flows</w:t>
      </w:r>
      <w:r>
        <w:rPr>
          <w:rFonts w:ascii="Arial" w:cs="Arial" w:eastAsia="Arial" w:hAnsi="Arial"/>
          <w:sz w:val="19"/>
          <w:szCs w:val="19"/>
          <w:color w:val="FF0000"/>
          <w:strike w:val="1"/>
        </w:rPr>
        <w:t>, all certified by a Financial Officer to the effect that such</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consolidating financial statements present fairly in all material respects the financial condition and results of operations of Holdco and its consolidated Subsidiaries </w:t>
      </w:r>
      <w:r>
        <w:rPr>
          <w:rFonts w:ascii="Arial" w:cs="Arial" w:eastAsia="Arial" w:hAnsi="Arial"/>
          <w:sz w:val="19"/>
          <w:szCs w:val="19"/>
          <w:color w:val="008000"/>
          <w:strike w:val="1"/>
        </w:rPr>
        <w:t>in accordance with</w:t>
      </w:r>
      <w:r>
        <w:rPr>
          <w:rFonts w:ascii="Arial" w:cs="Arial" w:eastAsia="Arial" w:hAnsi="Arial"/>
          <w:sz w:val="19"/>
          <w:szCs w:val="19"/>
          <w:color w:val="FF0000"/>
          <w:strike w:val="1"/>
        </w:rPr>
        <w:t xml:space="preserve"> GAAP consistently applied.</w:t>
      </w:r>
      <w:r>
        <w:rPr>
          <w:rFonts w:ascii="Arial" w:cs="Arial" w:eastAsia="Arial" w:hAnsi="Arial"/>
          <w:sz w:val="19"/>
          <w:szCs w:val="19"/>
          <w:b w:val="1"/>
          <w:bCs w:val="1"/>
          <w:u w:val="single" w:color="auto"/>
          <w:color w:val="0000FF"/>
          <w:strike w:val="1"/>
        </w:rPr>
        <w:t>.</w:t>
      </w:r>
    </w:p>
    <w:p>
      <w:pPr>
        <w:spacing w:after="0" w:line="142" w:lineRule="exact"/>
        <w:rPr>
          <w:sz w:val="20"/>
          <w:szCs w:val="20"/>
          <w:color w:val="auto"/>
        </w:rPr>
      </w:pPr>
    </w:p>
    <w:p>
      <w:pPr>
        <w:jc w:val="both"/>
        <w:ind w:firstLine="1304"/>
        <w:spacing w:after="0" w:line="290" w:lineRule="auto"/>
        <w:tabs>
          <w:tab w:leader="none" w:pos="184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within 60 days after the end of each of the first three fiscal quarters of Holdco, </w:t>
      </w:r>
      <w:r>
        <w:rPr>
          <w:rFonts w:ascii="Arial" w:cs="Arial" w:eastAsia="Arial" w:hAnsi="Arial"/>
          <w:sz w:val="19"/>
          <w:szCs w:val="19"/>
          <w:b w:val="1"/>
          <w:bCs w:val="1"/>
          <w:u w:val="single" w:color="auto"/>
          <w:color w:val="0000FF"/>
        </w:rPr>
        <w:t>(i)</w:t>
      </w:r>
      <w:r>
        <w:rPr>
          <w:rFonts w:ascii="Arial" w:cs="Arial" w:eastAsia="Arial" w:hAnsi="Arial"/>
          <w:sz w:val="19"/>
          <w:szCs w:val="19"/>
          <w:color w:val="auto"/>
        </w:rPr>
        <w:t xml:space="preserve"> its consolidated </w:t>
      </w:r>
      <w:r>
        <w:rPr>
          <w:rFonts w:ascii="Arial" w:cs="Arial" w:eastAsia="Arial" w:hAnsi="Arial"/>
          <w:sz w:val="19"/>
          <w:szCs w:val="19"/>
          <w:color w:val="FF0000"/>
          <w:strike w:val="1"/>
        </w:rPr>
        <w:t>and</w:t>
      </w:r>
      <w:r>
        <w:rPr>
          <w:rFonts w:ascii="Arial" w:cs="Arial" w:eastAsia="Arial" w:hAnsi="Arial"/>
          <w:sz w:val="19"/>
          <w:szCs w:val="19"/>
          <w:color w:val="auto"/>
        </w:rPr>
        <w:t xml:space="preserve"> </w:t>
      </w:r>
      <w:r>
        <w:rPr>
          <w:rFonts w:ascii="Arial" w:cs="Arial" w:eastAsia="Arial" w:hAnsi="Arial"/>
          <w:sz w:val="19"/>
          <w:szCs w:val="19"/>
          <w:color w:val="FF0000"/>
          <w:strike w:val="1"/>
        </w:rPr>
        <w:t>consolidating</w:t>
      </w:r>
      <w:r>
        <w:rPr>
          <w:rFonts w:ascii="Arial" w:cs="Arial" w:eastAsia="Arial" w:hAnsi="Arial"/>
          <w:sz w:val="19"/>
          <w:szCs w:val="19"/>
          <w:color w:val="FF0000"/>
        </w:rPr>
        <w:t xml:space="preserve"> </w:t>
      </w:r>
      <w:r>
        <w:rPr>
          <w:rFonts w:ascii="Arial" w:cs="Arial" w:eastAsia="Arial" w:hAnsi="Arial"/>
          <w:sz w:val="19"/>
          <w:szCs w:val="19"/>
          <w:color w:val="000000"/>
        </w:rPr>
        <w:t>balance sheet and related income statement</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FF0000"/>
        </w:rPr>
        <w:t xml:space="preserve"> </w:t>
      </w:r>
      <w:r>
        <w:rPr>
          <w:rFonts w:ascii="Arial" w:cs="Arial" w:eastAsia="Arial" w:hAnsi="Arial"/>
          <w:sz w:val="19"/>
          <w:szCs w:val="19"/>
          <w:color w:val="000000"/>
        </w:rPr>
        <w:t>stockholders’ equity</w:t>
      </w:r>
      <w:r>
        <w:rPr>
          <w:rFonts w:ascii="Arial" w:cs="Arial" w:eastAsia="Arial" w:hAnsi="Arial"/>
          <w:sz w:val="19"/>
          <w:szCs w:val="19"/>
          <w:color w:val="FF0000"/>
        </w:rPr>
        <w:t xml:space="preserve"> </w:t>
      </w:r>
      <w:r>
        <w:rPr>
          <w:rFonts w:ascii="Arial" w:cs="Arial" w:eastAsia="Arial" w:hAnsi="Arial"/>
          <w:sz w:val="19"/>
          <w:szCs w:val="19"/>
          <w:color w:val="FF0000"/>
          <w:strike w:val="1"/>
        </w:rPr>
        <w:t>and cash flows</w:t>
      </w:r>
      <w:r>
        <w:rPr>
          <w:rFonts w:ascii="Arial" w:cs="Arial" w:eastAsia="Arial" w:hAnsi="Arial"/>
          <w:sz w:val="19"/>
          <w:szCs w:val="19"/>
          <w:color w:val="FF0000"/>
        </w:rPr>
        <w:t xml:space="preserve"> </w:t>
      </w:r>
      <w:r>
        <w:rPr>
          <w:rFonts w:ascii="Arial" w:cs="Arial" w:eastAsia="Arial" w:hAnsi="Arial"/>
          <w:sz w:val="19"/>
          <w:szCs w:val="19"/>
          <w:color w:val="000000"/>
        </w:rPr>
        <w:t>as of the end of and for such</w:t>
      </w:r>
      <w:r>
        <w:rPr>
          <w:rFonts w:ascii="Arial" w:cs="Arial" w:eastAsia="Arial" w:hAnsi="Arial"/>
          <w:sz w:val="19"/>
          <w:szCs w:val="19"/>
          <w:color w:val="FF0000"/>
        </w:rPr>
        <w:t xml:space="preserve"> </w:t>
      </w:r>
      <w:r>
        <w:rPr>
          <w:rFonts w:ascii="Arial" w:cs="Arial" w:eastAsia="Arial" w:hAnsi="Arial"/>
          <w:sz w:val="19"/>
          <w:szCs w:val="19"/>
          <w:color w:val="000000"/>
        </w:rPr>
        <w:t xml:space="preserve">fiscal quarter and the then elapsed portion of such fiscal year, setting forth in each case in comparative form the figures for the corresponding period or periods of (or, in the case of the balance sheet, as of the end of) the previous fiscal year </w:t>
      </w:r>
      <w:r>
        <w:rPr>
          <w:rFonts w:ascii="Arial" w:cs="Arial" w:eastAsia="Arial" w:hAnsi="Arial"/>
          <w:sz w:val="19"/>
          <w:szCs w:val="19"/>
          <w:b w:val="1"/>
          <w:bCs w:val="1"/>
          <w:u w:val="single" w:color="auto"/>
          <w:color w:val="0000FF"/>
        </w:rPr>
        <w:t>and in the case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 xml:space="preserve">of the cash flows, the then elapsed portion of such fiscal year and the comparative form for the corresponding previous fiscal year, (ii) the </w:t>
      </w:r>
      <w:r>
        <w:rPr>
          <w:rFonts w:ascii="Arial" w:cs="Arial" w:eastAsia="Arial" w:hAnsi="Arial"/>
          <w:sz w:val="19"/>
          <w:szCs w:val="19"/>
          <w:u w:val="single" w:color="auto"/>
          <w:color w:val="008000"/>
        </w:rPr>
        <w:t>consolidating balance sheet and related income statement</w:t>
      </w:r>
      <w:r>
        <w:rPr>
          <w:rFonts w:ascii="Arial" w:cs="Arial" w:eastAsia="Arial" w:hAnsi="Arial"/>
          <w:sz w:val="19"/>
          <w:szCs w:val="19"/>
          <w:b w:val="1"/>
          <w:bCs w:val="1"/>
          <w:u w:val="single" w:color="auto"/>
          <w:color w:val="0000FF"/>
        </w:rPr>
        <w:t xml:space="preserve"> for the time elapsed for the current fiscal year and previous fiscal year and (iii) the statement of </w:t>
      </w:r>
      <w:r>
        <w:rPr>
          <w:rFonts w:ascii="Arial" w:cs="Arial" w:eastAsia="Arial" w:hAnsi="Arial"/>
          <w:sz w:val="19"/>
          <w:szCs w:val="19"/>
          <w:u w:val="single" w:color="auto"/>
          <w:color w:val="008000"/>
        </w:rPr>
        <w:t>cash flows</w:t>
      </w:r>
      <w:r>
        <w:rPr>
          <w:rFonts w:ascii="Arial" w:cs="Arial" w:eastAsia="Arial" w:hAnsi="Arial"/>
          <w:sz w:val="19"/>
          <w:szCs w:val="19"/>
          <w:b w:val="1"/>
          <w:bCs w:val="1"/>
          <w:u w:val="single" w:color="auto"/>
          <w:color w:val="0000FF"/>
        </w:rPr>
        <w:t xml:space="preserve"> of the Borrower </w:t>
      </w:r>
      <w:r>
        <w:rPr>
          <w:rFonts w:ascii="Arial" w:cs="Arial" w:eastAsia="Arial" w:hAnsi="Arial"/>
          <w:sz w:val="19"/>
          <w:szCs w:val="19"/>
          <w:u w:val="single" w:color="auto"/>
          <w:color w:val="008000"/>
        </w:rPr>
        <w:t>as of the</w:t>
      </w:r>
      <w:r>
        <w:rPr>
          <w:rFonts w:ascii="Arial" w:cs="Arial" w:eastAsia="Arial" w:hAnsi="Arial"/>
          <w:sz w:val="19"/>
          <w:szCs w:val="19"/>
          <w:b w:val="1"/>
          <w:bCs w:val="1"/>
          <w:u w:val="single" w:color="auto"/>
          <w:color w:val="0000FF"/>
        </w:rPr>
        <w:t xml:space="preserve"> then elapsed portion of such fiscal year, setting forth in comparative form the figures for the corresponding period of the previous fiscal year</w:t>
      </w:r>
      <w:r>
        <w:rPr>
          <w:rFonts w:ascii="Arial" w:cs="Arial" w:eastAsia="Arial" w:hAnsi="Arial"/>
          <w:sz w:val="19"/>
          <w:szCs w:val="19"/>
          <w:color w:val="000000"/>
        </w:rPr>
        <w:t>, all certified by</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 Financial Officer as presenting fairly in all material respects the financial condition and results of operations of Holdco and its consolidated Subsidiaries on a consolidated basis </w:t>
      </w:r>
      <w:r>
        <w:rPr>
          <w:rFonts w:ascii="Arial" w:cs="Arial" w:eastAsia="Arial" w:hAnsi="Arial"/>
          <w:sz w:val="19"/>
          <w:szCs w:val="19"/>
          <w:b w:val="1"/>
          <w:bCs w:val="1"/>
          <w:u w:val="single" w:color="auto"/>
          <w:color w:val="0000FF"/>
        </w:rPr>
        <w:t>(or, in the case of clause (iii), the Borrower)</w:t>
      </w:r>
      <w:r>
        <w:rPr>
          <w:rFonts w:ascii="Arial" w:cs="Arial" w:eastAsia="Arial" w:hAnsi="Arial"/>
          <w:sz w:val="19"/>
          <w:szCs w:val="19"/>
          <w:color w:val="000000"/>
        </w:rPr>
        <w:t xml:space="preserve"> in accordance with GAAP consistently applied, subject to normal year-end audit adjustments and the absence of footnotes;</w:t>
      </w:r>
    </w:p>
    <w:p>
      <w:pPr>
        <w:spacing w:after="0" w:line="152" w:lineRule="exact"/>
        <w:rPr>
          <w:rFonts w:ascii="Arial" w:cs="Arial" w:eastAsia="Arial" w:hAnsi="Arial"/>
          <w:sz w:val="19"/>
          <w:szCs w:val="19"/>
          <w:color w:val="auto"/>
        </w:rPr>
      </w:pPr>
    </w:p>
    <w:p>
      <w:pPr>
        <w:jc w:val="both"/>
        <w:ind w:firstLine="1304"/>
        <w:spacing w:after="0" w:line="290" w:lineRule="auto"/>
        <w:tabs>
          <w:tab w:leader="none" w:pos="191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concurrently with any delivery of financial statements under clause (a) or (b) above (collectively or individually, as the context requires, the “Financial Statements”), a certificate of a Financial Officer in substantially the form of Exhibit B (i) certifying, in the case of the Financial Statements delivered under clause (b) above, as presenting fairly in all material respects the financial condition and results of operations of Holdco and its consolidated Subsidiaries on a consolidated basis in accordance with GAAP</w:t>
      </w:r>
      <w:r>
        <w:rPr>
          <w:rFonts w:ascii="Arial" w:cs="Arial" w:eastAsia="Arial" w:hAnsi="Arial"/>
          <w:sz w:val="19"/>
          <w:szCs w:val="19"/>
          <w:b w:val="1"/>
          <w:bCs w:val="1"/>
          <w:u w:val="single" w:color="auto"/>
          <w:color w:val="0000FF"/>
        </w:rPr>
        <w:t>, or the Borrower, as applicable,</w:t>
      </w:r>
      <w:r>
        <w:rPr>
          <w:rFonts w:ascii="Arial" w:cs="Arial" w:eastAsia="Arial" w:hAnsi="Arial"/>
          <w:sz w:val="19"/>
          <w:szCs w:val="19"/>
          <w:color w:val="auto"/>
        </w:rPr>
        <w:t xml:space="preserve">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54" w:lineRule="exact"/>
        <w:rPr>
          <w:rFonts w:ascii="Arial" w:cs="Arial" w:eastAsia="Arial" w:hAnsi="Arial"/>
          <w:sz w:val="19"/>
          <w:szCs w:val="19"/>
          <w:color w:val="auto"/>
        </w:rPr>
      </w:pPr>
    </w:p>
    <w:p>
      <w:pPr>
        <w:jc w:val="both"/>
        <w:ind w:firstLine="1304"/>
        <w:spacing w:after="0" w:line="254" w:lineRule="auto"/>
        <w:tabs>
          <w:tab w:leader="none" w:pos="179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as soon as available, but in any event no later than 100 days after the end of each fiscal year of Holdco, a copy of the plan and forecast (including a projected consolidated and consolidating balance sheet, income statement and cash flow statement) of the Borrower and its Subsidiaries for each month of the upcoming fiscal year (the “</w:t>
      </w:r>
      <w:r>
        <w:rPr>
          <w:rFonts w:ascii="Arial" w:cs="Arial" w:eastAsia="Arial" w:hAnsi="Arial"/>
          <w:sz w:val="22"/>
          <w:szCs w:val="22"/>
          <w:u w:val="single" w:color="auto"/>
          <w:color w:val="auto"/>
        </w:rPr>
        <w:t>Projections</w:t>
      </w:r>
      <w:r>
        <w:rPr>
          <w:rFonts w:ascii="Arial" w:cs="Arial" w:eastAsia="Arial" w:hAnsi="Arial"/>
          <w:sz w:val="22"/>
          <w:szCs w:val="22"/>
          <w:color w:val="auto"/>
        </w:rPr>
        <w:t>”) in form reasonably satisfactory to the Lender;</w:t>
      </w:r>
    </w:p>
    <w:p>
      <w:pPr>
        <w:spacing w:after="0" w:line="184" w:lineRule="exact"/>
        <w:rPr>
          <w:rFonts w:ascii="Arial" w:cs="Arial" w:eastAsia="Arial" w:hAnsi="Arial"/>
          <w:sz w:val="22"/>
          <w:szCs w:val="22"/>
          <w:color w:val="auto"/>
        </w:rPr>
      </w:pPr>
    </w:p>
    <w:p>
      <w:pPr>
        <w:ind w:right="20" w:firstLine="1304"/>
        <w:spacing w:after="0" w:line="276" w:lineRule="auto"/>
        <w:tabs>
          <w:tab w:leader="none" w:pos="178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material reports, proxy statements and other materials filed by Holdco, the Borrower or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598" w:right="339" w:bottom="1440" w:gutter="0" w:footer="0" w:header="0"/>
        </w:sectPr>
      </w:pPr>
    </w:p>
    <w:bookmarkStart w:id="174" w:name="page175"/>
    <w:bookmarkEnd w:id="174"/>
    <w:p>
      <w:pPr>
        <w:spacing w:after="0" w:line="287" w:lineRule="auto"/>
        <w:rPr>
          <w:sz w:val="20"/>
          <w:szCs w:val="20"/>
          <w:color w:val="auto"/>
        </w:rPr>
      </w:pPr>
      <w:r>
        <w:rPr>
          <w:rFonts w:ascii="Arial" w:cs="Arial" w:eastAsia="Arial" w:hAnsi="Arial"/>
          <w:sz w:val="21"/>
          <w:szCs w:val="21"/>
          <w:color w:val="auto"/>
        </w:rPr>
        <w:t>Subsidiary with the SEC, or any Governmental Authority succeeding to any or all of the functions of the SEC, or with any national securities exchange, or distributed by the Borrower to its shareholders generally, as the case may be;</w:t>
      </w:r>
    </w:p>
    <w:p>
      <w:pPr>
        <w:spacing w:after="0" w:line="151" w:lineRule="exact"/>
        <w:rPr>
          <w:sz w:val="20"/>
          <w:szCs w:val="20"/>
          <w:color w:val="auto"/>
        </w:rPr>
      </w:pPr>
    </w:p>
    <w:p>
      <w:pPr>
        <w:jc w:val="both"/>
        <w:ind w:firstLine="1304"/>
        <w:spacing w:after="0" w:line="259" w:lineRule="auto"/>
        <w:tabs>
          <w:tab w:leader="none" w:pos="169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information regarding the operations, business affairs and financial condition of the Borrower or any Subsidiary, or compliance with the terms of this Agreement, as the Lender may reasonably request;</w:t>
      </w:r>
    </w:p>
    <w:p>
      <w:pPr>
        <w:spacing w:after="0" w:line="180" w:lineRule="exact"/>
        <w:rPr>
          <w:rFonts w:ascii="Arial" w:cs="Arial" w:eastAsia="Arial" w:hAnsi="Arial"/>
          <w:sz w:val="22"/>
          <w:szCs w:val="22"/>
          <w:color w:val="auto"/>
        </w:rPr>
      </w:pPr>
    </w:p>
    <w:p>
      <w:pPr>
        <w:ind w:firstLine="1304"/>
        <w:spacing w:after="0" w:line="276" w:lineRule="auto"/>
        <w:tabs>
          <w:tab w:leader="none" w:pos="176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promptly thereafter, any announcement by S&amp;P of any change or possible change in a Credit Rating or any announcement by Moody’s or S&amp;P of a new Credit Rating; </w:t>
      </w:r>
      <w:r>
        <w:rPr>
          <w:rFonts w:ascii="Arial" w:cs="Arial" w:eastAsia="Arial" w:hAnsi="Arial"/>
          <w:sz w:val="22"/>
          <w:szCs w:val="22"/>
          <w:color w:val="FF0000"/>
          <w:strike w:val="1"/>
        </w:rPr>
        <w:t>and</w:t>
      </w:r>
    </w:p>
    <w:p>
      <w:pPr>
        <w:spacing w:after="0" w:line="160" w:lineRule="exact"/>
        <w:rPr>
          <w:rFonts w:ascii="Arial" w:cs="Arial" w:eastAsia="Arial" w:hAnsi="Arial"/>
          <w:sz w:val="22"/>
          <w:szCs w:val="22"/>
          <w:color w:val="auto"/>
        </w:rPr>
      </w:pPr>
    </w:p>
    <w:p>
      <w:pPr>
        <w:jc w:val="both"/>
        <w:ind w:firstLine="1304"/>
        <w:spacing w:after="0" w:line="262" w:lineRule="auto"/>
        <w:tabs>
          <w:tab w:leader="none" w:pos="172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promptly after any request therefor by the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r>
        <w:rPr>
          <w:rFonts w:ascii="Arial" w:cs="Arial" w:eastAsia="Arial" w:hAnsi="Arial"/>
          <w:sz w:val="21"/>
          <w:szCs w:val="21"/>
          <w:color w:val="FF0000"/>
          <w:strike w:val="1"/>
        </w:rPr>
        <w:t>.</w:t>
      </w:r>
      <w:r>
        <w:rPr>
          <w:rFonts w:ascii="Arial" w:cs="Arial" w:eastAsia="Arial" w:hAnsi="Arial"/>
          <w:sz w:val="21"/>
          <w:szCs w:val="21"/>
          <w:b w:val="1"/>
          <w:bCs w:val="1"/>
          <w:u w:val="single" w:color="auto"/>
          <w:color w:val="0000FF"/>
        </w:rPr>
        <w:t>; and</w:t>
      </w:r>
    </w:p>
    <w:p>
      <w:pPr>
        <w:spacing w:after="0" w:line="173" w:lineRule="exact"/>
        <w:rPr>
          <w:rFonts w:ascii="Arial" w:cs="Arial" w:eastAsia="Arial" w:hAnsi="Arial"/>
          <w:sz w:val="21"/>
          <w:szCs w:val="21"/>
          <w:color w:val="auto"/>
        </w:rPr>
      </w:pPr>
    </w:p>
    <w:p>
      <w:pPr>
        <w:jc w:val="both"/>
        <w:ind w:firstLine="1304"/>
        <w:spacing w:after="0" w:line="281" w:lineRule="auto"/>
        <w:tabs>
          <w:tab w:leader="none" w:pos="1720" w:val="left"/>
        </w:tabs>
        <w:numPr>
          <w:ilvl w:val="0"/>
          <w:numId w:val="165"/>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promptly following any request therefor, information and documentation reasonably requested by the Lender for purposes of compliance with applicable “know your customer” and anti-money laundering rules and regulations</w:t>
      </w:r>
      <w:r>
        <w:rPr>
          <w:rFonts w:ascii="Arial" w:cs="Arial" w:eastAsia="Arial" w:hAnsi="Arial"/>
          <w:sz w:val="21"/>
          <w:szCs w:val="21"/>
          <w:u w:val="single" w:color="auto"/>
          <w:color w:val="008000"/>
        </w:rPr>
        <w:t>, including the</w:t>
      </w:r>
      <w:r>
        <w:rPr>
          <w:rFonts w:ascii="Arial" w:cs="Arial" w:eastAsia="Arial" w:hAnsi="Arial"/>
          <w:sz w:val="21"/>
          <w:szCs w:val="21"/>
          <w:b w:val="1"/>
          <w:bCs w:val="1"/>
          <w:u w:val="single" w:color="auto"/>
          <w:color w:val="0000FF"/>
        </w:rPr>
        <w:t xml:space="preserve"> USA Patriot Act and the Beneficial Ownership Regulation.</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Documents required to be delivered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may be delivered by electronic mail and documents required to be delivered pursuant to </w:t>
      </w:r>
      <w:r>
        <w:rPr>
          <w:rFonts w:ascii="Arial" w:cs="Arial" w:eastAsia="Arial" w:hAnsi="Arial"/>
          <w:sz w:val="22"/>
          <w:szCs w:val="22"/>
          <w:u w:val="single" w:color="auto"/>
          <w:color w:val="auto"/>
        </w:rPr>
        <w:t>Sections 5.01(e)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 xml:space="preserve"> shall be deemed to have been delivered if Borrower has timely filed such items with the SEC on the SEC’s Electronic Data Gathering, Analysis and Retrieval System or any successor SEC electronic filing system for such purposes.</w:t>
      </w:r>
    </w:p>
    <w:p>
      <w:pPr>
        <w:spacing w:after="0" w:line="18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Borrower will furnish to the Lender prompt (but in any event within any time period that may be specified below) written notice of the following:</w:t>
      </w:r>
    </w:p>
    <w:p>
      <w:pPr>
        <w:spacing w:after="0" w:line="161" w:lineRule="exact"/>
        <w:rPr>
          <w:sz w:val="20"/>
          <w:szCs w:val="20"/>
          <w:color w:val="auto"/>
        </w:rPr>
      </w:pPr>
    </w:p>
    <w:p>
      <w:pPr>
        <w:ind w:left="1720" w:hanging="416"/>
        <w:spacing w:after="0"/>
        <w:tabs>
          <w:tab w:leader="none" w:pos="17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33" w:lineRule="exact"/>
        <w:rPr>
          <w:rFonts w:ascii="Arial" w:cs="Arial" w:eastAsia="Arial" w:hAnsi="Arial"/>
          <w:sz w:val="22"/>
          <w:szCs w:val="22"/>
          <w:color w:val="auto"/>
        </w:rPr>
      </w:pPr>
    </w:p>
    <w:p>
      <w:pPr>
        <w:jc w:val="both"/>
        <w:ind w:firstLine="1304"/>
        <w:spacing w:after="0" w:line="249" w:lineRule="auto"/>
        <w:tabs>
          <w:tab w:leader="none" w:pos="186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receipt of any notice of any investigation by a Governmental Authority or any litigation or proceeding commenced or threatened against the Borrower or any Subsidiary that (i) seeks damages in excess of $5,000,000, (ii) seeks injunctive relief, (iii) is asserted or instituted against any Plan, its fiduciaries or its assets, (iv) alleges criminal misconduct by the Borrower or any Subsidiary, (v) alleges the violation of, or seeks to impose remedies under any Environmental Law or related Requirement of Law, or seeks to impose Environmental Liability, in each case where such violation, remedy or liability could reasonably be expected to result in a Material Adverse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604" w:right="339" w:bottom="1440" w:gutter="0" w:footer="0" w:header="0"/>
        </w:sectPr>
      </w:pPr>
    </w:p>
    <w:bookmarkStart w:id="175" w:name="page176"/>
    <w:bookmarkEnd w:id="175"/>
    <w:p>
      <w:pPr>
        <w:spacing w:after="0" w:line="263" w:lineRule="auto"/>
        <w:rPr>
          <w:sz w:val="20"/>
          <w:szCs w:val="20"/>
          <w:color w:val="auto"/>
        </w:rPr>
      </w:pPr>
      <w:r>
        <w:rPr>
          <w:rFonts w:ascii="Arial" w:cs="Arial" w:eastAsia="Arial" w:hAnsi="Arial"/>
          <w:sz w:val="22"/>
          <w:szCs w:val="22"/>
          <w:color w:val="auto"/>
        </w:rPr>
        <w:t>Effect, or (vi) asserts liability on the part of the Borrower or any Subsidiary in excess of $5,000,000 in respect of any tax, fee, assessment, or other governmental charge;</w:t>
      </w:r>
    </w:p>
    <w:p>
      <w:pPr>
        <w:spacing w:after="0" w:line="175" w:lineRule="exact"/>
        <w:rPr>
          <w:sz w:val="20"/>
          <w:szCs w:val="20"/>
          <w:color w:val="auto"/>
        </w:rPr>
      </w:pPr>
    </w:p>
    <w:p>
      <w:pPr>
        <w:jc w:val="both"/>
        <w:ind w:firstLine="1304"/>
        <w:spacing w:after="0" w:line="259" w:lineRule="auto"/>
        <w:tabs>
          <w:tab w:leader="none" w:pos="174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the occurrence of any ERISA Event that, alone or together with any other ERISA Events that have occurred, could reasonably be expected to result in liability of the Borrower and its Subsidiaries in an aggregate amount exceeding $5,000,000; </w:t>
      </w:r>
      <w:r>
        <w:rPr>
          <w:rFonts w:ascii="Arial" w:cs="Arial" w:eastAsia="Arial" w:hAnsi="Arial"/>
          <w:sz w:val="22"/>
          <w:szCs w:val="22"/>
          <w:color w:val="FF0000"/>
          <w:strike w:val="1"/>
        </w:rPr>
        <w:t>and</w:t>
      </w:r>
    </w:p>
    <w:p>
      <w:pPr>
        <w:spacing w:after="0" w:line="180" w:lineRule="exact"/>
        <w:rPr>
          <w:rFonts w:ascii="Arial" w:cs="Arial" w:eastAsia="Arial" w:hAnsi="Arial"/>
          <w:sz w:val="22"/>
          <w:szCs w:val="22"/>
          <w:color w:val="auto"/>
        </w:rPr>
      </w:pPr>
    </w:p>
    <w:p>
      <w:pPr>
        <w:ind w:left="1880" w:hanging="576"/>
        <w:spacing w:after="0"/>
        <w:tabs>
          <w:tab w:leader="none" w:pos="18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r>
        <w:rPr>
          <w:rFonts w:ascii="Arial" w:cs="Arial" w:eastAsia="Arial" w:hAnsi="Arial"/>
          <w:sz w:val="22"/>
          <w:szCs w:val="22"/>
          <w:color w:val="FF0000"/>
          <w:strike w:val="1"/>
        </w:rPr>
        <w:t>.</w:t>
      </w:r>
      <w:r>
        <w:rPr>
          <w:rFonts w:ascii="Arial" w:cs="Arial" w:eastAsia="Arial" w:hAnsi="Arial"/>
          <w:sz w:val="22"/>
          <w:szCs w:val="22"/>
          <w:b w:val="1"/>
          <w:bCs w:val="1"/>
          <w:u w:val="single" w:color="auto"/>
          <w:color w:val="0000FF"/>
        </w:rPr>
        <w:t>; and</w:t>
      </w:r>
    </w:p>
    <w:p>
      <w:pPr>
        <w:spacing w:after="0" w:line="209" w:lineRule="exact"/>
        <w:rPr>
          <w:rFonts w:ascii="Arial" w:cs="Arial" w:eastAsia="Arial" w:hAnsi="Arial"/>
          <w:sz w:val="19"/>
          <w:szCs w:val="19"/>
          <w:color w:val="auto"/>
        </w:rPr>
      </w:pPr>
    </w:p>
    <w:p>
      <w:pPr>
        <w:ind w:firstLine="1304"/>
        <w:spacing w:after="0" w:line="307" w:lineRule="auto"/>
        <w:tabs>
          <w:tab w:leader="none" w:pos="1837" w:val="left"/>
        </w:tabs>
        <w:numPr>
          <w:ilvl w:val="0"/>
          <w:numId w:val="167"/>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any change in the information provided in the Beneficial Ownership Certification delivered to the Lender that would result in a change to the list of beneficial owners identified in such certification.</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Borrower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8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The Borrower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has set aside on its books adequate reserves with respect thereto in accordance with GAAP and (c) the failure to make payment pending such contest could not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will, and will cause each Subsidiary to, remit all Taxes to appropriate Governmental Authorities as and when claimed to be due, notwithstanding the foregoing exceptions.</w:t>
      </w:r>
    </w:p>
    <w:p>
      <w:pPr>
        <w:spacing w:after="0" w:line="15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The Borrower will, and will cause each Subsidiary to, keep and maintain all property material to the conduct of its business in good working order and condition, ordinary wear and tear excepted.</w:t>
      </w:r>
    </w:p>
    <w:p>
      <w:pPr>
        <w:spacing w:after="0" w:line="180" w:lineRule="exact"/>
        <w:rPr>
          <w:sz w:val="20"/>
          <w:szCs w:val="20"/>
          <w:color w:val="auto"/>
        </w:rPr>
      </w:pPr>
    </w:p>
    <w:p>
      <w:pPr>
        <w:jc w:val="right"/>
        <w:spacing w:after="0"/>
        <w:tabs>
          <w:tab w:leader="none" w:pos="828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The Borrower will, and will cause each Subsidiary to,</w:t>
      </w:r>
    </w:p>
    <w:p>
      <w:pPr>
        <w:spacing w:after="0" w:line="21" w:lineRule="exact"/>
        <w:rPr>
          <w:sz w:val="20"/>
          <w:szCs w:val="20"/>
          <w:color w:val="auto"/>
        </w:rPr>
      </w:pPr>
    </w:p>
    <w:p>
      <w:pPr>
        <w:jc w:val="both"/>
        <w:ind w:firstLine="8"/>
        <w:spacing w:after="0" w:line="251" w:lineRule="auto"/>
        <w:tabs>
          <w:tab w:leader="none" w:pos="31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keep proper books of record and account in which full, true and correct entries are made of all dealings and transactions in relation to its business and activities and (b) permit any representatives designated by the Lender (including employees of the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604" w:right="339" w:bottom="1440" w:gutter="0" w:footer="0" w:header="0"/>
        </w:sectPr>
      </w:pPr>
    </w:p>
    <w:bookmarkStart w:id="176" w:name="page177"/>
    <w:bookmarkEnd w:id="176"/>
    <w:p>
      <w:pPr>
        <w:jc w:val="both"/>
        <w:spacing w:after="0" w:line="302" w:lineRule="auto"/>
        <w:rPr>
          <w:sz w:val="20"/>
          <w:szCs w:val="20"/>
          <w:color w:val="auto"/>
        </w:rPr>
      </w:pPr>
      <w:r>
        <w:rPr>
          <w:rFonts w:ascii="Arial" w:cs="Arial" w:eastAsia="Arial" w:hAnsi="Arial"/>
          <w:sz w:val="19"/>
          <w:szCs w:val="19"/>
          <w:color w:val="auto"/>
        </w:rPr>
        <w:t>or any consultants, accountants, lawyers, and agents retained by the Lender), upon reasonable prior notice, to visit and inspect its properties, conduct at the Borrower’s premises inspections of the Borrower’s and its Subsidiaries’ books and records, including examining and making extracts from its books and records, and to discuss its affairs, finances and condition with its officers and independent accountants, all at such reasonable times and as often as reasonably requested.</w:t>
      </w:r>
    </w:p>
    <w:p>
      <w:pPr>
        <w:spacing w:after="0" w:line="142"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u w:val="single" w:color="auto"/>
          <w:color w:val="auto"/>
        </w:rPr>
        <w:t>Compliance with Laws and Material Contractual Obligations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1" w:lineRule="auto"/>
        <w:tabs>
          <w:tab w:leader="none" w:pos="171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Borrower will, and will cause each Subsidiary to, (i) comply with each Requirement of Law applicable to it or its property (including, without limitation, Environmental Laws) and (ii) perform in all material respects its obligations under the Material Agreements to which it is a party.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9" w:lineRule="exact"/>
        <w:rPr>
          <w:rFonts w:ascii="Arial" w:cs="Arial" w:eastAsia="Arial" w:hAnsi="Arial"/>
          <w:sz w:val="22"/>
          <w:szCs w:val="22"/>
          <w:color w:val="auto"/>
        </w:rPr>
      </w:pPr>
    </w:p>
    <w:p>
      <w:pPr>
        <w:jc w:val="both"/>
        <w:ind w:firstLine="1304"/>
        <w:spacing w:after="0" w:line="300" w:lineRule="auto"/>
        <w:tabs>
          <w:tab w:leader="none" w:pos="176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 the Borrower and each Subsidiary shall not petition, request or take any legal or administrative action that seeks to amend, supplement or modify any Regulatory Approval in any material respect unless such amendment, supplement or modification could not reasonably be expected to result in a Material Adverse Effect. The Borrower shall promptly upon receipt by it or any Subsidiary or upon publication furnish to the Lender a copy (certified by an Authorized Officer of the Borrower) of each amendment, supplement or modification to any such Regulatory Approval.</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74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If any Impairment shall occur of any Regulatory Approval which could reasonably be expected to result in a Material Adverse Effect, then the Borrower shall or shall cause such Subsidiary to either (i) promptly and diligently apply for and use commercially reasonable efforts to obtain a replacement Regulatory Approval on terms and conditions that are in all material respects the same as those of such Impaired Regulatory Approval or (ii) take such lawful action as shall be necessary to prevent such Impairment from becoming final and non-appealable or otherwise irrevocable, to postpone the effectiveness of such Impairment and to cause such Impairment to be revoked or amended or modified so as to eliminate the reasonable possibility of such Material Adverse Effect.</w:t>
      </w:r>
    </w:p>
    <w:p>
      <w:pPr>
        <w:spacing w:after="0" w:line="19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319" w:lineRule="auto"/>
        <w:tabs>
          <w:tab w:leader="none" w:pos="174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proceeds of the Loans and the Letters of Credit will be used only for refinancing existing debt, working capital and general corporate purposes. No part of the proceeds of any Loan and no Letter of Credit will be used, whether directly or indirectly, for any purpose that entails a violation of any of the Regulations of the Board, including Regulations T, U and X.</w:t>
      </w:r>
    </w:p>
    <w:p>
      <w:pPr>
        <w:spacing w:after="0" w:line="127" w:lineRule="exact"/>
        <w:rPr>
          <w:rFonts w:ascii="Arial" w:cs="Arial" w:eastAsia="Arial" w:hAnsi="Arial"/>
          <w:sz w:val="19"/>
          <w:szCs w:val="19"/>
          <w:color w:val="auto"/>
        </w:rPr>
      </w:pPr>
    </w:p>
    <w:p>
      <w:pPr>
        <w:jc w:val="both"/>
        <w:ind w:firstLine="1304"/>
        <w:spacing w:after="0" w:line="266" w:lineRule="auto"/>
        <w:tabs>
          <w:tab w:leader="none" w:pos="1768"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604" w:right="339" w:bottom="1440" w:gutter="0" w:footer="0" w:header="0"/>
        </w:sectPr>
      </w:pPr>
    </w:p>
    <w:bookmarkStart w:id="177" w:name="page178"/>
    <w:bookmarkEnd w:id="177"/>
    <w:p>
      <w:pPr>
        <w:jc w:val="both"/>
        <w:spacing w:after="0" w:line="263" w:lineRule="auto"/>
        <w:rPr>
          <w:sz w:val="20"/>
          <w:szCs w:val="20"/>
          <w:color w:val="auto"/>
        </w:rPr>
      </w:pPr>
      <w:r>
        <w:rPr>
          <w:rFonts w:ascii="Arial" w:cs="Arial" w:eastAsia="Arial" w:hAnsi="Arial"/>
          <w:sz w:val="22"/>
          <w:szCs w:val="22"/>
          <w:color w:val="auto"/>
        </w:rPr>
        <w:t>any Sanctioned Person, or in any Sanctioned Country, or (c) in any manner that would result in the violation of any Sanctions applicable to any party hereto.</w:t>
      </w:r>
    </w:p>
    <w:p>
      <w:pPr>
        <w:spacing w:after="0" w:line="17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The Borrower will ensure that any information, including financial statements or other documents, furnished to the Lender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Borrower will cause the Projections to be prepared in good faith based upon assumptions believed to be reasonable at the time.</w:t>
      </w:r>
    </w:p>
    <w:p>
      <w:pPr>
        <w:spacing w:after="0" w:line="15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Insurance</w:t>
      </w:r>
      <w:r>
        <w:rPr>
          <w:rFonts w:ascii="Arial" w:cs="Arial" w:eastAsia="Arial" w:hAnsi="Arial"/>
          <w:sz w:val="22"/>
          <w:szCs w:val="22"/>
          <w:color w:val="auto"/>
        </w:rPr>
        <w:t>. The Borrower will, and will cause each Subsidiary to, maintain with financially sound and reputable carriers having a financial strength rating of at least A- by A.M. Best Company insurance in such amounts (with no greater risk retention) and against such risks (including, without limitation, loss or damage by fire;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The Borrower will furnish to the Lender information in reasonable detail as to the insurance so maintained.</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Material Licenses and Permits</w:t>
      </w:r>
      <w:r>
        <w:rPr>
          <w:rFonts w:ascii="Arial" w:cs="Arial" w:eastAsia="Arial" w:hAnsi="Arial"/>
          <w:sz w:val="22"/>
          <w:szCs w:val="22"/>
          <w:color w:val="auto"/>
        </w:rPr>
        <w:t>. The Borrower and its Subsidiaries shall maintain each license, permit or franchise issued by a Governmental Authority necessary for the conduct of its business except where the failure to do so could not reasonably be expected to have a Material Adverse Effect.</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Depository Banks</w:t>
      </w:r>
      <w:r>
        <w:rPr>
          <w:rFonts w:ascii="Arial" w:cs="Arial" w:eastAsia="Arial" w:hAnsi="Arial"/>
          <w:sz w:val="22"/>
          <w:szCs w:val="22"/>
          <w:color w:val="auto"/>
        </w:rPr>
        <w:t>. From and after December 31, 2016, the Borrower and each Subsidiary will maintain the Lender as its principal depository bank, including for the maintenance of operating, administrative, cash management, collection activity, and other deposit accounts for the conduct of its business.</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Without limiting the foregoing, the Borrower will, and will cause each Subsidiary to, execute and deliver, or cause to be executed and delivered, to the Lender such documents, agreements and instruments, and will take or cause to be taken such further actions, which may be required by any Requirement of Law or which the Lender may, from time to time, reasonably request to carry out the terms and conditions of this Agreement and the other Loan Documents, all at the expense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604"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Until the Commitment shall have expired or been terminated and the principal of and interest on each Loan and all fees, expenses and other amounts payable under any Loan Document shall have been paid in full and all Letters of Credit shall have expired or terminated, in each case without any pending draw, and all LC Disbursements shall have been reimbursed, the Borrower covenants and agrees with the Lender that:</w:t>
      </w:r>
    </w:p>
    <w:p>
      <w:pPr>
        <w:spacing w:after="0" w:line="18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nor will it permit any Subsidiary to, create, incur, assume or suffer to exist any Indebtedness, except:</w:t>
      </w:r>
    </w:p>
    <w:p>
      <w:pPr>
        <w:spacing w:after="0" w:line="161" w:lineRule="exact"/>
        <w:rPr>
          <w:sz w:val="20"/>
          <w:szCs w:val="20"/>
          <w:color w:val="auto"/>
        </w:rPr>
      </w:pPr>
    </w:p>
    <w:p>
      <w:pPr>
        <w:ind w:left="1820" w:hanging="516"/>
        <w:spacing w:after="0"/>
        <w:tabs>
          <w:tab w:leader="none" w:pos="18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Obligations hereunder and any other Indebtedness incurred by the Borrower or any Subsidiary that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owing to the Lender;</w:t>
      </w:r>
    </w:p>
    <w:p>
      <w:pPr>
        <w:spacing w:after="0" w:line="215" w:lineRule="exact"/>
        <w:rPr>
          <w:rFonts w:ascii="Arial" w:cs="Arial" w:eastAsia="Arial" w:hAnsi="Arial"/>
          <w:sz w:val="19"/>
          <w:szCs w:val="19"/>
          <w:color w:val="auto"/>
        </w:rPr>
      </w:pPr>
    </w:p>
    <w:p>
      <w:pPr>
        <w:ind w:firstLine="1304"/>
        <w:spacing w:after="0" w:line="276" w:lineRule="auto"/>
        <w:tabs>
          <w:tab w:leader="none" w:pos="189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 xml:space="preserve">Indebtedness existing on the date hereof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and any extensions, renewals, refinancings and replacements of any such Indebtedness in accordance with clause (f) hereof;</w:t>
      </w:r>
    </w:p>
    <w:p>
      <w:pPr>
        <w:spacing w:after="0" w:line="160" w:lineRule="exact"/>
        <w:rPr>
          <w:rFonts w:ascii="Arial" w:cs="Arial" w:eastAsia="Arial" w:hAnsi="Arial"/>
          <w:sz w:val="22"/>
          <w:szCs w:val="22"/>
          <w:color w:val="auto"/>
        </w:rPr>
      </w:pPr>
    </w:p>
    <w:p>
      <w:pPr>
        <w:ind w:left="1720" w:hanging="416"/>
        <w:spacing w:after="0"/>
        <w:tabs>
          <w:tab w:leader="none" w:pos="172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unsecured Indebtedness consisting of Permitted Intercompany Advances;</w:t>
      </w:r>
    </w:p>
    <w:p>
      <w:pPr>
        <w:spacing w:after="0" w:line="233" w:lineRule="exact"/>
        <w:rPr>
          <w:rFonts w:ascii="Arial" w:cs="Arial" w:eastAsia="Arial" w:hAnsi="Arial"/>
          <w:sz w:val="22"/>
          <w:szCs w:val="22"/>
          <w:color w:val="auto"/>
        </w:rPr>
      </w:pPr>
    </w:p>
    <w:p>
      <w:pPr>
        <w:ind w:firstLine="1304"/>
        <w:spacing w:after="0" w:line="358" w:lineRule="auto"/>
        <w:tabs>
          <w:tab w:leader="none" w:pos="1741"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Guarantees by the Borrower of Indebtedness of any Subsidiary and by any Subsidiary of Indebtedness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Indebtedness so Guaranteed is permitted by this Section 6.01;</w:t>
      </w:r>
    </w:p>
    <w:p>
      <w:pPr>
        <w:spacing w:after="0" w:line="90" w:lineRule="exact"/>
        <w:rPr>
          <w:rFonts w:ascii="Arial" w:cs="Arial" w:eastAsia="Arial" w:hAnsi="Arial"/>
          <w:sz w:val="19"/>
          <w:szCs w:val="19"/>
          <w:color w:val="auto"/>
        </w:rPr>
      </w:pPr>
    </w:p>
    <w:p>
      <w:pPr>
        <w:jc w:val="both"/>
        <w:ind w:firstLine="1304"/>
        <w:spacing w:after="0" w:line="287" w:lineRule="auto"/>
        <w:tabs>
          <w:tab w:leader="none" w:pos="193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is incurred prior to or within 90 days after such acquisition or the completion of such construction or improvement and (ii) the aggregate principal amount of Indebtedness permitted by this clause</w:t>
      </w:r>
    </w:p>
    <w:p>
      <w:pPr>
        <w:spacing w:after="0" w:line="2" w:lineRule="exact"/>
        <w:rPr>
          <w:rFonts w:ascii="Arial" w:cs="Arial" w:eastAsia="Arial" w:hAnsi="Arial"/>
          <w:sz w:val="19"/>
          <w:szCs w:val="19"/>
          <w:color w:val="auto"/>
        </w:rPr>
      </w:pPr>
    </w:p>
    <w:p>
      <w:pPr>
        <w:ind w:right="20" w:firstLine="8"/>
        <w:spacing w:after="0" w:line="246" w:lineRule="auto"/>
        <w:tabs>
          <w:tab w:leader="none" w:pos="31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together with any Refinance Indebtedness in respect thereof permitted by clause (f) below, shall not exceed $10,000,000 at any time outstanding;</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705" w:val="left"/>
        </w:tabs>
        <w:numPr>
          <w:ilvl w:val="1"/>
          <w:numId w:val="172"/>
        </w:numPr>
        <w:rPr>
          <w:rFonts w:ascii="Arial" w:cs="Arial" w:eastAsia="Arial" w:hAnsi="Arial"/>
          <w:sz w:val="19"/>
          <w:szCs w:val="19"/>
          <w:color w:val="auto"/>
        </w:rPr>
      </w:pPr>
      <w:r>
        <w:rPr>
          <w:rFonts w:ascii="Arial" w:cs="Arial" w:eastAsia="Arial" w:hAnsi="Arial"/>
          <w:sz w:val="19"/>
          <w:szCs w:val="19"/>
          <w:color w:val="auto"/>
        </w:rPr>
        <w:t>Indebtedness which represents extensions, renewals, refinancing or replacements (such Indebtedness being so extended, renewed, refinanced or replaced being referred to herein as the “</w:t>
      </w:r>
      <w:r>
        <w:rPr>
          <w:rFonts w:ascii="Arial" w:cs="Arial" w:eastAsia="Arial" w:hAnsi="Arial"/>
          <w:sz w:val="19"/>
          <w:szCs w:val="19"/>
          <w:u w:val="single" w:color="auto"/>
          <w:color w:val="auto"/>
        </w:rPr>
        <w:t>Refinance Indebtedness</w:t>
      </w:r>
      <w:r>
        <w:rPr>
          <w:rFonts w:ascii="Arial" w:cs="Arial" w:eastAsia="Arial" w:hAnsi="Arial"/>
          <w:sz w:val="19"/>
          <w:szCs w:val="19"/>
          <w:color w:val="auto"/>
        </w:rPr>
        <w:t xml:space="preserve">”) of any of the Indebtedness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(q)</w:t>
      </w:r>
      <w:r>
        <w:rPr>
          <w:rFonts w:ascii="Arial" w:cs="Arial" w:eastAsia="Arial" w:hAnsi="Arial"/>
          <w:sz w:val="19"/>
          <w:szCs w:val="19"/>
          <w:color w:val="auto"/>
        </w:rPr>
        <w:t xml:space="preserve"> hereof (such Indebtedness being referred to herein as the “</w:t>
      </w:r>
      <w:r>
        <w:rPr>
          <w:rFonts w:ascii="Arial" w:cs="Arial" w:eastAsia="Arial" w:hAnsi="Arial"/>
          <w:sz w:val="19"/>
          <w:szCs w:val="19"/>
          <w:u w:val="single" w:color="auto"/>
          <w:color w:val="auto"/>
        </w:rPr>
        <w:t>Original Indebtedness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Refinance Indebtedness does not increase the principal amount or interest rate of the Original Indebtedness,</w:t>
      </w:r>
    </w:p>
    <w:p>
      <w:pPr>
        <w:spacing w:after="0" w:line="1" w:lineRule="exact"/>
        <w:rPr>
          <w:rFonts w:ascii="Arial" w:cs="Arial" w:eastAsia="Arial" w:hAnsi="Arial"/>
          <w:sz w:val="19"/>
          <w:szCs w:val="19"/>
          <w:color w:val="auto"/>
        </w:rPr>
      </w:pPr>
    </w:p>
    <w:p>
      <w:pPr>
        <w:jc w:val="both"/>
        <w:ind w:firstLine="8"/>
        <w:spacing w:after="0" w:line="262" w:lineRule="auto"/>
        <w:tabs>
          <w:tab w:leader="none" w:pos="368" w:val="left"/>
        </w:tabs>
        <w:numPr>
          <w:ilvl w:val="0"/>
          <w:numId w:val="173"/>
        </w:numPr>
        <w:rPr>
          <w:rFonts w:ascii="Arial" w:cs="Arial" w:eastAsia="Arial" w:hAnsi="Arial"/>
          <w:sz w:val="21"/>
          <w:szCs w:val="21"/>
          <w:color w:val="auto"/>
        </w:rPr>
      </w:pPr>
      <w:r>
        <w:rPr>
          <w:rFonts w:ascii="Arial" w:cs="Arial" w:eastAsia="Arial" w:hAnsi="Arial"/>
          <w:sz w:val="21"/>
          <w:szCs w:val="21"/>
          <w:color w:val="auto"/>
        </w:rPr>
        <w:t>any Liens securing such Refinance Indebtedness are not extended to any additional property of the Borrower or any Subsidiary, (iii) neither the Borrower nor any Subsidiary that is not originally obligated with respect to repayment of such Original Indebtedness is required to become obligated with respect to such Refinance Indebtedness, (iv)</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604" w:right="339" w:bottom="1440" w:gutter="0" w:footer="0" w:header="0"/>
        </w:sectPr>
      </w:pPr>
    </w:p>
    <w:bookmarkStart w:id="179" w:name="page180"/>
    <w:bookmarkEnd w:id="179"/>
    <w:p>
      <w:pPr>
        <w:jc w:val="both"/>
        <w:spacing w:after="0" w:line="263" w:lineRule="auto"/>
        <w:rPr>
          <w:sz w:val="20"/>
          <w:szCs w:val="20"/>
          <w:color w:val="auto"/>
        </w:rPr>
      </w:pPr>
      <w:r>
        <w:rPr>
          <w:rFonts w:ascii="Arial" w:cs="Arial" w:eastAsia="Arial" w:hAnsi="Arial"/>
          <w:sz w:val="21"/>
          <w:szCs w:val="21"/>
          <w:color w:val="auto"/>
        </w:rPr>
        <w:t>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Obligations, then the terms and conditions of such Refinance Indebtedness must include subordination terms and conditions that are at least as favorable to the Lender as those that were applicable to such Original Indebtedness;</w:t>
      </w:r>
    </w:p>
    <w:p>
      <w:pPr>
        <w:spacing w:after="0" w:line="175" w:lineRule="exact"/>
        <w:rPr>
          <w:sz w:val="20"/>
          <w:szCs w:val="20"/>
          <w:color w:val="auto"/>
        </w:rPr>
      </w:pPr>
    </w:p>
    <w:p>
      <w:pPr>
        <w:jc w:val="both"/>
        <w:ind w:firstLine="1304"/>
        <w:spacing w:after="0" w:line="259" w:lineRule="auto"/>
        <w:tabs>
          <w:tab w:leader="none" w:pos="1836"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0" w:lineRule="exact"/>
        <w:rPr>
          <w:rFonts w:ascii="Arial" w:cs="Arial" w:eastAsia="Arial" w:hAnsi="Arial"/>
          <w:sz w:val="22"/>
          <w:szCs w:val="22"/>
          <w:color w:val="auto"/>
        </w:rPr>
      </w:pPr>
    </w:p>
    <w:p>
      <w:pPr>
        <w:ind w:firstLine="1304"/>
        <w:spacing w:after="0" w:line="276" w:lineRule="auto"/>
        <w:tabs>
          <w:tab w:leader="none" w:pos="1795"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Indebtedness of the Borrower in respect of performance bonds, bid bonds, appeal bonds, surety bonds and similar obligations, in each case provided in the ordinary course of business;</w:t>
      </w:r>
    </w:p>
    <w:p>
      <w:pPr>
        <w:spacing w:after="0" w:line="160" w:lineRule="exact"/>
        <w:rPr>
          <w:rFonts w:ascii="Arial" w:cs="Arial" w:eastAsia="Arial" w:hAnsi="Arial"/>
          <w:sz w:val="22"/>
          <w:szCs w:val="22"/>
          <w:color w:val="auto"/>
        </w:rPr>
      </w:pPr>
    </w:p>
    <w:p>
      <w:pPr>
        <w:jc w:val="both"/>
        <w:ind w:firstLine="1304"/>
        <w:spacing w:after="0" w:line="299" w:lineRule="auto"/>
        <w:tabs>
          <w:tab w:leader="none" w:pos="172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issuances of unsecured Indebtedness; provided that (i) the maturity of such Indebtedness must be at least six months after the Maturity Date; (ii) no Default shall have occurred both before and after giving effect to such Indebtedness; </w:t>
      </w:r>
      <w:r>
        <w:rPr>
          <w:rFonts w:ascii="Arial" w:cs="Arial" w:eastAsia="Arial" w:hAnsi="Arial"/>
          <w:sz w:val="19"/>
          <w:szCs w:val="19"/>
          <w:b w:val="1"/>
          <w:bCs w:val="1"/>
          <w:u w:val="single" w:color="auto"/>
          <w:color w:val="0000FF"/>
        </w:rPr>
        <w:t>and</w:t>
      </w:r>
    </w:p>
    <w:p>
      <w:pPr>
        <w:jc w:val="both"/>
        <w:ind w:firstLine="8"/>
        <w:spacing w:after="0" w:line="258" w:lineRule="auto"/>
        <w:tabs>
          <w:tab w:leader="none" w:pos="40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the Borrower and its Subsidiaries are in pro forma compliance with each covenant set forth in Section 6.12 for the fiscal quarter then last ended for which financial statements have been delivered to Lender (as though such new issuance of Indebtedness was incurred as of the last day of such fiscal quarter); </w:t>
      </w:r>
      <w:r>
        <w:rPr>
          <w:rFonts w:ascii="Arial" w:cs="Arial" w:eastAsia="Arial" w:hAnsi="Arial"/>
          <w:sz w:val="21"/>
          <w:szCs w:val="21"/>
          <w:color w:val="FF0000"/>
          <w:strike w:val="1"/>
        </w:rPr>
        <w:t>and (iv) the aggregate amount of Indebtedness incurred</w:t>
      </w:r>
      <w:r>
        <w:rPr>
          <w:rFonts w:ascii="Arial" w:cs="Arial" w:eastAsia="Arial" w:hAnsi="Arial"/>
          <w:sz w:val="21"/>
          <w:szCs w:val="21"/>
          <w:color w:val="auto"/>
        </w:rPr>
        <w:t xml:space="preserve"> </w:t>
      </w:r>
      <w:r>
        <w:rPr>
          <w:rFonts w:ascii="Arial" w:cs="Arial" w:eastAsia="Arial" w:hAnsi="Arial"/>
          <w:sz w:val="21"/>
          <w:szCs w:val="21"/>
          <w:color w:val="FF0000"/>
          <w:strike w:val="1"/>
        </w:rPr>
        <w:t>pursuant to this clause (i) (</w:t>
      </w:r>
      <w:r>
        <w:rPr>
          <w:rFonts w:ascii="Arial" w:cs="Arial" w:eastAsia="Arial" w:hAnsi="Arial"/>
          <w:sz w:val="21"/>
          <w:szCs w:val="21"/>
          <w:color w:val="008000"/>
          <w:strike w:val="1"/>
        </w:rPr>
        <w:t>together with all such</w:t>
      </w:r>
      <w:r>
        <w:rPr>
          <w:rFonts w:ascii="Arial" w:cs="Arial" w:eastAsia="Arial" w:hAnsi="Arial"/>
          <w:sz w:val="21"/>
          <w:szCs w:val="21"/>
          <w:color w:val="FF0000"/>
          <w:strike w:val="1"/>
        </w:rPr>
        <w:t xml:space="preserve"> Indebtedness incurred under Section 6.01(i) of the Holdco Credit Agreement and under Section 6.01(i) of the SJWTX Credit Agreement) shall not exceed $400,000,000;</w:t>
      </w:r>
    </w:p>
    <w:p>
      <w:pPr>
        <w:spacing w:after="0" w:line="182" w:lineRule="exact"/>
        <w:rPr>
          <w:rFonts w:ascii="Arial" w:cs="Arial" w:eastAsia="Arial" w:hAnsi="Arial"/>
          <w:sz w:val="21"/>
          <w:szCs w:val="21"/>
          <w:color w:val="auto"/>
        </w:rPr>
      </w:pPr>
    </w:p>
    <w:p>
      <w:pPr>
        <w:ind w:left="1680" w:hanging="376"/>
        <w:spacing w:after="0"/>
        <w:tabs>
          <w:tab w:leader="none" w:pos="16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endorsement of instruments or other payment items for deposit;</w:t>
      </w:r>
    </w:p>
    <w:p>
      <w:pPr>
        <w:spacing w:after="0" w:line="233" w:lineRule="exact"/>
        <w:rPr>
          <w:rFonts w:ascii="Arial" w:cs="Arial" w:eastAsia="Arial" w:hAnsi="Arial"/>
          <w:sz w:val="22"/>
          <w:szCs w:val="22"/>
          <w:color w:val="auto"/>
        </w:rPr>
      </w:pPr>
    </w:p>
    <w:p>
      <w:pPr>
        <w:jc w:val="both"/>
        <w:ind w:firstLine="1304"/>
        <w:spacing w:after="0" w:line="259" w:lineRule="auto"/>
        <w:tabs>
          <w:tab w:leader="none" w:pos="175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incurrence by Borrower or its Subsidiaries of Indebtedness under Swap Agreements that are incurred for the bona fide purpose of hedging the interest rate, commodity, or foreign currency risks associated with Borrower’s and its Subsidiaries’ operations and not for speculative purposes;</w:t>
      </w:r>
    </w:p>
    <w:p>
      <w:pPr>
        <w:spacing w:after="0" w:line="180" w:lineRule="exact"/>
        <w:rPr>
          <w:rFonts w:ascii="Arial" w:cs="Arial" w:eastAsia="Arial" w:hAnsi="Arial"/>
          <w:sz w:val="22"/>
          <w:szCs w:val="22"/>
          <w:color w:val="auto"/>
        </w:rPr>
      </w:pPr>
    </w:p>
    <w:p>
      <w:pPr>
        <w:ind w:left="1680" w:hanging="376"/>
        <w:spacing w:after="0"/>
        <w:tabs>
          <w:tab w:leader="none" w:pos="16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Indebtedness incurred in respect of Bank Products other than pursuant to Swap Agreements;</w:t>
      </w:r>
    </w:p>
    <w:p>
      <w:pPr>
        <w:spacing w:after="0" w:line="233" w:lineRule="exact"/>
        <w:rPr>
          <w:rFonts w:ascii="Arial" w:cs="Arial" w:eastAsia="Arial" w:hAnsi="Arial"/>
          <w:sz w:val="22"/>
          <w:szCs w:val="22"/>
          <w:color w:val="auto"/>
        </w:rPr>
      </w:pPr>
    </w:p>
    <w:p>
      <w:pPr>
        <w:jc w:val="both"/>
        <w:ind w:firstLine="1304"/>
        <w:spacing w:after="0" w:line="254" w:lineRule="auto"/>
        <w:tabs>
          <w:tab w:leader="none" w:pos="191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84" w:lineRule="exact"/>
        <w:rPr>
          <w:rFonts w:ascii="Arial" w:cs="Arial" w:eastAsia="Arial" w:hAnsi="Arial"/>
          <w:sz w:val="22"/>
          <w:szCs w:val="22"/>
          <w:color w:val="auto"/>
        </w:rPr>
      </w:pPr>
    </w:p>
    <w:p>
      <w:pPr>
        <w:jc w:val="both"/>
        <w:ind w:firstLine="1304"/>
        <w:spacing w:after="0" w:line="254" w:lineRule="auto"/>
        <w:tabs>
          <w:tab w:leader="none" w:pos="1971" w:val="left"/>
        </w:tabs>
        <w:numPr>
          <w:ilvl w:val="1"/>
          <w:numId w:val="175"/>
        </w:numPr>
        <w:rPr>
          <w:rFonts w:ascii="Arial" w:cs="Arial" w:eastAsia="Arial" w:hAnsi="Arial"/>
          <w:sz w:val="22"/>
          <w:szCs w:val="22"/>
          <w:color w:val="auto"/>
        </w:rPr>
      </w:pPr>
      <w:r>
        <w:rPr>
          <w:rFonts w:ascii="Arial" w:cs="Arial" w:eastAsia="Arial" w:hAnsi="Arial"/>
          <w:sz w:val="22"/>
          <w:szCs w:val="22"/>
          <w:color w:val="auto"/>
        </w:rPr>
        <w:t>unsecured Indebtedness of Borrower or any of its Subsidiaries that is incurred on the date of the consummation of a Permitted Acquisition solely for the purpose of consummating such Permitted Acquisition so long as (i) no Event of Default has occurred and is continuing or would immediately thereafter result therefrom, and (ii) such unsecured Indebtedness is not incurred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604" w:right="339" w:bottom="1440" w:gutter="0" w:footer="0" w:header="0"/>
        </w:sectPr>
      </w:pPr>
    </w:p>
    <w:bookmarkStart w:id="180" w:name="page181"/>
    <w:bookmarkEnd w:id="180"/>
    <w:p>
      <w:pPr>
        <w:jc w:val="both"/>
        <w:spacing w:after="0" w:line="253" w:lineRule="auto"/>
        <w:rPr>
          <w:sz w:val="20"/>
          <w:szCs w:val="20"/>
          <w:color w:val="auto"/>
        </w:rPr>
      </w:pPr>
      <w:r>
        <w:rPr>
          <w:rFonts w:ascii="Arial" w:cs="Arial" w:eastAsia="Arial" w:hAnsi="Arial"/>
          <w:sz w:val="22"/>
          <w:szCs w:val="22"/>
          <w:color w:val="auto"/>
        </w:rPr>
        <w:t>for working capital purposes (in each case of the foregoing,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5" w:lineRule="exact"/>
        <w:rPr>
          <w:sz w:val="20"/>
          <w:szCs w:val="20"/>
          <w:color w:val="auto"/>
        </w:rPr>
      </w:pPr>
    </w:p>
    <w:p>
      <w:pPr>
        <w:jc w:val="both"/>
        <w:ind w:firstLine="1304"/>
        <w:spacing w:after="0" w:line="251" w:lineRule="auto"/>
        <w:tabs>
          <w:tab w:leader="none" w:pos="172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contingent liabilities in respect of any indemnification obligation, adjustment of purchase price, non-compete, or similar obligations of Borrower or any of its Subsidiaries incurred in connection with the consummation of one or more Permitted Acquisitions (in each case of the foregoing,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9" w:lineRule="exact"/>
        <w:rPr>
          <w:rFonts w:ascii="Arial" w:cs="Arial" w:eastAsia="Arial" w:hAnsi="Arial"/>
          <w:sz w:val="22"/>
          <w:szCs w:val="22"/>
          <w:color w:val="auto"/>
        </w:rPr>
      </w:pPr>
    </w:p>
    <w:p>
      <w:pPr>
        <w:jc w:val="both"/>
        <w:ind w:firstLine="1304"/>
        <w:spacing w:after="0" w:line="259" w:lineRule="auto"/>
        <w:tabs>
          <w:tab w:leader="none" w:pos="175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Acquired Indebtedness (solely to the extent that, together with all other Indebtedness and liabilities incurred or assumed in connection with such Permitted Acquisition, the amount of such Indebtedness would not violate clause (e) of the definition of Permitted Acquisition);</w:t>
      </w:r>
    </w:p>
    <w:p>
      <w:pPr>
        <w:spacing w:after="0" w:line="180" w:lineRule="exact"/>
        <w:rPr>
          <w:rFonts w:ascii="Arial" w:cs="Arial" w:eastAsia="Arial" w:hAnsi="Arial"/>
          <w:sz w:val="22"/>
          <w:szCs w:val="22"/>
          <w:color w:val="auto"/>
        </w:rPr>
      </w:pPr>
    </w:p>
    <w:p>
      <w:pPr>
        <w:ind w:firstLine="1304"/>
        <w:spacing w:after="0" w:line="276" w:lineRule="auto"/>
        <w:tabs>
          <w:tab w:leader="none" w:pos="175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Indebtedness secured by real property of the Borrower in an aggregate amount not to exceed $50,000,000 at any time outstanding; and</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other unsecured Indebtedness in an aggregate principal amount not exceeding $5,000,000 at any time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outstanding.</w:t>
      </w:r>
    </w:p>
    <w:p>
      <w:pPr>
        <w:spacing w:after="0" w:line="21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Subsidiary to, create, incur, assume or permit to exist any Lien on any property or asset now owned or hereafter acquired by it, or assign or sell any income or revenues or rights in respect of any thereof, except:</w:t>
      </w:r>
    </w:p>
    <w:p>
      <w:pPr>
        <w:spacing w:after="0" w:line="180" w:lineRule="exact"/>
        <w:rPr>
          <w:sz w:val="20"/>
          <w:szCs w:val="20"/>
          <w:color w:val="auto"/>
        </w:rPr>
      </w:pPr>
    </w:p>
    <w:p>
      <w:pPr>
        <w:ind w:left="1720" w:hanging="416"/>
        <w:spacing w:after="0"/>
        <w:tabs>
          <w:tab w:leader="none" w:pos="172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33" w:lineRule="exact"/>
        <w:rPr>
          <w:rFonts w:ascii="Arial" w:cs="Arial" w:eastAsia="Arial" w:hAnsi="Arial"/>
          <w:sz w:val="22"/>
          <w:szCs w:val="22"/>
          <w:color w:val="auto"/>
        </w:rPr>
      </w:pPr>
    </w:p>
    <w:p>
      <w:pPr>
        <w:jc w:val="both"/>
        <w:ind w:firstLine="1304"/>
        <w:spacing w:after="0" w:line="299" w:lineRule="auto"/>
        <w:tabs>
          <w:tab w:leader="none" w:pos="1741"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Subsidiary existing on the date hereof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Subsidiary and</w:t>
      </w:r>
    </w:p>
    <w:p>
      <w:pPr>
        <w:ind w:firstLine="8"/>
        <w:spacing w:after="0" w:line="246" w:lineRule="auto"/>
        <w:tabs>
          <w:tab w:leader="none" w:pos="32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such Lien shall secure only those obligations which it secures on the date hereof and extensions, renewals and replacements thereof that do not increase the outstanding principal amount thereof;</w:t>
      </w:r>
    </w:p>
    <w:p>
      <w:pPr>
        <w:spacing w:after="0" w:line="192" w:lineRule="exact"/>
        <w:rPr>
          <w:rFonts w:ascii="Arial" w:cs="Arial" w:eastAsia="Arial" w:hAnsi="Arial"/>
          <w:sz w:val="22"/>
          <w:szCs w:val="22"/>
          <w:color w:val="auto"/>
        </w:rPr>
      </w:pPr>
    </w:p>
    <w:p>
      <w:pPr>
        <w:jc w:val="both"/>
        <w:ind w:firstLine="1304"/>
        <w:spacing w:after="0" w:line="300" w:lineRule="auto"/>
        <w:tabs>
          <w:tab w:leader="none" w:pos="1864"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the Borrower or any Subsidiary;</w:t>
      </w:r>
    </w:p>
    <w:p>
      <w:pPr>
        <w:spacing w:after="0" w:line="146" w:lineRule="exact"/>
        <w:rPr>
          <w:rFonts w:ascii="Arial" w:cs="Arial" w:eastAsia="Arial" w:hAnsi="Arial"/>
          <w:sz w:val="19"/>
          <w:szCs w:val="19"/>
          <w:color w:val="auto"/>
        </w:rPr>
      </w:pPr>
    </w:p>
    <w:p>
      <w:pPr>
        <w:jc w:val="both"/>
        <w:ind w:firstLine="1304"/>
        <w:spacing w:after="0" w:line="259" w:lineRule="auto"/>
        <w:tabs>
          <w:tab w:leader="none" w:pos="1741" w:val="left"/>
        </w:tabs>
        <w:numPr>
          <w:ilvl w:val="1"/>
          <w:numId w:val="178"/>
        </w:numPr>
        <w:rPr>
          <w:rFonts w:ascii="Arial" w:cs="Arial" w:eastAsia="Arial" w:hAnsi="Arial"/>
          <w:sz w:val="22"/>
          <w:szCs w:val="22"/>
          <w:color w:val="auto"/>
        </w:rPr>
      </w:pPr>
      <w:r>
        <w:rPr>
          <w:rFonts w:ascii="Arial" w:cs="Arial" w:eastAsia="Arial" w:hAnsi="Arial"/>
          <w:sz w:val="22"/>
          <w:szCs w:val="22"/>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became a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604" w:right="339" w:bottom="1440" w:gutter="0" w:footer="0" w:header="0"/>
        </w:sectPr>
      </w:pPr>
    </w:p>
    <w:bookmarkStart w:id="181" w:name="page182"/>
    <w:bookmarkEnd w:id="181"/>
    <w:p>
      <w:pPr>
        <w:jc w:val="both"/>
        <w:ind w:firstLine="8"/>
        <w:spacing w:after="0" w:line="248" w:lineRule="auto"/>
        <w:tabs>
          <w:tab w:leader="none" w:pos="28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such Lien is not created in contemplation of or in connection with such acquisition or such Person becoming party to this Agreement, as the case may be, (ii) such Lien shall not apply to any other property or assets of the Borrower and (iii) such Lien shall secure only those obligations which it secures on the date of such acquisition or the date such Person becomes party to this Agreement, as the case may be, and extensions, renewals and replacements thereof that do not increase the outstanding principal amount thereof;</w:t>
      </w:r>
    </w:p>
    <w:p>
      <w:pPr>
        <w:spacing w:after="0" w:line="191" w:lineRule="exact"/>
        <w:rPr>
          <w:rFonts w:ascii="Arial" w:cs="Arial" w:eastAsia="Arial" w:hAnsi="Arial"/>
          <w:sz w:val="22"/>
          <w:szCs w:val="22"/>
          <w:color w:val="auto"/>
        </w:rPr>
      </w:pPr>
    </w:p>
    <w:p>
      <w:pPr>
        <w:jc w:val="both"/>
        <w:ind w:firstLine="1304"/>
        <w:spacing w:after="0" w:line="265" w:lineRule="exact"/>
        <w:tabs>
          <w:tab w:leader="none" w:pos="181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Liens of a collecting bank arising in the ordinary course of business under Section 4</w:t>
      </w:r>
      <w:r>
        <w:rPr>
          <w:rFonts w:ascii="MS PGothic" w:cs="MS PGothic" w:eastAsia="MS PGothic" w:hAnsi="MS PGothic"/>
          <w:sz w:val="19"/>
          <w:szCs w:val="19"/>
          <w:color w:val="auto"/>
        </w:rPr>
        <w:t>‑</w:t>
      </w:r>
      <w:r>
        <w:rPr>
          <w:rFonts w:ascii="Arial" w:cs="Arial" w:eastAsia="Arial" w:hAnsi="Arial"/>
          <w:sz w:val="19"/>
          <w:szCs w:val="19"/>
          <w:color w:val="auto"/>
        </w:rPr>
        <w:t>208 of the Uniform Commercial Code in effect in the relevant jurisdiction covering only the items being collected upon and rights of setoff or bankers’ liens upon deposits of cash in favor of banks or other depository institutions, solely to the extent incurred in connection with the maintenance of such deposit accounts or securities accounts in the ordinary course of business;</w:t>
      </w:r>
    </w:p>
    <w:p>
      <w:pPr>
        <w:spacing w:after="0" w:line="199" w:lineRule="exact"/>
        <w:rPr>
          <w:rFonts w:ascii="Arial" w:cs="Arial" w:eastAsia="Arial" w:hAnsi="Arial"/>
          <w:sz w:val="19"/>
          <w:szCs w:val="19"/>
          <w:color w:val="auto"/>
        </w:rPr>
      </w:pPr>
    </w:p>
    <w:p>
      <w:pPr>
        <w:ind w:right="20" w:firstLine="1304"/>
        <w:spacing w:after="0" w:line="276" w:lineRule="auto"/>
        <w:tabs>
          <w:tab w:leader="none" w:pos="1719" w:val="left"/>
        </w:tabs>
        <w:numPr>
          <w:ilvl w:val="1"/>
          <w:numId w:val="179"/>
        </w:numPr>
        <w:rPr>
          <w:rFonts w:ascii="Arial" w:cs="Arial" w:eastAsia="Arial" w:hAnsi="Arial"/>
          <w:sz w:val="22"/>
          <w:szCs w:val="22"/>
          <w:color w:val="auto"/>
        </w:rPr>
      </w:pPr>
      <w:r>
        <w:rPr>
          <w:rFonts w:ascii="Arial" w:cs="Arial" w:eastAsia="Arial" w:hAnsi="Arial"/>
          <w:sz w:val="22"/>
          <w:szCs w:val="22"/>
          <w:color w:val="auto"/>
        </w:rPr>
        <w:t>Liens granted in the ordinary course of business on the unearned portion of insurance premiums securing the financing of insurance premiums;</w:t>
      </w:r>
    </w:p>
    <w:p>
      <w:pPr>
        <w:spacing w:after="0" w:line="160" w:lineRule="exact"/>
        <w:rPr>
          <w:rFonts w:ascii="Arial" w:cs="Arial" w:eastAsia="Arial" w:hAnsi="Arial"/>
          <w:sz w:val="22"/>
          <w:szCs w:val="22"/>
          <w:color w:val="auto"/>
        </w:rPr>
      </w:pPr>
    </w:p>
    <w:p>
      <w:pPr>
        <w:ind w:firstLine="1304"/>
        <w:spacing w:after="0" w:line="276" w:lineRule="auto"/>
        <w:tabs>
          <w:tab w:leader="none" w:pos="1755" w:val="left"/>
        </w:tabs>
        <w:numPr>
          <w:ilvl w:val="1"/>
          <w:numId w:val="179"/>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Borrower or any of its Subsidiaries in connection with any letter of intent or purchase agreement with respect to a Permitted Acquisition;</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795" w:val="left"/>
        </w:tabs>
        <w:numPr>
          <w:ilvl w:val="1"/>
          <w:numId w:val="179"/>
        </w:numPr>
        <w:rPr>
          <w:rFonts w:ascii="Arial" w:cs="Arial" w:eastAsia="Arial" w:hAnsi="Arial"/>
          <w:sz w:val="22"/>
          <w:szCs w:val="22"/>
          <w:color w:val="auto"/>
        </w:rPr>
      </w:pPr>
      <w:r>
        <w:rPr>
          <w:rFonts w:ascii="Arial" w:cs="Arial" w:eastAsia="Arial" w:hAnsi="Arial"/>
          <w:sz w:val="22"/>
          <w:szCs w:val="22"/>
          <w:color w:val="auto"/>
        </w:rPr>
        <w:t>Liens (i) assumed by Borrower or its Subsidiaries in connection with a Permitted Acquisition that secures Acquired Indebtedness permitted under Section 6.01(e) or (p) and (ii) Liens securing Indebtedness permitted under Section 6.01(q);</w:t>
      </w:r>
    </w:p>
    <w:p>
      <w:pPr>
        <w:spacing w:after="0" w:line="180" w:lineRule="exact"/>
        <w:rPr>
          <w:rFonts w:ascii="Arial" w:cs="Arial" w:eastAsia="Arial" w:hAnsi="Arial"/>
          <w:sz w:val="22"/>
          <w:szCs w:val="22"/>
          <w:color w:val="auto"/>
        </w:rPr>
      </w:pPr>
    </w:p>
    <w:p>
      <w:pPr>
        <w:ind w:left="1680" w:hanging="376"/>
        <w:spacing w:after="0"/>
        <w:tabs>
          <w:tab w:leader="none" w:pos="168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Liens granted by a Subsidiary in favor of the Borrower in respect of Indebtedness owed by such Subsidiary;</w:t>
      </w:r>
    </w:p>
    <w:p>
      <w:pPr>
        <w:spacing w:after="0" w:line="267" w:lineRule="exact"/>
        <w:rPr>
          <w:rFonts w:ascii="Arial" w:cs="Arial" w:eastAsia="Arial" w:hAnsi="Arial"/>
          <w:sz w:val="19"/>
          <w:szCs w:val="19"/>
          <w:color w:val="auto"/>
        </w:rPr>
      </w:pPr>
    </w:p>
    <w:p>
      <w:pPr>
        <w:jc w:val="both"/>
        <w:ind w:firstLine="1304"/>
        <w:spacing w:after="0" w:line="259" w:lineRule="auto"/>
        <w:tabs>
          <w:tab w:leader="none" w:pos="1707" w:val="left"/>
        </w:tabs>
        <w:numPr>
          <w:ilvl w:val="1"/>
          <w:numId w:val="179"/>
        </w:numPr>
        <w:rPr>
          <w:rFonts w:ascii="Arial" w:cs="Arial" w:eastAsia="Arial" w:hAnsi="Arial"/>
          <w:sz w:val="22"/>
          <w:szCs w:val="22"/>
          <w:color w:val="auto"/>
        </w:rPr>
      </w:pPr>
      <w:r>
        <w:rPr>
          <w:rFonts w:ascii="Arial" w:cs="Arial" w:eastAsia="Arial" w:hAnsi="Arial"/>
          <w:sz w:val="22"/>
          <w:szCs w:val="22"/>
          <w:color w:val="auto"/>
        </w:rPr>
        <w:t>Liens that are replacements of any of the Liens otherwise permitted under this Section 6.02 to the extent that the original Indebtedness is replaced with Refinance Indebtedness and so long as the replacement Liens only encumber those assets that secured the original Indebtedness; and</w:t>
      </w:r>
    </w:p>
    <w:p>
      <w:pPr>
        <w:spacing w:after="0" w:line="180" w:lineRule="exact"/>
        <w:rPr>
          <w:rFonts w:ascii="Arial" w:cs="Arial" w:eastAsia="Arial" w:hAnsi="Arial"/>
          <w:sz w:val="22"/>
          <w:szCs w:val="22"/>
          <w:color w:val="auto"/>
        </w:rPr>
      </w:pPr>
    </w:p>
    <w:p>
      <w:pPr>
        <w:ind w:firstLine="1304"/>
        <w:spacing w:after="0" w:line="276" w:lineRule="auto"/>
        <w:tabs>
          <w:tab w:leader="none" w:pos="1741" w:val="left"/>
        </w:tabs>
        <w:numPr>
          <w:ilvl w:val="1"/>
          <w:numId w:val="179"/>
        </w:numPr>
        <w:rPr>
          <w:rFonts w:ascii="Arial" w:cs="Arial" w:eastAsia="Arial" w:hAnsi="Arial"/>
          <w:sz w:val="22"/>
          <w:szCs w:val="22"/>
          <w:color w:val="auto"/>
        </w:rPr>
      </w:pPr>
      <w:r>
        <w:rPr>
          <w:rFonts w:ascii="Arial" w:cs="Arial" w:eastAsia="Arial" w:hAnsi="Arial"/>
          <w:sz w:val="22"/>
          <w:szCs w:val="22"/>
          <w:color w:val="auto"/>
        </w:rPr>
        <w:t>additional Liens so long as the principal amount of Indebtedness and other obligations and liabilities secured thereby does not exceed $10,000,000 in the aggregate at any time outstanding.</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8" w:lineRule="auto"/>
        <w:tabs>
          <w:tab w:leader="none" w:pos="1729"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The Borrower will not, nor will it permit any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Subsidiary may merge into another Subsidiary and (iii) any Subsidiary may liquidate or dissolve if the Borrower determines in good faith that such liquidation or dissolution is in the best interests of the Borrower and is not materially disadvantageous to the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merger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604" w:right="339" w:bottom="1440" w:gutter="0" w:footer="0" w:header="0"/>
        </w:sectPr>
      </w:pPr>
    </w:p>
    <w:bookmarkStart w:id="182" w:name="page183"/>
    <w:bookmarkEnd w:id="182"/>
    <w:p>
      <w:pPr>
        <w:spacing w:after="0" w:line="263" w:lineRule="auto"/>
        <w:rPr>
          <w:sz w:val="20"/>
          <w:szCs w:val="20"/>
          <w:color w:val="auto"/>
        </w:rPr>
      </w:pPr>
      <w:r>
        <w:rPr>
          <w:rFonts w:ascii="Arial" w:cs="Arial" w:eastAsia="Arial" w:hAnsi="Arial"/>
          <w:sz w:val="22"/>
          <w:szCs w:val="22"/>
          <w:color w:val="auto"/>
        </w:rPr>
        <w:t>involving a Person that is not a wholly owned Subsidiary immediately prior to such merger shall not be permitted unless also permitted by Section 6.04.</w:t>
      </w:r>
    </w:p>
    <w:p>
      <w:pPr>
        <w:spacing w:after="0" w:line="175" w:lineRule="exact"/>
        <w:rPr>
          <w:sz w:val="20"/>
          <w:szCs w:val="20"/>
          <w:color w:val="auto"/>
        </w:rPr>
      </w:pPr>
    </w:p>
    <w:p>
      <w:pPr>
        <w:ind w:firstLine="1304"/>
        <w:spacing w:after="0" w:line="358" w:lineRule="auto"/>
        <w:tabs>
          <w:tab w:leader="none" w:pos="1755"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Borrower will not, nor will it permit any Subsidiary to, engage in any business other than businesses of the type conducted by the Borrower and its Subsidiaries on the date hereof and businesses reasonably related thereto.</w:t>
      </w:r>
    </w:p>
    <w:p>
      <w:pPr>
        <w:spacing w:after="0" w:line="90" w:lineRule="exact"/>
        <w:rPr>
          <w:rFonts w:ascii="Arial" w:cs="Arial" w:eastAsia="Arial" w:hAnsi="Arial"/>
          <w:sz w:val="19"/>
          <w:szCs w:val="19"/>
          <w:color w:val="auto"/>
        </w:rPr>
      </w:pPr>
    </w:p>
    <w:p>
      <w:pPr>
        <w:ind w:firstLine="1304"/>
        <w:spacing w:after="0" w:line="276" w:lineRule="auto"/>
        <w:tabs>
          <w:tab w:leader="none" w:pos="17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will not, nor will it permit any Subsidiary to change its fiscal year or any fiscal quarter from the basis in effect on the Effective Date.</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Borrower will not change the accounting basis upon which its financial statements are prepared.</w:t>
      </w:r>
    </w:p>
    <w:p>
      <w:pPr>
        <w:spacing w:after="0" w:line="24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Investments, Loans, Advances, Guarantees and Acquisitions</w:t>
      </w:r>
      <w:r>
        <w:rPr>
          <w:rFonts w:ascii="Arial" w:cs="Arial" w:eastAsia="Arial" w:hAnsi="Arial"/>
          <w:sz w:val="21"/>
          <w:szCs w:val="21"/>
          <w:color w:val="auto"/>
        </w:rPr>
        <w:t>. The Borrower will not, nor will it permit any Subsidiary to, purchase, hold or acquire (including pursuant to any merger with any Person that was not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0" w:lineRule="exact"/>
        <w:rPr>
          <w:sz w:val="20"/>
          <w:szCs w:val="20"/>
          <w:color w:val="auto"/>
        </w:rPr>
      </w:pPr>
    </w:p>
    <w:p>
      <w:pPr>
        <w:ind w:left="1720" w:hanging="416"/>
        <w:spacing w:after="0"/>
        <w:tabs>
          <w:tab w:leader="none" w:pos="17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investments in existence on the date hereof and described in </w:t>
      </w:r>
      <w:r>
        <w:rPr>
          <w:rFonts w:ascii="Arial" w:cs="Arial" w:eastAsia="Arial" w:hAnsi="Arial"/>
          <w:sz w:val="22"/>
          <w:szCs w:val="22"/>
          <w:u w:val="single" w:color="auto"/>
          <w:color w:val="auto"/>
        </w:rPr>
        <w:t>Schedule 6.04</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20" w:firstLine="1304"/>
        <w:spacing w:after="0" w:line="319" w:lineRule="auto"/>
        <w:tabs>
          <w:tab w:leader="none" w:pos="175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loans or advances made by the Borrower to its employees on an arms-length basis in the ordinary course of business consistent with past practices for travel and entertainment expenses, relocation costs and similar purposes up to a maximum of $500,000 to any employee and up to a maximum of $2,000,000 in the aggregate at any one time outstanding;</w:t>
      </w:r>
    </w:p>
    <w:p>
      <w:pPr>
        <w:spacing w:after="0" w:line="127" w:lineRule="exact"/>
        <w:rPr>
          <w:rFonts w:ascii="Arial" w:cs="Arial" w:eastAsia="Arial" w:hAnsi="Arial"/>
          <w:sz w:val="19"/>
          <w:szCs w:val="19"/>
          <w:color w:val="auto"/>
        </w:rPr>
      </w:pPr>
    </w:p>
    <w:p>
      <w:pPr>
        <w:ind w:left="1740" w:hanging="436"/>
        <w:spacing w:after="0"/>
        <w:tabs>
          <w:tab w:leader="none" w:pos="17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investments in the form of Swap Agreements permitted by Section 6.07;</w:t>
      </w:r>
    </w:p>
    <w:p>
      <w:pPr>
        <w:spacing w:after="0" w:line="233" w:lineRule="exact"/>
        <w:rPr>
          <w:rFonts w:ascii="Arial" w:cs="Arial" w:eastAsia="Arial" w:hAnsi="Arial"/>
          <w:sz w:val="22"/>
          <w:szCs w:val="22"/>
          <w:color w:val="auto"/>
        </w:rPr>
      </w:pPr>
    </w:p>
    <w:p>
      <w:pPr>
        <w:jc w:val="both"/>
        <w:ind w:firstLine="1304"/>
        <w:spacing w:after="0" w:line="278" w:lineRule="auto"/>
        <w:tabs>
          <w:tab w:leader="none" w:pos="187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59" w:lineRule="exact"/>
        <w:rPr>
          <w:rFonts w:ascii="Arial" w:cs="Arial" w:eastAsia="Arial" w:hAnsi="Arial"/>
          <w:sz w:val="21"/>
          <w:szCs w:val="21"/>
          <w:color w:val="auto"/>
        </w:rPr>
      </w:pPr>
    </w:p>
    <w:p>
      <w:pPr>
        <w:ind w:left="1700" w:hanging="396"/>
        <w:spacing w:after="0"/>
        <w:tabs>
          <w:tab w:leader="none" w:pos="17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investments received in connection with the disposition of assets permitted by Section 6.05;</w:t>
      </w:r>
    </w:p>
    <w:p>
      <w:pPr>
        <w:spacing w:after="0" w:line="233" w:lineRule="exact"/>
        <w:rPr>
          <w:rFonts w:ascii="Arial" w:cs="Arial" w:eastAsia="Arial" w:hAnsi="Arial"/>
          <w:sz w:val="22"/>
          <w:szCs w:val="22"/>
          <w:color w:val="auto"/>
        </w:rPr>
      </w:pPr>
    </w:p>
    <w:p>
      <w:pPr>
        <w:ind w:left="1840" w:hanging="536"/>
        <w:spacing w:after="0"/>
        <w:tabs>
          <w:tab w:leader="none" w:pos="184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investments constituting deposits described in clauses (c) and (d) of the definition of the term “Permitted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Encumbrances”;</w:t>
      </w:r>
    </w:p>
    <w:p>
      <w:pPr>
        <w:spacing w:after="0" w:line="215" w:lineRule="exact"/>
        <w:rPr>
          <w:rFonts w:ascii="Arial" w:cs="Arial" w:eastAsia="Arial" w:hAnsi="Arial"/>
          <w:sz w:val="19"/>
          <w:szCs w:val="19"/>
          <w:color w:val="auto"/>
        </w:rPr>
      </w:pPr>
    </w:p>
    <w:p>
      <w:pPr>
        <w:ind w:left="1740" w:hanging="436"/>
        <w:spacing w:after="0"/>
        <w:tabs>
          <w:tab w:leader="none" w:pos="17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Permitted Intercompany Advances;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604" w:right="339" w:bottom="1440" w:gutter="0" w:footer="0" w:header="0"/>
        </w:sectPr>
      </w:pPr>
    </w:p>
    <w:bookmarkStart w:id="183" w:name="page184"/>
    <w:bookmarkEnd w:id="183"/>
    <w:p>
      <w:pPr>
        <w:ind w:left="1680" w:hanging="376"/>
        <w:spacing w:after="0"/>
        <w:tabs>
          <w:tab w:leader="none" w:pos="16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advances made in connection with purchases of goods or services in the ordinary course of business consistent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past practices;</w:t>
      </w:r>
    </w:p>
    <w:p>
      <w:pPr>
        <w:spacing w:after="0" w:line="215" w:lineRule="exact"/>
        <w:rPr>
          <w:rFonts w:ascii="Arial" w:cs="Arial" w:eastAsia="Arial" w:hAnsi="Arial"/>
          <w:sz w:val="19"/>
          <w:szCs w:val="19"/>
          <w:color w:val="auto"/>
        </w:rPr>
      </w:pPr>
    </w:p>
    <w:p>
      <w:pPr>
        <w:jc w:val="both"/>
        <w:ind w:firstLine="1304"/>
        <w:spacing w:after="0" w:line="254" w:lineRule="auto"/>
        <w:tabs>
          <w:tab w:leader="none" w:pos="16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investments, Equity Interests and other securities received in settlement of amounts due to Borrower or any of its Subsidiaries effected in the ordinary course of business or owing to Borrower or any of its Subsidiaries as a result of bankruptcy or insolvency proceedings involving an account debtor or upon the foreclosure or enforcement of any Lien in favor of Borrower or its Subsidiaries;</w:t>
      </w:r>
    </w:p>
    <w:p>
      <w:pPr>
        <w:spacing w:after="0" w:line="184" w:lineRule="exact"/>
        <w:rPr>
          <w:rFonts w:ascii="Arial" w:cs="Arial" w:eastAsia="Arial" w:hAnsi="Arial"/>
          <w:sz w:val="22"/>
          <w:szCs w:val="22"/>
          <w:color w:val="auto"/>
        </w:rPr>
      </w:pPr>
    </w:p>
    <w:p>
      <w:pPr>
        <w:ind w:left="1740" w:hanging="436"/>
        <w:spacing w:after="0"/>
        <w:tabs>
          <w:tab w:leader="none" w:pos="174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deposits of cash made in the ordinary course of business to secure performance of operating leases;</w:t>
      </w:r>
    </w:p>
    <w:p>
      <w:pPr>
        <w:spacing w:after="0" w:line="244" w:lineRule="exact"/>
        <w:rPr>
          <w:rFonts w:ascii="Arial" w:cs="Arial" w:eastAsia="Arial" w:hAnsi="Arial"/>
          <w:sz w:val="21"/>
          <w:szCs w:val="21"/>
          <w:color w:val="auto"/>
        </w:rPr>
      </w:pPr>
    </w:p>
    <w:p>
      <w:pPr>
        <w:ind w:firstLine="1304"/>
        <w:spacing w:after="0" w:line="276" w:lineRule="auto"/>
        <w:tabs>
          <w:tab w:leader="none" w:pos="17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investments in the form of capital contributions and the acquisition of Equity Interests made by Borrower in any wholly-owned Subsidiary;</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89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other loans, advances and investments not otherwise permitted hereunder, provided that such loans, advances and investments made pursuant to this clause shall not exceed an aggregate amount of $5,000,000 at any time outstanding;</w:t>
      </w:r>
    </w:p>
    <w:p>
      <w:pPr>
        <w:spacing w:after="0" w:line="180" w:lineRule="exact"/>
        <w:rPr>
          <w:rFonts w:ascii="Arial" w:cs="Arial" w:eastAsia="Arial" w:hAnsi="Arial"/>
          <w:sz w:val="22"/>
          <w:szCs w:val="22"/>
          <w:color w:val="auto"/>
        </w:rPr>
      </w:pPr>
    </w:p>
    <w:p>
      <w:pPr>
        <w:jc w:val="both"/>
        <w:ind w:firstLine="1304"/>
        <w:spacing w:after="0" w:line="278" w:lineRule="auto"/>
        <w:tabs>
          <w:tab w:leader="none" w:pos="1768"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acquisition or issuance of Equity Interests for purposes of funding or contributing to retirement, pension and other benefit plans maintained by the Borrower (including the Borrower’s Executive Supplemental Retirement Plan, Cash Balance Executive Supplemental Retirement Plan and Special Deferral Election Plan); and</w:t>
      </w:r>
    </w:p>
    <w:p>
      <w:pPr>
        <w:spacing w:after="0" w:line="159" w:lineRule="exact"/>
        <w:rPr>
          <w:rFonts w:ascii="Arial" w:cs="Arial" w:eastAsia="Arial" w:hAnsi="Arial"/>
          <w:sz w:val="21"/>
          <w:szCs w:val="21"/>
          <w:color w:val="auto"/>
        </w:rPr>
      </w:pPr>
    </w:p>
    <w:p>
      <w:pPr>
        <w:ind w:left="1740" w:hanging="436"/>
        <w:spacing w:after="0"/>
        <w:tabs>
          <w:tab w:leader="none" w:pos="17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3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Asset Sales</w:t>
      </w:r>
      <w:r>
        <w:rPr>
          <w:rFonts w:ascii="Arial" w:cs="Arial" w:eastAsia="Arial" w:hAnsi="Arial"/>
          <w:sz w:val="22"/>
          <w:szCs w:val="22"/>
          <w:color w:val="auto"/>
        </w:rPr>
        <w:t>.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85" w:lineRule="exact"/>
        <w:rPr>
          <w:sz w:val="20"/>
          <w:szCs w:val="20"/>
          <w:color w:val="auto"/>
        </w:rPr>
      </w:pPr>
    </w:p>
    <w:p>
      <w:pPr>
        <w:jc w:val="both"/>
        <w:ind w:firstLine="1304"/>
        <w:spacing w:after="0" w:line="259" w:lineRule="auto"/>
        <w:tabs>
          <w:tab w:leader="none" w:pos="175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sales, transfers and dispositions of (i) inventory in the ordinary course of business, (ii) used, obsolete, worn out or surplus equipment or property in the ordinary course of business or (iii) equipment or other property no longer used or useful to Borrower or any Subsidiary;</w:t>
      </w:r>
    </w:p>
    <w:p>
      <w:pPr>
        <w:spacing w:after="0" w:line="180" w:lineRule="exact"/>
        <w:rPr>
          <w:rFonts w:ascii="Arial" w:cs="Arial" w:eastAsia="Arial" w:hAnsi="Arial"/>
          <w:sz w:val="22"/>
          <w:szCs w:val="22"/>
          <w:color w:val="auto"/>
        </w:rPr>
      </w:pPr>
    </w:p>
    <w:p>
      <w:pPr>
        <w:ind w:firstLine="1304"/>
        <w:spacing w:after="0" w:line="276" w:lineRule="auto"/>
        <w:tabs>
          <w:tab w:leader="none" w:pos="1809"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sales, transfers and dispositions of assets to the Borrower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sales, transfers or dispositions involving a Subsidiary shall be made in compliance with Section 6.09;</w:t>
      </w:r>
    </w:p>
    <w:p>
      <w:pPr>
        <w:spacing w:after="0" w:line="160" w:lineRule="exact"/>
        <w:rPr>
          <w:rFonts w:ascii="Arial" w:cs="Arial" w:eastAsia="Arial" w:hAnsi="Arial"/>
          <w:sz w:val="22"/>
          <w:szCs w:val="22"/>
          <w:color w:val="auto"/>
        </w:rPr>
      </w:pPr>
    </w:p>
    <w:p>
      <w:pPr>
        <w:ind w:firstLine="1304"/>
        <w:spacing w:after="0" w:line="276" w:lineRule="auto"/>
        <w:tabs>
          <w:tab w:leader="none" w:pos="178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sales, transfers and dispositions of accounts (excluding sales or dispositions in a factoring arrangement) in connection with the compromise, settlement or collection thereof;</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sales, transfers and dispositions of Permitted Investments;</w:t>
      </w:r>
    </w:p>
    <w:p>
      <w:pPr>
        <w:spacing w:after="0" w:line="233" w:lineRule="exact"/>
        <w:rPr>
          <w:rFonts w:ascii="Arial" w:cs="Arial" w:eastAsia="Arial" w:hAnsi="Arial"/>
          <w:sz w:val="22"/>
          <w:szCs w:val="22"/>
          <w:color w:val="auto"/>
        </w:rPr>
      </w:pPr>
    </w:p>
    <w:p>
      <w:pPr>
        <w:ind w:right="20" w:firstLine="1304"/>
        <w:spacing w:after="0" w:line="276" w:lineRule="auto"/>
        <w:tabs>
          <w:tab w:leader="none" w:pos="186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sale, lease or transfer constituting an easement, license, zoning restriction, rights-of-way or similar encumbrance on real property imposed by law or arising in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604" w:right="339" w:bottom="1440" w:gutter="0" w:footer="0" w:header="0"/>
        </w:sectPr>
      </w:pPr>
    </w:p>
    <w:bookmarkStart w:id="184" w:name="page185"/>
    <w:bookmarkEnd w:id="184"/>
    <w:p>
      <w:pPr>
        <w:spacing w:after="0" w:line="263" w:lineRule="auto"/>
        <w:rPr>
          <w:sz w:val="20"/>
          <w:szCs w:val="20"/>
          <w:color w:val="auto"/>
        </w:rPr>
      </w:pPr>
      <w:r>
        <w:rPr>
          <w:rFonts w:ascii="Arial" w:cs="Arial" w:eastAsia="Arial" w:hAnsi="Arial"/>
          <w:sz w:val="22"/>
          <w:szCs w:val="22"/>
          <w:color w:val="auto"/>
        </w:rPr>
        <w:t>ordinary course of business that does not materially detract from the value of the affected property or interfere with the ordinary conduct of the business of the Borrower or any Subsidiary;</w:t>
      </w:r>
    </w:p>
    <w:p>
      <w:pPr>
        <w:spacing w:after="0" w:line="175" w:lineRule="exact"/>
        <w:rPr>
          <w:sz w:val="20"/>
          <w:szCs w:val="20"/>
          <w:color w:val="auto"/>
        </w:rPr>
      </w:pPr>
    </w:p>
    <w:p>
      <w:pPr>
        <w:ind w:right="20" w:firstLine="1304"/>
        <w:spacing w:after="0" w:line="276" w:lineRule="auto"/>
        <w:tabs>
          <w:tab w:leader="none" w:pos="181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use or transfer of money or cash equivalents in a manner that is not prohibited by the terms of the Agreement or the other Loan Documents;</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granting of Liens as permitted under Section 6.02;</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sale or issuance of Equity Interests of Borrower to Holdco or any Subsidiary to Borrower;</w:t>
      </w:r>
    </w:p>
    <w:p>
      <w:pPr>
        <w:spacing w:after="0" w:line="233" w:lineRule="exact"/>
        <w:rPr>
          <w:rFonts w:ascii="Arial" w:cs="Arial" w:eastAsia="Arial" w:hAnsi="Arial"/>
          <w:sz w:val="22"/>
          <w:szCs w:val="22"/>
          <w:color w:val="auto"/>
        </w:rPr>
      </w:pPr>
    </w:p>
    <w:p>
      <w:pPr>
        <w:jc w:val="both"/>
        <w:ind w:firstLine="1304"/>
        <w:spacing w:after="0" w:line="300" w:lineRule="auto"/>
        <w:tabs>
          <w:tab w:leader="none" w:pos="18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dispositions of assets acquired by Borrower and its Subsidiaries pursuant to a Permitted Acquisition consummated within 12 months of the date of the proposed disposition (the “Subject Permitted Acquisition”) so long as (i) the consideration received for the assets to be so disposed is at least equal to the fair market value thereof, (ii) the assets to be so disposed are not necessary or economically desirable in connection with the business of Borrower and its Subsidiaries, and (iii) the assets to be so disposed are readily identifiable as assets acquired pursuant to the Subject Permitted Acquisition;</w:t>
      </w:r>
    </w:p>
    <w:p>
      <w:pPr>
        <w:spacing w:after="0" w:line="146" w:lineRule="exact"/>
        <w:rPr>
          <w:rFonts w:ascii="Arial" w:cs="Arial" w:eastAsia="Arial" w:hAnsi="Arial"/>
          <w:sz w:val="19"/>
          <w:szCs w:val="19"/>
          <w:color w:val="auto"/>
        </w:rPr>
      </w:pPr>
    </w:p>
    <w:p>
      <w:pPr>
        <w:jc w:val="both"/>
        <w:ind w:firstLine="1304"/>
        <w:spacing w:after="0" w:line="259" w:lineRule="auto"/>
        <w:tabs>
          <w:tab w:leader="none" w:pos="174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dispositions of Equity Interests held in or for the benefit of retirement, pension and other benefit plans maintained by Borrower (including the Borrower’s Executive Supplemental Retirement Plan, Cash Balance Executive Supplemental Retirement Plan and Special Deferral Election Plan);</w:t>
      </w:r>
    </w:p>
    <w:p>
      <w:pPr>
        <w:spacing w:after="0" w:line="180" w:lineRule="exact"/>
        <w:rPr>
          <w:rFonts w:ascii="Arial" w:cs="Arial" w:eastAsia="Arial" w:hAnsi="Arial"/>
          <w:sz w:val="22"/>
          <w:szCs w:val="22"/>
          <w:color w:val="auto"/>
        </w:rPr>
      </w:pPr>
    </w:p>
    <w:p>
      <w:pPr>
        <w:ind w:right="20" w:firstLine="1304"/>
        <w:spacing w:after="0" w:line="358" w:lineRule="auto"/>
        <w:tabs>
          <w:tab w:leader="none" w:pos="176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sales or other transfers of assets between the Borrower and SJW Land Company at prices and on terms and conditions not less favorable to the Borrower than could be obtained on an arm’s-length basis from unrelated third parties;</w:t>
      </w:r>
    </w:p>
    <w:p>
      <w:pPr>
        <w:spacing w:after="0" w:line="90" w:lineRule="exact"/>
        <w:rPr>
          <w:rFonts w:ascii="Arial" w:cs="Arial" w:eastAsia="Arial" w:hAnsi="Arial"/>
          <w:sz w:val="19"/>
          <w:szCs w:val="19"/>
          <w:color w:val="auto"/>
        </w:rPr>
      </w:pPr>
    </w:p>
    <w:p>
      <w:pPr>
        <w:ind w:left="1680" w:hanging="376"/>
        <w:spacing w:after="0"/>
        <w:tabs>
          <w:tab w:leader="none" w:pos="16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sales, transfers and dispositions permitted under Section 6.04 and Section 6.08;</w:t>
      </w:r>
    </w:p>
    <w:p>
      <w:pPr>
        <w:spacing w:after="0" w:line="233" w:lineRule="exact"/>
        <w:rPr>
          <w:rFonts w:ascii="Arial" w:cs="Arial" w:eastAsia="Arial" w:hAnsi="Arial"/>
          <w:sz w:val="22"/>
          <w:szCs w:val="22"/>
          <w:color w:val="auto"/>
        </w:rPr>
      </w:pPr>
    </w:p>
    <w:p>
      <w:pPr>
        <w:ind w:firstLine="1304"/>
        <w:spacing w:after="0" w:line="301" w:lineRule="auto"/>
        <w:tabs>
          <w:tab w:leader="none" w:pos="1828" w:val="left"/>
        </w:tabs>
        <w:numPr>
          <w:ilvl w:val="0"/>
          <w:numId w:val="185"/>
        </w:numPr>
        <w:rPr>
          <w:rFonts w:ascii="Arial" w:cs="Arial" w:eastAsia="Arial" w:hAnsi="Arial"/>
          <w:sz w:val="21"/>
          <w:szCs w:val="21"/>
          <w:color w:val="auto"/>
        </w:rPr>
      </w:pPr>
      <w:r>
        <w:rPr>
          <w:rFonts w:ascii="Arial" w:cs="Arial" w:eastAsia="Arial" w:hAnsi="Arial"/>
          <w:sz w:val="21"/>
          <w:szCs w:val="21"/>
          <w:color w:val="auto"/>
        </w:rPr>
        <w:t>dispositions resulting from any casualty or other insured damage to, or any taking under power of eminent domain or by condemnation or similar proceeding of, any property or asset of the Borrower or any Subsidiary;</w:t>
      </w:r>
    </w:p>
    <w:p>
      <w:pPr>
        <w:spacing w:after="0" w:line="136" w:lineRule="exact"/>
        <w:rPr>
          <w:rFonts w:ascii="Arial" w:cs="Arial" w:eastAsia="Arial" w:hAnsi="Arial"/>
          <w:sz w:val="21"/>
          <w:szCs w:val="21"/>
          <w:color w:val="auto"/>
        </w:rPr>
      </w:pPr>
    </w:p>
    <w:p>
      <w:pPr>
        <w:ind w:left="1740" w:hanging="436"/>
        <w:spacing w:after="0"/>
        <w:tabs>
          <w:tab w:leader="none" w:pos="17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leases and subleases of real property in the ordinary course of business; and</w:t>
      </w:r>
    </w:p>
    <w:p>
      <w:pPr>
        <w:spacing w:after="0" w:line="233" w:lineRule="exact"/>
        <w:rPr>
          <w:rFonts w:ascii="Arial" w:cs="Arial" w:eastAsia="Arial" w:hAnsi="Arial"/>
          <w:sz w:val="22"/>
          <w:szCs w:val="22"/>
          <w:color w:val="auto"/>
        </w:rPr>
      </w:pPr>
    </w:p>
    <w:p>
      <w:pPr>
        <w:jc w:val="both"/>
        <w:ind w:firstLine="1304"/>
        <w:spacing w:after="0" w:line="294" w:lineRule="auto"/>
        <w:tabs>
          <w:tab w:leader="none" w:pos="176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sales, transfers and other dispositions of assets (other than Equity Interests in a Subsidiary unless all Equity Interests in such Subsidiary are sold) that are not permitted by any other clause of this Section, provided that the aggregate book value of all assets sold, transferred or otherwise disposed of in reliance upon this paragraph (o) (together with </w:t>
      </w:r>
      <w:r>
        <w:rPr>
          <w:rFonts w:ascii="Arial" w:cs="Arial" w:eastAsia="Arial" w:hAnsi="Arial"/>
          <w:sz w:val="19"/>
          <w:szCs w:val="19"/>
          <w:b w:val="1"/>
          <w:bCs w:val="1"/>
          <w:u w:val="single" w:color="auto"/>
          <w:color w:val="0000FF"/>
        </w:rPr>
        <w:t>(i) the aggregate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book value of all assets sold, transferred or otherwise disposed of by HoldCo that are not of the type that would be permitted to be sold, transferred or otherwise disposed of pursuant to any other clause of this Section</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8000"/>
        </w:rPr>
        <w:t>and (ii)</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aggregate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book value of all assets sold, transferred or otherwise disposed of in reliance on similar exceptions in </w:t>
      </w:r>
      <w:r>
        <w:rPr>
          <w:rFonts w:ascii="Arial" w:cs="Arial" w:eastAsia="Arial" w:hAnsi="Arial"/>
          <w:sz w:val="19"/>
          <w:szCs w:val="19"/>
          <w:color w:val="FF0000"/>
          <w:strike w:val="1"/>
        </w:rPr>
        <w:t>the Holdco Credit</w:t>
      </w:r>
      <w:r>
        <w:rPr>
          <w:rFonts w:ascii="Arial" w:cs="Arial" w:eastAsia="Arial" w:hAnsi="Arial"/>
          <w:sz w:val="19"/>
          <w:szCs w:val="19"/>
          <w:color w:val="000000"/>
        </w:rPr>
        <w:t xml:space="preserve"> </w:t>
      </w:r>
      <w:r>
        <w:rPr>
          <w:rFonts w:ascii="Arial" w:cs="Arial" w:eastAsia="Arial" w:hAnsi="Arial"/>
          <w:sz w:val="19"/>
          <w:szCs w:val="19"/>
          <w:color w:val="FF0000"/>
          <w:strike w:val="1"/>
        </w:rPr>
        <w:t>Agreement and the</w:t>
      </w:r>
      <w:r>
        <w:rPr>
          <w:rFonts w:ascii="Arial" w:cs="Arial" w:eastAsia="Arial" w:hAnsi="Arial"/>
          <w:sz w:val="19"/>
          <w:szCs w:val="19"/>
          <w:color w:val="FF0000"/>
        </w:rPr>
        <w:t xml:space="preserve"> </w:t>
      </w:r>
      <w:r>
        <w:rPr>
          <w:rFonts w:ascii="Arial" w:cs="Arial" w:eastAsia="Arial" w:hAnsi="Arial"/>
          <w:sz w:val="19"/>
          <w:szCs w:val="19"/>
          <w:color w:val="000000"/>
        </w:rPr>
        <w:t>SJWTX Credit Agreement) shall not exceed 10% of the book value of the total assets of Holdco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604" w:right="339" w:bottom="1440" w:gutter="0" w:footer="0" w:header="0"/>
        </w:sectPr>
      </w:pPr>
    </w:p>
    <w:bookmarkStart w:id="185" w:name="page186"/>
    <w:bookmarkEnd w:id="185"/>
    <w:p>
      <w:pPr>
        <w:jc w:val="both"/>
        <w:spacing w:after="0" w:line="343" w:lineRule="auto"/>
        <w:rPr>
          <w:sz w:val="20"/>
          <w:szCs w:val="20"/>
          <w:color w:val="auto"/>
        </w:rPr>
      </w:pPr>
      <w:r>
        <w:rPr>
          <w:rFonts w:ascii="Arial" w:cs="Arial" w:eastAsia="Arial" w:hAnsi="Arial"/>
          <w:sz w:val="19"/>
          <w:szCs w:val="19"/>
          <w:color w:val="auto"/>
        </w:rPr>
        <w:t>and its Subsidiaries during any fiscal quarter of the Borrower or 25% of the book value of Holdco’s and its Subsidiaries’ total assets from and after the Effective Date (measured, in each case, as of the end of the fiscal quarter then last ended);</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sales, transfers, leases and other dispositions permitted under this Section 6.05 (other than those permitted by paragraphs (b), (d) and (f) above) shall be made for fair value and for at least 75% cash consideration.</w:t>
      </w:r>
    </w:p>
    <w:p>
      <w:pPr>
        <w:spacing w:after="0" w:line="175"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Sale and Leaseback Transactions</w:t>
      </w:r>
      <w:r>
        <w:rPr>
          <w:rFonts w:ascii="Arial" w:cs="Arial" w:eastAsia="Arial" w:hAnsi="Arial"/>
          <w:sz w:val="19"/>
          <w:szCs w:val="19"/>
          <w:color w:val="auto"/>
        </w:rPr>
        <w:t>. The Borrower will not,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w:t>
      </w:r>
    </w:p>
    <w:p>
      <w:pPr>
        <w:spacing w:after="0" w:line="138"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Swap Agreements</w:t>
      </w:r>
      <w:r>
        <w:rPr>
          <w:rFonts w:ascii="Arial" w:cs="Arial" w:eastAsia="Arial" w:hAnsi="Arial"/>
          <w:sz w:val="19"/>
          <w:szCs w:val="19"/>
          <w:color w:val="auto"/>
        </w:rPr>
        <w:t>. The Borrower will not, nor will it permit any Subsidiary to, enter into any Swap Agreement, except (a) Swap Agreements 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w:t>
      </w:r>
    </w:p>
    <w:p>
      <w:pPr>
        <w:spacing w:after="0" w:line="14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The Borrower will not,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and (iii) the Borrower may (A) declare or pay cash dividends to Holdco in amounts sufficient to allow Holdco</w:t>
      </w:r>
    </w:p>
    <w:p>
      <w:pPr>
        <w:spacing w:after="0" w:line="3" w:lineRule="exact"/>
        <w:rPr>
          <w:sz w:val="20"/>
          <w:szCs w:val="20"/>
          <w:color w:val="auto"/>
        </w:rPr>
      </w:pPr>
    </w:p>
    <w:p>
      <w:pPr>
        <w:jc w:val="both"/>
        <w:ind w:firstLine="8"/>
        <w:spacing w:after="0" w:line="295" w:lineRule="auto"/>
        <w:tabs>
          <w:tab w:leader="none" w:pos="31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to discharge any Federal, state and local income tax liability arising from the operations of the Borrower and its Subsidiaries, and (y) to pay corporate overhead and administrative expenses reasonably allocable to the operations of the Borrower and its Subsidiaries, and (B) so long as no Event of Default exists before or immediately after giving effect thereto, (x) declare or pay cash dividends to Holdco, and (y) purchase, redeem or otherwise acquire Equity Interests issued by Holdco.</w:t>
      </w:r>
    </w:p>
    <w:p>
      <w:pPr>
        <w:spacing w:after="0" w:line="15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 (b) any Indebtedness permitted under Section 6.01(c), (c) any Restricted Payment permitted by Section 6.08, (d) loans or advances to employees permitted under Section 6.04(c), (e) asset sales or other transfers permitted under Section 6.05(k), (f) investments permitted under Section 6.04(l), (g) the payment of reasonable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604" w:right="339" w:bottom="1440" w:gutter="0" w:footer="0" w:header="0"/>
        </w:sectPr>
      </w:pPr>
    </w:p>
    <w:bookmarkStart w:id="186" w:name="page187"/>
    <w:bookmarkEnd w:id="186"/>
    <w:p>
      <w:pPr>
        <w:jc w:val="both"/>
        <w:spacing w:after="0" w:line="247" w:lineRule="auto"/>
        <w:rPr>
          <w:sz w:val="20"/>
          <w:szCs w:val="20"/>
          <w:color w:val="auto"/>
        </w:rPr>
      </w:pPr>
      <w:r>
        <w:rPr>
          <w:rFonts w:ascii="Arial" w:cs="Arial" w:eastAsia="Arial" w:hAnsi="Arial"/>
          <w:sz w:val="22"/>
          <w:szCs w:val="22"/>
          <w:color w:val="auto"/>
        </w:rPr>
        <w:t>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any contribution to the capital of Holdco or any purchase of Equity Interests of Holdco.</w:t>
      </w:r>
    </w:p>
    <w:p>
      <w:pPr>
        <w:spacing w:after="0" w:line="19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The Borrower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and (iv) restrictions or conditions on the ability of any Subsidiary to create, incur or permit to pay dividends or distributions that exist under the Note Agreement for Borrower’s Series J Notes (the “</w:t>
      </w:r>
      <w:r>
        <w:rPr>
          <w:rFonts w:ascii="Arial" w:cs="Arial" w:eastAsia="Arial" w:hAnsi="Arial"/>
          <w:sz w:val="19"/>
          <w:szCs w:val="19"/>
          <w:u w:val="single" w:color="auto"/>
          <w:color w:val="auto"/>
        </w:rPr>
        <w:t>Senior Note Restriction</w:t>
      </w:r>
      <w:r>
        <w:rPr>
          <w:rFonts w:ascii="Arial" w:cs="Arial" w:eastAsia="Arial" w:hAnsi="Arial"/>
          <w:sz w:val="19"/>
          <w:szCs w:val="19"/>
          <w:color w:val="auto"/>
        </w:rPr>
        <w:t>”) or any other agreement now existing or hereafter entered into under which Borrower has issued, or may hereafter issue, debt securities that includes any such restriction that are not more restrictive than the Senior Note Restriction.</w:t>
      </w:r>
    </w:p>
    <w:p>
      <w:pPr>
        <w:spacing w:after="0" w:line="15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Amendment of Material Documents</w:t>
      </w:r>
      <w:r>
        <w:rPr>
          <w:rFonts w:ascii="Arial" w:cs="Arial" w:eastAsia="Arial" w:hAnsi="Arial"/>
          <w:sz w:val="22"/>
          <w:szCs w:val="22"/>
          <w:color w:val="auto"/>
        </w:rPr>
        <w:t>. The Borrower will not, nor will it permit any Subsidiary to, amend, modify or waive any of its rights under its charter, articles or certificate of organization or incorporation and bylaws or operating, management or partnership agreement, or other organizational or governing documents, to the extent any such amendment, modification or waiver would be adverse to the Lender.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99" w:lineRule="auto"/>
        <w:tabs>
          <w:tab w:leader="none" w:pos="1743"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Funded Debt to Capitalization Ratio</w:t>
      </w:r>
      <w:r>
        <w:rPr>
          <w:rFonts w:ascii="Arial" w:cs="Arial" w:eastAsia="Arial" w:hAnsi="Arial"/>
          <w:sz w:val="22"/>
          <w:szCs w:val="22"/>
          <w:color w:val="auto"/>
        </w:rPr>
        <w:t>. The Borrower will not permit the Funded Debt to Capitalization Ratio, at any time, to be greater than 66⅔%.</w:t>
      </w:r>
    </w:p>
    <w:p>
      <w:pPr>
        <w:spacing w:after="0" w:line="112" w:lineRule="exact"/>
        <w:rPr>
          <w:rFonts w:ascii="Arial" w:cs="Arial" w:eastAsia="Arial" w:hAnsi="Arial"/>
          <w:sz w:val="22"/>
          <w:szCs w:val="22"/>
          <w:color w:val="auto"/>
        </w:rPr>
      </w:pPr>
    </w:p>
    <w:p>
      <w:pPr>
        <w:jc w:val="both"/>
        <w:ind w:firstLine="1304"/>
        <w:spacing w:after="0" w:line="278" w:lineRule="auto"/>
        <w:tabs>
          <w:tab w:leader="none" w:pos="1755"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Interest Coverage Ratio</w:t>
      </w:r>
      <w:r>
        <w:rPr>
          <w:rFonts w:ascii="Arial" w:cs="Arial" w:eastAsia="Arial" w:hAnsi="Arial"/>
          <w:sz w:val="21"/>
          <w:szCs w:val="21"/>
          <w:color w:val="auto"/>
        </w:rPr>
        <w:t>. For each fiscal quarter ending after the Effective Date (commencing with the fiscal quarter ending June 30, 2016), the Borrower will not permit the Interest Coverage Ratio, for any period of four consecutive fiscal quarters ending on the last day of each such fiscal quarter, to be less than 1.75:1.00.</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604" w:right="339" w:bottom="1440" w:gutter="0" w:footer="0" w:header="0"/>
        </w:sectPr>
      </w:pPr>
    </w:p>
    <w:bookmarkStart w:id="187" w:name="page188"/>
    <w:bookmarkEnd w:id="187"/>
    <w:p>
      <w:pPr>
        <w:ind w:left="5000"/>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20" w:lineRule="exact"/>
        <w:rPr>
          <w:sz w:val="20"/>
          <w:szCs w:val="20"/>
          <w:color w:val="auto"/>
        </w:rPr>
      </w:pPr>
    </w:p>
    <w:p>
      <w:pPr>
        <w:jc w:val="both"/>
        <w:ind w:firstLine="1304"/>
        <w:spacing w:after="0" w:line="259" w:lineRule="auto"/>
        <w:tabs>
          <w:tab w:leader="none" w:pos="177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0" w:lineRule="exact"/>
        <w:rPr>
          <w:rFonts w:ascii="Arial" w:cs="Arial" w:eastAsia="Arial" w:hAnsi="Arial"/>
          <w:sz w:val="22"/>
          <w:szCs w:val="22"/>
          <w:color w:val="auto"/>
        </w:rPr>
      </w:pPr>
    </w:p>
    <w:p>
      <w:pPr>
        <w:jc w:val="both"/>
        <w:ind w:firstLine="1304"/>
        <w:spacing w:after="0" w:line="319" w:lineRule="auto"/>
        <w:tabs>
          <w:tab w:leader="none" w:pos="174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27" w:lineRule="exact"/>
        <w:rPr>
          <w:rFonts w:ascii="Arial" w:cs="Arial" w:eastAsia="Arial" w:hAnsi="Arial"/>
          <w:sz w:val="19"/>
          <w:szCs w:val="19"/>
          <w:color w:val="auto"/>
        </w:rPr>
      </w:pPr>
    </w:p>
    <w:p>
      <w:pPr>
        <w:jc w:val="both"/>
        <w:ind w:firstLine="1304"/>
        <w:spacing w:after="0" w:line="300" w:lineRule="auto"/>
        <w:tabs>
          <w:tab w:leader="none" w:pos="171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46" w:lineRule="exact"/>
        <w:rPr>
          <w:rFonts w:ascii="Arial" w:cs="Arial" w:eastAsia="Arial" w:hAnsi="Arial"/>
          <w:sz w:val="19"/>
          <w:szCs w:val="19"/>
          <w:color w:val="auto"/>
        </w:rPr>
      </w:pPr>
    </w:p>
    <w:p>
      <w:pPr>
        <w:ind w:firstLine="1304"/>
        <w:spacing w:after="0" w:line="276" w:lineRule="auto"/>
        <w:tabs>
          <w:tab w:leader="none" w:pos="198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Section 5.02(a), 5.03 (with respect to the Borrower’s existence), 5.08 or 5.11 or in Article VI;</w:t>
      </w:r>
    </w:p>
    <w:p>
      <w:pPr>
        <w:spacing w:after="0" w:line="160" w:lineRule="exact"/>
        <w:rPr>
          <w:rFonts w:ascii="Arial" w:cs="Arial" w:eastAsia="Arial" w:hAnsi="Arial"/>
          <w:sz w:val="22"/>
          <w:szCs w:val="22"/>
          <w:color w:val="auto"/>
        </w:rPr>
      </w:pPr>
    </w:p>
    <w:p>
      <w:pPr>
        <w:jc w:val="both"/>
        <w:ind w:firstLine="1304"/>
        <w:spacing w:after="0" w:line="248" w:lineRule="auto"/>
        <w:tabs>
          <w:tab w:leader="none" w:pos="189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this Agreement or any other Loan Document (other than those specified in clause (a), (b) or (d) of this Article VII), and such failure shall continue unremedied for a period of (i) 15 days after the earlier of the Borrower’s knowledge of such breach or notice thereof from the Lender if such breach relates to terms or provisions of Section 5.01, 5.02 (other than Section 5.02(a)), 5.03 through 5.07, or 5.10 of this Agreement or (ii) 30 days after the earlier of the Borrower’s knowledge of such breach or notice thereof from the Lender if such breach relates to terms or provisions of any other Section of this Agreement or of any other Loan Document;</w:t>
      </w:r>
    </w:p>
    <w:p>
      <w:pPr>
        <w:spacing w:after="0" w:line="195" w:lineRule="exact"/>
        <w:rPr>
          <w:rFonts w:ascii="Arial" w:cs="Arial" w:eastAsia="Arial" w:hAnsi="Arial"/>
          <w:sz w:val="22"/>
          <w:szCs w:val="22"/>
          <w:color w:val="auto"/>
        </w:rPr>
      </w:pPr>
    </w:p>
    <w:p>
      <w:pPr>
        <w:ind w:firstLine="1304"/>
        <w:spacing w:after="0" w:line="301" w:lineRule="auto"/>
        <w:tabs>
          <w:tab w:leader="none" w:pos="169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Borrower or any Subsidiary shall fail to make any payment (whether of principal or interest and regardless of amount) in respect of any Material Indebtedness, when and as the same shall become due and payable;</w:t>
      </w:r>
    </w:p>
    <w:p>
      <w:pPr>
        <w:spacing w:after="0" w:line="136" w:lineRule="exact"/>
        <w:rPr>
          <w:rFonts w:ascii="Arial" w:cs="Arial" w:eastAsia="Arial" w:hAnsi="Arial"/>
          <w:sz w:val="21"/>
          <w:szCs w:val="21"/>
          <w:color w:val="auto"/>
        </w:rPr>
      </w:pPr>
    </w:p>
    <w:p>
      <w:pPr>
        <w:jc w:val="both"/>
        <w:ind w:firstLine="1304"/>
        <w:spacing w:after="0" w:line="266" w:lineRule="auto"/>
        <w:tabs>
          <w:tab w:leader="none" w:pos="176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(g) shall not apply to secured Indebtedness that becomes due as a result of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604" w:right="339" w:bottom="1440" w:gutter="0" w:footer="0" w:header="0"/>
        </w:sectPr>
      </w:pPr>
    </w:p>
    <w:bookmarkStart w:id="188" w:name="page189"/>
    <w:bookmarkEnd w:id="188"/>
    <w:p>
      <w:pPr>
        <w:spacing w:after="0" w:line="263" w:lineRule="auto"/>
        <w:rPr>
          <w:sz w:val="20"/>
          <w:szCs w:val="20"/>
          <w:color w:val="auto"/>
        </w:rPr>
      </w:pPr>
      <w:r>
        <w:rPr>
          <w:rFonts w:ascii="Arial" w:cs="Arial" w:eastAsia="Arial" w:hAnsi="Arial"/>
          <w:sz w:val="22"/>
          <w:szCs w:val="22"/>
          <w:color w:val="auto"/>
        </w:rPr>
        <w:t>voluntary sale or transfer of the property or assets securing such Indebtedness to the extent such sale or transfer is permitted by the terms of Section 6.05;</w:t>
      </w:r>
    </w:p>
    <w:p>
      <w:pPr>
        <w:spacing w:after="0" w:line="17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an involuntary proceeding shall be commenced or an involuntary petition shall be filed seeking</w:t>
      </w:r>
    </w:p>
    <w:p>
      <w:pPr>
        <w:spacing w:after="0" w:line="21" w:lineRule="exact"/>
        <w:rPr>
          <w:sz w:val="20"/>
          <w:szCs w:val="20"/>
          <w:color w:val="auto"/>
        </w:rPr>
      </w:pPr>
    </w:p>
    <w:p>
      <w:pPr>
        <w:jc w:val="both"/>
        <w:ind w:firstLine="8"/>
        <w:spacing w:after="0" w:line="295" w:lineRule="auto"/>
        <w:tabs>
          <w:tab w:leader="none" w:pos="25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sixty (60) days or an order or decree approving or ordering any of the foregoing shall be entered;</w:t>
      </w:r>
    </w:p>
    <w:p>
      <w:pPr>
        <w:spacing w:after="0" w:line="151" w:lineRule="exact"/>
        <w:rPr>
          <w:rFonts w:ascii="Arial" w:cs="Arial" w:eastAsia="Arial" w:hAnsi="Arial"/>
          <w:sz w:val="19"/>
          <w:szCs w:val="19"/>
          <w:color w:val="auto"/>
        </w:rPr>
      </w:pPr>
    </w:p>
    <w:p>
      <w:pPr>
        <w:jc w:val="both"/>
        <w:ind w:firstLine="1304"/>
        <w:spacing w:after="0" w:line="294" w:lineRule="auto"/>
        <w:tabs>
          <w:tab w:leader="none" w:pos="1747" w:val="left"/>
        </w:tabs>
        <w:numPr>
          <w:ilvl w:val="1"/>
          <w:numId w:val="189"/>
        </w:numPr>
        <w:rPr>
          <w:rFonts w:ascii="Arial" w:cs="Arial" w:eastAsia="Arial" w:hAnsi="Arial"/>
          <w:sz w:val="19"/>
          <w:szCs w:val="19"/>
          <w:color w:val="auto"/>
        </w:rPr>
      </w:pPr>
      <w:r>
        <w:rPr>
          <w:rFonts w:ascii="Arial" w:cs="Arial" w:eastAsia="Arial" w:hAnsi="Arial"/>
          <w:sz w:val="19"/>
          <w:szCs w:val="19"/>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1" w:lineRule="exact"/>
        <w:rPr>
          <w:rFonts w:ascii="Arial" w:cs="Arial" w:eastAsia="Arial" w:hAnsi="Arial"/>
          <w:sz w:val="19"/>
          <w:szCs w:val="19"/>
          <w:color w:val="auto"/>
        </w:rPr>
      </w:pPr>
    </w:p>
    <w:p>
      <w:pPr>
        <w:ind w:firstLine="1304"/>
        <w:spacing w:after="0" w:line="276" w:lineRule="auto"/>
        <w:tabs>
          <w:tab w:leader="none" w:pos="1774"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Borrower or any Subsidiary shall become unable, admit in writing its inability, or publicly declare its intention not to, or fail generally, to pay its debts as they become due;</w:t>
      </w:r>
    </w:p>
    <w:p>
      <w:pPr>
        <w:spacing w:after="0" w:line="160" w:lineRule="exact"/>
        <w:rPr>
          <w:rFonts w:ascii="Arial" w:cs="Arial" w:eastAsia="Arial" w:hAnsi="Arial"/>
          <w:sz w:val="22"/>
          <w:szCs w:val="22"/>
          <w:color w:val="auto"/>
        </w:rPr>
      </w:pPr>
    </w:p>
    <w:p>
      <w:pPr>
        <w:jc w:val="both"/>
        <w:ind w:firstLine="1304"/>
        <w:spacing w:after="0" w:line="294" w:lineRule="auto"/>
        <w:tabs>
          <w:tab w:leader="none" w:pos="178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$5,000,000 shall be rendered against the Borrower,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Borrower or any Subsidiary to enforce any such judgment or the Borrower or any Subsidiary shall fail within thirty (30) days to discharge one or more non-monetary judgments or orders which, individually or in the aggregate, could reasonably be expected to have a Material Adverse Effect, which judgments or orders, in any such case, are not stayed on appeal and being appropriately contested in good faith by proper proceedings diligently pursued;</w:t>
      </w:r>
    </w:p>
    <w:p>
      <w:pPr>
        <w:spacing w:after="0" w:line="151" w:lineRule="exact"/>
        <w:rPr>
          <w:rFonts w:ascii="Arial" w:cs="Arial" w:eastAsia="Arial" w:hAnsi="Arial"/>
          <w:sz w:val="19"/>
          <w:szCs w:val="19"/>
          <w:color w:val="auto"/>
        </w:rPr>
      </w:pPr>
    </w:p>
    <w:p>
      <w:pPr>
        <w:ind w:firstLine="1304"/>
        <w:spacing w:after="0" w:line="276" w:lineRule="auto"/>
        <w:tabs>
          <w:tab w:leader="none" w:pos="174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an ERISA Event shall have occurred that, in the opinion of the Lender, when taken together with all other ERISA Events that have occurred, could reasonably be expected to result in a Material Adverse Effect;</w:t>
      </w:r>
    </w:p>
    <w:p>
      <w:pPr>
        <w:spacing w:after="0" w:line="160" w:lineRule="exact"/>
        <w:rPr>
          <w:rFonts w:ascii="Arial" w:cs="Arial" w:eastAsia="Arial" w:hAnsi="Arial"/>
          <w:sz w:val="22"/>
          <w:szCs w:val="22"/>
          <w:color w:val="auto"/>
        </w:rPr>
      </w:pPr>
    </w:p>
    <w:p>
      <w:pPr>
        <w:ind w:left="1800" w:hanging="496"/>
        <w:spacing w:after="0"/>
        <w:tabs>
          <w:tab w:leader="none" w:pos="180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33" w:lineRule="exact"/>
        <w:rPr>
          <w:rFonts w:ascii="Arial" w:cs="Arial" w:eastAsia="Arial" w:hAnsi="Arial"/>
          <w:sz w:val="22"/>
          <w:szCs w:val="22"/>
          <w:color w:val="auto"/>
        </w:rPr>
      </w:pPr>
    </w:p>
    <w:p>
      <w:pPr>
        <w:jc w:val="both"/>
        <w:ind w:firstLine="1304"/>
        <w:spacing w:after="0" w:line="259" w:lineRule="auto"/>
        <w:tabs>
          <w:tab w:leader="none" w:pos="1768"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any material provision of any Loan Document for any reason ceases to be valid, binding and enforceable in accordance with its terms (or the Borrower shall challenge the enforceability of any Loan Document or shall assert in writing, or engage in any action or inaction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604" w:right="339" w:bottom="1440" w:gutter="0" w:footer="0" w:header="0"/>
        </w:sectPr>
      </w:pPr>
    </w:p>
    <w:bookmarkStart w:id="189" w:name="page190"/>
    <w:bookmarkEnd w:id="189"/>
    <w:p>
      <w:pPr>
        <w:spacing w:after="0" w:line="263" w:lineRule="auto"/>
        <w:rPr>
          <w:sz w:val="20"/>
          <w:szCs w:val="20"/>
          <w:color w:val="auto"/>
        </w:rPr>
      </w:pPr>
      <w:r>
        <w:rPr>
          <w:rFonts w:ascii="Arial" w:cs="Arial" w:eastAsia="Arial" w:hAnsi="Arial"/>
          <w:sz w:val="22"/>
          <w:szCs w:val="22"/>
          <w:color w:val="auto"/>
        </w:rPr>
        <w:t>that evidences its assertion, that any provision of any of the Loan Documents has ceased to be or otherwise is not valid, binding and enforceable in accordance with its terms);</w:t>
      </w:r>
    </w:p>
    <w:p>
      <w:pPr>
        <w:spacing w:after="0" w:line="175" w:lineRule="exact"/>
        <w:rPr>
          <w:sz w:val="20"/>
          <w:szCs w:val="20"/>
          <w:color w:val="auto"/>
        </w:rPr>
      </w:pPr>
    </w:p>
    <w:p>
      <w:pPr>
        <w:jc w:val="both"/>
        <w:ind w:firstLine="1304"/>
        <w:spacing w:after="0" w:line="259" w:lineRule="auto"/>
        <w:tabs>
          <w:tab w:leader="none" w:pos="178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Borrower, Holdco or any Subsidiary of Holdco shall fail to make any payment (whether of principal or interest and regardless of amount) in respect of any Indebtedness owed to the Lender that exceeds $25,000, when and as the same shall become due and payable;</w:t>
      </w:r>
    </w:p>
    <w:p>
      <w:pPr>
        <w:spacing w:after="0" w:line="180" w:lineRule="exact"/>
        <w:rPr>
          <w:rFonts w:ascii="Arial" w:cs="Arial" w:eastAsia="Arial" w:hAnsi="Arial"/>
          <w:sz w:val="22"/>
          <w:szCs w:val="22"/>
          <w:color w:val="auto"/>
        </w:rPr>
      </w:pPr>
    </w:p>
    <w:p>
      <w:pPr>
        <w:jc w:val="both"/>
        <w:ind w:firstLine="1304"/>
        <w:spacing w:after="0" w:line="254" w:lineRule="auto"/>
        <w:tabs>
          <w:tab w:leader="none" w:pos="17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Indebtedness of the Borrower, Holdco, or any Subsidiary of Holdco owed to the Lender becoming due prior to its scheduled maturity or that enables or permits (with or without the giving of notice, the lapse of time or both) the Lender to cause such Indebtedness to become due, or to require the prepayment, repurchase, redemption or defeasance thereof, prior to its scheduled maturity;</w:t>
      </w:r>
    </w:p>
    <w:p>
      <w:pPr>
        <w:spacing w:after="0" w:line="184" w:lineRule="exact"/>
        <w:rPr>
          <w:rFonts w:ascii="Arial" w:cs="Arial" w:eastAsia="Arial" w:hAnsi="Arial"/>
          <w:sz w:val="22"/>
          <w:szCs w:val="22"/>
          <w:color w:val="auto"/>
        </w:rPr>
      </w:pPr>
    </w:p>
    <w:p>
      <w:pPr>
        <w:jc w:val="both"/>
        <w:ind w:firstLine="1304"/>
        <w:spacing w:after="0" w:line="253" w:lineRule="auto"/>
        <w:tabs>
          <w:tab w:leader="none" w:pos="1629" w:val="left"/>
        </w:tabs>
        <w:numPr>
          <w:ilvl w:val="0"/>
          <w:numId w:val="190"/>
        </w:numPr>
        <w:rPr>
          <w:rFonts w:ascii="Arial" w:cs="Arial" w:eastAsia="Arial" w:hAnsi="Arial"/>
          <w:sz w:val="22"/>
          <w:szCs w:val="22"/>
          <w:color w:val="FF0000"/>
          <w:strike w:val="1"/>
        </w:rPr>
      </w:pPr>
      <w:r>
        <w:rPr>
          <w:rFonts w:ascii="Arial" w:cs="Arial" w:eastAsia="Arial" w:hAnsi="Arial"/>
          <w:sz w:val="22"/>
          <w:szCs w:val="22"/>
          <w:color w:val="FF0000"/>
          <w:strike w:val="1"/>
        </w:rPr>
        <w:t xml:space="preserve">the aggregate amount </w:t>
      </w:r>
      <w:r>
        <w:rPr>
          <w:rFonts w:ascii="Arial" w:cs="Arial" w:eastAsia="Arial" w:hAnsi="Arial"/>
          <w:sz w:val="22"/>
          <w:szCs w:val="22"/>
          <w:color w:val="008000"/>
          <w:strike w:val="1"/>
        </w:rPr>
        <w:t>of (i) the</w:t>
      </w:r>
      <w:r>
        <w:rPr>
          <w:rFonts w:ascii="Arial" w:cs="Arial" w:eastAsia="Arial" w:hAnsi="Arial"/>
          <w:sz w:val="22"/>
          <w:szCs w:val="22"/>
          <w:color w:val="FF0000"/>
          <w:strike w:val="1"/>
        </w:rPr>
        <w:t xml:space="preserve"> Exposure plus (ii) all amounts outstanding (or committed) under the Wells Facility including the aggregate undrawn amount of all letters of credit and outstanding letter of credit disbursements exceeds $145,000,000 at any time; or</w:t>
      </w:r>
    </w:p>
    <w:p>
      <w:pPr>
        <w:spacing w:after="0" w:line="185" w:lineRule="exact"/>
        <w:rPr>
          <w:rFonts w:ascii="Arial" w:cs="Arial" w:eastAsia="Arial" w:hAnsi="Arial"/>
          <w:sz w:val="22"/>
          <w:szCs w:val="22"/>
          <w:color w:val="FF0000"/>
          <w:strike w:val="1"/>
        </w:rPr>
      </w:pPr>
    </w:p>
    <w:p>
      <w:pPr>
        <w:ind w:firstLine="1304"/>
        <w:spacing w:after="0" w:line="263" w:lineRule="auto"/>
        <w:tabs>
          <w:tab w:leader="none" w:pos="1589" w:val="left"/>
        </w:tabs>
        <w:numPr>
          <w:ilvl w:val="0"/>
          <w:numId w:val="190"/>
        </w:numPr>
        <w:rPr>
          <w:rFonts w:ascii="Arial" w:cs="Arial" w:eastAsia="Arial" w:hAnsi="Arial"/>
          <w:sz w:val="22"/>
          <w:szCs w:val="22"/>
          <w:color w:val="FF0000"/>
          <w:strike w:val="1"/>
        </w:rPr>
      </w:pPr>
      <w:r>
        <w:rPr>
          <w:rFonts w:ascii="Arial" w:cs="Arial" w:eastAsia="Arial" w:hAnsi="Arial"/>
          <w:sz w:val="22"/>
          <w:szCs w:val="22"/>
          <w:color w:val="FF0000"/>
          <w:strike w:val="1"/>
        </w:rPr>
        <w:t>the aggregate amount outstanding (or committed) under the Wells Facility</w:t>
      </w:r>
      <w:r>
        <w:rPr>
          <w:rFonts w:ascii="Arial" w:cs="Arial" w:eastAsia="Arial" w:hAnsi="Arial"/>
          <w:sz w:val="22"/>
          <w:szCs w:val="22"/>
          <w:color w:val="008000"/>
          <w:strike w:val="1"/>
        </w:rPr>
        <w:t>, including the</w:t>
      </w:r>
      <w:r>
        <w:rPr>
          <w:rFonts w:ascii="Arial" w:cs="Arial" w:eastAsia="Arial" w:hAnsi="Arial"/>
          <w:sz w:val="22"/>
          <w:szCs w:val="22"/>
          <w:color w:val="FF0000"/>
          <w:strike w:val="1"/>
        </w:rPr>
        <w:t xml:space="preserve"> aggregate undrawn amount of all letters of credit and outstanding letter of credit disbursements exceeds $3,200,000;</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(i) or (j) of this Article), and at any time thereafter during the continuance of such event, the Lender may, by notice to the Borrower, take either or both of the following actions, at the same or different times: (i) terminate the Commitment, whereupon the Commitment shall terminate immediately, and (ii) declare the Loans then outstanding to be due and payable in whole (or in part, in which case any principal not so declared to be due and payable may thereafter be declared to be due and payable), whereupon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 in the case of any event with respect to the Borrower described in clause (h), (i) or (j) of this Article, the Commitment shall automatically terminate and the principal of the Loans then outstanding, together with accrued interest thereon and all fees and other obligations of the Borrower accrued hereunder, shall automatically become due and payable, in each case without presentment, demand, protest or other notice of any kind, all of which are hereby waived by the Borrower. Upon the occurrence and during the continuance of an Event of Default, the Lender may increase the rate of interest applicable to the Loans and other Obligations as set forth in this Agreement and exercise any rights and remedies provided to the Lender under the Loan Documents or at law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604"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8" w:lineRule="auto"/>
        <w:tabs>
          <w:tab w:leader="none" w:pos="178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159" w:lineRule="exact"/>
        <w:rPr>
          <w:rFonts w:ascii="Arial" w:cs="Arial" w:eastAsia="Arial" w:hAnsi="Arial"/>
          <w:sz w:val="21"/>
          <w:szCs w:val="21"/>
          <w:color w:val="auto"/>
        </w:rPr>
      </w:pPr>
    </w:p>
    <w:p>
      <w:pPr>
        <w:ind w:left="2340" w:hanging="388"/>
        <w:spacing w:after="0"/>
        <w:tabs>
          <w:tab w:leader="none" w:pos="234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if to the Borrower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Water Company</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110 West Taylor St.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No: (408) 279-7934</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Water Company</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110 West Taylor St.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Suzy Papazian, General Counsel</w:t>
      </w:r>
    </w:p>
    <w:p>
      <w:pPr>
        <w:spacing w:after="0" w:line="236" w:lineRule="exact"/>
        <w:rPr>
          <w:sz w:val="20"/>
          <w:szCs w:val="20"/>
          <w:color w:val="auto"/>
        </w:rPr>
      </w:pPr>
    </w:p>
    <w:p>
      <w:pPr>
        <w:ind w:left="2460" w:hanging="508"/>
        <w:spacing w:after="0"/>
        <w:tabs>
          <w:tab w:leader="none" w:pos="24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if to JPMorgan Chase Bank, N.A. </w:t>
      </w:r>
      <w:r>
        <w:rPr>
          <w:rFonts w:ascii="Arial" w:cs="Arial" w:eastAsia="Arial" w:hAnsi="Arial"/>
          <w:sz w:val="19"/>
          <w:szCs w:val="19"/>
          <w:color w:val="FF0000"/>
          <w:strike w:val="1"/>
        </w:rPr>
        <w:t>at</w:t>
      </w:r>
      <w:r>
        <w:rPr>
          <w:rFonts w:ascii="Arial" w:cs="Arial" w:eastAsia="Arial" w:hAnsi="Arial"/>
          <w:sz w:val="19"/>
          <w:szCs w:val="19"/>
          <w:b w:val="1"/>
          <w:bCs w:val="1"/>
          <w:u w:val="single" w:color="auto"/>
          <w:color w:val="0000FF"/>
        </w:rPr>
        <w:t>, in the case of Borrowings, repayments or prepayments of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Loans, to</w:t>
      </w:r>
      <w:r>
        <w:rPr>
          <w:rFonts w:ascii="Arial" w:cs="Arial" w:eastAsia="Arial" w:hAnsi="Arial"/>
          <w:sz w:val="22"/>
          <w:szCs w:val="22"/>
          <w:color w:val="000000"/>
        </w:rPr>
        <w:t>:</w:t>
      </w:r>
    </w:p>
    <w:p>
      <w:pPr>
        <w:spacing w:after="0" w:line="209" w:lineRule="exact"/>
        <w:rPr>
          <w:sz w:val="20"/>
          <w:szCs w:val="20"/>
          <w:color w:val="auto"/>
        </w:rPr>
      </w:pPr>
    </w:p>
    <w:p>
      <w:pPr>
        <w:ind w:left="1960" w:right="3520"/>
        <w:spacing w:after="0" w:line="254" w:lineRule="auto"/>
        <w:rPr>
          <w:sz w:val="20"/>
          <w:szCs w:val="20"/>
          <w:color w:val="auto"/>
        </w:rPr>
      </w:pPr>
      <w:r>
        <w:rPr>
          <w:rFonts w:ascii="Arial" w:cs="Arial" w:eastAsia="Arial" w:hAnsi="Arial"/>
          <w:sz w:val="22"/>
          <w:szCs w:val="22"/>
          <w:b w:val="1"/>
          <w:bCs w:val="1"/>
          <w:u w:val="single" w:color="auto"/>
          <w:color w:val="0000FF"/>
        </w:rPr>
        <w:t xml:space="preserve">Corina Ramos, Account Manager, Wholesale Lending Services </w:t>
      </w:r>
      <w:r>
        <w:rPr>
          <w:rFonts w:ascii="Arial" w:cs="Arial" w:eastAsia="Arial" w:hAnsi="Arial"/>
          <w:sz w:val="22"/>
          <w:szCs w:val="22"/>
          <w:color w:val="000000"/>
        </w:rPr>
        <w:t>JPMorgan Chase Bank, N.A</w:t>
      </w:r>
      <w:r>
        <w:rPr>
          <w:rFonts w:ascii="Arial" w:cs="Arial" w:eastAsia="Arial" w:hAnsi="Arial"/>
          <w:sz w:val="22"/>
          <w:szCs w:val="22"/>
          <w:b w:val="1"/>
          <w:bCs w:val="1"/>
          <w:u w:val="single" w:color="auto"/>
          <w:color w:val="0000FF"/>
        </w:rPr>
        <w:t>.</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10 S Dearborn, Floor L2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Chicago, IL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T: 312-954-3229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Email: corina.c.ramos@chase.com</w:t>
      </w:r>
    </w:p>
    <w:p>
      <w:pPr>
        <w:spacing w:after="0" w:line="236" w:lineRule="exact"/>
        <w:rPr>
          <w:sz w:val="20"/>
          <w:szCs w:val="20"/>
          <w:color w:val="auto"/>
        </w:rPr>
      </w:pPr>
    </w:p>
    <w:p>
      <w:pPr>
        <w:ind w:left="2460" w:hanging="508"/>
        <w:spacing w:after="0"/>
        <w:tabs>
          <w:tab w:leader="none" w:pos="2460" w:val="left"/>
        </w:tabs>
        <w:numPr>
          <w:ilvl w:val="0"/>
          <w:numId w:val="193"/>
        </w:numPr>
        <w:rPr>
          <w:rFonts w:ascii="Arial" w:cs="Arial" w:eastAsia="Arial" w:hAnsi="Arial"/>
          <w:sz w:val="22"/>
          <w:szCs w:val="22"/>
          <w:color w:val="auto"/>
        </w:rPr>
      </w:pPr>
      <w:r>
        <w:rPr>
          <w:rFonts w:ascii="Arial" w:cs="Arial" w:eastAsia="Arial" w:hAnsi="Arial"/>
          <w:sz w:val="22"/>
          <w:szCs w:val="22"/>
          <w:b w:val="1"/>
          <w:bCs w:val="1"/>
          <w:u w:val="single" w:color="auto"/>
          <w:color w:val="0000FF"/>
        </w:rPr>
        <w:t>if to JPMorgan Chase Bank, N.A., in the case of all other notices,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JPMorgan Chase Bank, N.A.</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2"/>
          <w:szCs w:val="22"/>
          <w:color w:val="FF0000"/>
          <w:strike w:val="1"/>
        </w:rPr>
        <w:t>560 Mission</w:t>
      </w:r>
      <w:r>
        <w:rPr>
          <w:rFonts w:ascii="Arial" w:cs="Arial" w:eastAsia="Arial" w:hAnsi="Arial"/>
          <w:sz w:val="22"/>
          <w:szCs w:val="22"/>
          <w:b w:val="1"/>
          <w:bCs w:val="1"/>
          <w:u w:val="single" w:color="auto"/>
          <w:color w:val="0000FF"/>
        </w:rPr>
        <w:t>10 South Dearborn</w:t>
      </w:r>
      <w:r>
        <w:rPr>
          <w:rFonts w:ascii="Arial" w:cs="Arial" w:eastAsia="Arial" w:hAnsi="Arial"/>
          <w:sz w:val="22"/>
          <w:szCs w:val="22"/>
          <w:color w:val="FF0000"/>
        </w:rPr>
        <w:t xml:space="preserve"> </w:t>
      </w:r>
      <w:r>
        <w:rPr>
          <w:rFonts w:ascii="Arial" w:cs="Arial" w:eastAsia="Arial" w:hAnsi="Arial"/>
          <w:sz w:val="22"/>
          <w:szCs w:val="22"/>
          <w:color w:val="000000"/>
        </w:rPr>
        <w:t>Street,</w:t>
      </w:r>
      <w:r>
        <w:rPr>
          <w:rFonts w:ascii="Arial" w:cs="Arial" w:eastAsia="Arial" w:hAnsi="Arial"/>
          <w:sz w:val="22"/>
          <w:szCs w:val="22"/>
          <w:color w:val="FF0000"/>
        </w:rPr>
        <w:t xml:space="preserve"> </w:t>
      </w:r>
      <w:r>
        <w:rPr>
          <w:rFonts w:ascii="Arial" w:cs="Arial" w:eastAsia="Arial" w:hAnsi="Arial"/>
          <w:sz w:val="22"/>
          <w:szCs w:val="22"/>
          <w:color w:val="FF0000"/>
          <w:strike w:val="1"/>
        </w:rPr>
        <w:t>4</w:t>
      </w:r>
      <w:r>
        <w:rPr>
          <w:rFonts w:ascii="Arial" w:cs="Arial" w:eastAsia="Arial" w:hAnsi="Arial"/>
          <w:sz w:val="22"/>
          <w:szCs w:val="22"/>
          <w:b w:val="1"/>
          <w:bCs w:val="1"/>
          <w:u w:val="single" w:color="auto"/>
          <w:color w:val="0000FF"/>
        </w:rPr>
        <w:t>9</w:t>
      </w:r>
      <w:r>
        <w:rPr>
          <w:rFonts w:ascii="Arial" w:cs="Arial" w:eastAsia="Arial" w:hAnsi="Arial"/>
          <w:sz w:val="22"/>
          <w:szCs w:val="22"/>
          <w:color w:val="000000"/>
        </w:rPr>
        <w:t>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FF0000"/>
          <w:strike w:val="1"/>
        </w:rPr>
        <w:t>San Francisco, CA 94105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Chicago, Illinois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color w:val="FF0000"/>
          <w:strike w:val="1"/>
        </w:rPr>
        <w:t>Jeffery A. DeRosa</w:t>
      </w:r>
      <w:r>
        <w:rPr>
          <w:rFonts w:ascii="Arial" w:cs="Arial" w:eastAsia="Arial" w:hAnsi="Arial"/>
          <w:sz w:val="22"/>
          <w:szCs w:val="22"/>
          <w:b w:val="1"/>
          <w:bCs w:val="1"/>
          <w:u w:val="single" w:color="auto"/>
          <w:color w:val="0000FF"/>
        </w:rPr>
        <w:t>Justin E. Campbell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T: 312-732-7489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Email: Justin.e.campbell@jpmorgan.com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604" w:right="339" w:bottom="1440" w:gutter="0" w:footer="0" w:header="0"/>
        </w:sectPr>
      </w:pPr>
    </w:p>
    <w:bookmarkStart w:id="191" w:name="page192"/>
    <w:bookmarkEnd w:id="191"/>
    <w:p>
      <w:pPr>
        <w:ind w:left="1960"/>
        <w:spacing w:after="0"/>
        <w:rPr>
          <w:sz w:val="20"/>
          <w:szCs w:val="20"/>
          <w:color w:val="auto"/>
        </w:rPr>
      </w:pPr>
      <w:r>
        <w:rPr>
          <w:rFonts w:ascii="Arial" w:cs="Arial" w:eastAsia="Arial" w:hAnsi="Arial"/>
          <w:sz w:val="22"/>
          <w:szCs w:val="22"/>
          <w:b w:val="1"/>
          <w:bCs w:val="1"/>
          <w:u w:val="single" w:color="auto"/>
          <w:color w:val="0000FF"/>
        </w:rPr>
        <w:t>With a copy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JPMorgan Chase Bank, N.A.</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8181 Communications Pkwy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Plano, TX 75024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Attention: Nancy R. Barwig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T: 972-324-1721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0000FF"/>
        </w:rPr>
        <w:t>Email: nancy.r.barwig@jpmorgan.com</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 given during normal business hours for the recipient, such notice or communication shall be deemed to have been given at the opening of business on the next Business Day of the recipient, or (iii) delivered through electronic communication to the extent provided in paragraph (b) below shall be effective as provided in such paragraph.</w:t>
      </w:r>
    </w:p>
    <w:p>
      <w:pPr>
        <w:spacing w:after="0" w:line="147" w:lineRule="exact"/>
        <w:rPr>
          <w:sz w:val="20"/>
          <w:szCs w:val="20"/>
          <w:color w:val="auto"/>
        </w:rPr>
      </w:pPr>
    </w:p>
    <w:p>
      <w:pPr>
        <w:jc w:val="both"/>
        <w:ind w:firstLine="1304"/>
        <w:spacing w:after="0" w:line="258" w:lineRule="auto"/>
        <w:tabs>
          <w:tab w:leader="none" w:pos="184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 hereunder may be delivered or furnished by electronic communications (including e-mail and internet or intranet websites) pursuant to procedures approved by the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Article II unless otherwise agreed by the Lender. Each of the Lender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 All such notices and other communications (i) sent to an e-mail address shall be deemed received upon the sender’s receipt of an </w:t>
      </w:r>
      <w:r>
        <w:rPr>
          <w:rFonts w:ascii="Arial" w:cs="Arial" w:eastAsia="Arial" w:hAnsi="Arial"/>
          <w:sz w:val="21"/>
          <w:szCs w:val="21"/>
          <w:color w:val="FF0000"/>
          <w:strike w:val="1"/>
        </w:rPr>
        <w:t>acknowledgement</w:t>
      </w:r>
      <w:r>
        <w:rPr>
          <w:rFonts w:ascii="Arial" w:cs="Arial" w:eastAsia="Arial" w:hAnsi="Arial"/>
          <w:sz w:val="21"/>
          <w:szCs w:val="21"/>
          <w:b w:val="1"/>
          <w:bCs w:val="1"/>
          <w:u w:val="single" w:color="auto"/>
          <w:color w:val="0000FF"/>
        </w:rPr>
        <w:t>acknowledgment</w:t>
      </w:r>
      <w:r>
        <w:rPr>
          <w:rFonts w:ascii="Arial" w:cs="Arial" w:eastAsia="Arial" w:hAnsi="Arial"/>
          <w:sz w:val="21"/>
          <w:szCs w:val="21"/>
          <w:color w:val="auto"/>
        </w:rPr>
        <w:t xml:space="preserve"> from the intended recipient (such as by the “return receipt requested” function, as available, return e-mail or other written </w:t>
      </w:r>
      <w:r>
        <w:rPr>
          <w:rFonts w:ascii="Arial" w:cs="Arial" w:eastAsia="Arial" w:hAnsi="Arial"/>
          <w:sz w:val="21"/>
          <w:szCs w:val="21"/>
          <w:color w:val="FF0000"/>
          <w:strike w:val="1"/>
        </w:rPr>
        <w:t>acknowledgement</w:t>
      </w:r>
      <w:r>
        <w:rPr>
          <w:rFonts w:ascii="Arial" w:cs="Arial" w:eastAsia="Arial" w:hAnsi="Arial"/>
          <w:sz w:val="21"/>
          <w:szCs w:val="21"/>
          <w:b w:val="1"/>
          <w:bCs w:val="1"/>
          <w:u w:val="single" w:color="auto"/>
          <w:color w:val="0000FF"/>
        </w:rPr>
        <w:t>acknowledgment</w:t>
      </w:r>
      <w:r>
        <w:rPr>
          <w:rFonts w:ascii="Arial" w:cs="Arial" w:eastAsia="Arial" w:hAnsi="Arial"/>
          <w:sz w:val="21"/>
          <w:szCs w:val="21"/>
          <w:color w:val="auto"/>
        </w:rPr>
        <w: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3" w:lineRule="exact"/>
        <w:rPr>
          <w:rFonts w:ascii="Arial" w:cs="Arial" w:eastAsia="Arial" w:hAnsi="Arial"/>
          <w:sz w:val="21"/>
          <w:szCs w:val="21"/>
          <w:color w:val="auto"/>
        </w:rPr>
      </w:pPr>
    </w:p>
    <w:p>
      <w:pPr>
        <w:jc w:val="both"/>
        <w:ind w:firstLine="1304"/>
        <w:spacing w:after="0" w:line="278" w:lineRule="auto"/>
        <w:tabs>
          <w:tab w:leader="none" w:pos="1918"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Any party hereto may change its address, facsimile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855" w:right="339" w:bottom="1440" w:gutter="0" w:footer="0" w:header="0"/>
        </w:sectPr>
      </w:pPr>
    </w:p>
    <w:bookmarkStart w:id="192" w:name="page193"/>
    <w:bookmarkEnd w:id="192"/>
    <w:p>
      <w:pPr>
        <w:jc w:val="both"/>
        <w:ind w:firstLine="1304"/>
        <w:spacing w:after="0" w:line="260" w:lineRule="auto"/>
        <w:tabs>
          <w:tab w:leader="none" w:pos="185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No failure or delay by the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Lender may have had notice or knowledge of such Default at the time.</w:t>
      </w:r>
    </w:p>
    <w:p>
      <w:pPr>
        <w:spacing w:after="0" w:line="178" w:lineRule="exact"/>
        <w:rPr>
          <w:rFonts w:ascii="Arial" w:cs="Arial" w:eastAsia="Arial" w:hAnsi="Arial"/>
          <w:sz w:val="21"/>
          <w:szCs w:val="21"/>
          <w:color w:val="auto"/>
        </w:rPr>
      </w:pPr>
    </w:p>
    <w:p>
      <w:pPr>
        <w:jc w:val="both"/>
        <w:ind w:firstLine="1304"/>
        <w:spacing w:after="0" w:line="254" w:lineRule="auto"/>
        <w:tabs>
          <w:tab w:leader="none" w:pos="178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Neither this Agreement nor any other Loan Document nor any provision hereof or thereof may be waived, amended or modified except (i) in the case of this Agreement, pursuant to an agreement or agreements in writing entered into by the Borrower and the Lender or (ii) in the case of any other Loan Document, pursuant to an agreement or agreements in writing entered into by the Lender and the Borrower.</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exact"/>
        <w:tabs>
          <w:tab w:leader="none" w:pos="171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Borrower shall pay all (i)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Lender and its Affiliates, including the reasonable fees, charges and disbursements of counsel for the Lender (whether outside counsel or the allocated costs of its internal legal department), in connection with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and documented expenses incurred by the Lender in connection with the issuance, amendment, renewal or extension of any Letter of Credit or any demand for payment thereunder and (iii) out-of-pocket and documented expenses incurred by the Lender, including the fees, charges and disbursements of any counsel for the Lender (whether outside counsel or the allocated costs of its internal legal department),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during any workout, restructuring or negotiations in respect of such Loans or Letters of Credit. The foregoing fees, costs and expenses may be charged to the Borrower as Loans or to another deposit account, all as described in Section 2.16(c).</w:t>
      </w:r>
    </w:p>
    <w:p>
      <w:pPr>
        <w:spacing w:after="0" w:line="202" w:lineRule="exact"/>
        <w:rPr>
          <w:rFonts w:ascii="Arial" w:cs="Arial" w:eastAsia="Arial" w:hAnsi="Arial"/>
          <w:sz w:val="19"/>
          <w:szCs w:val="19"/>
          <w:color w:val="auto"/>
        </w:rPr>
      </w:pPr>
    </w:p>
    <w:p>
      <w:pPr>
        <w:jc w:val="both"/>
        <w:ind w:firstLine="1304"/>
        <w:spacing w:after="0" w:line="266" w:lineRule="auto"/>
        <w:tabs>
          <w:tab w:leader="none" w:pos="1809"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Borrower shall indemnify the Lender, and each Related Party of the Lender (each such Person being called an “</w:t>
      </w:r>
      <w:r>
        <w:rPr>
          <w:rFonts w:ascii="Arial" w:cs="Arial" w:eastAsia="Arial" w:hAnsi="Arial"/>
          <w:sz w:val="21"/>
          <w:szCs w:val="21"/>
          <w:u w:val="single" w:color="auto"/>
          <w:color w:val="auto"/>
        </w:rPr>
        <w:t>Indemnitee</w:t>
      </w:r>
      <w:r>
        <w:rPr>
          <w:rFonts w:ascii="Arial" w:cs="Arial" w:eastAsia="Arial" w:hAnsi="Arial"/>
          <w:sz w:val="21"/>
          <w:szCs w:val="21"/>
          <w:color w:val="auto"/>
        </w:rPr>
        <w:t>”) against, and hold each Indemnitee harmless from, any and all losses, claims, damages, penalties, incremental taxes,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604" w:right="339" w:bottom="1440" w:gutter="0" w:footer="0" w:header="0"/>
        </w:sectPr>
      </w:pPr>
    </w:p>
    <w:bookmarkStart w:id="193" w:name="page194"/>
    <w:bookmarkEnd w:id="193"/>
    <w:p>
      <w:pPr>
        <w:jc w:val="both"/>
        <w:spacing w:after="0" w:line="286" w:lineRule="auto"/>
        <w:rPr>
          <w:sz w:val="20"/>
          <w:szCs w:val="20"/>
          <w:color w:val="auto"/>
        </w:rPr>
      </w:pPr>
      <w:r>
        <w:rPr>
          <w:rFonts w:ascii="Arial" w:cs="Arial" w:eastAsia="Arial" w:hAnsi="Arial"/>
          <w:sz w:val="19"/>
          <w:szCs w:val="19"/>
          <w:color w:val="auto"/>
        </w:rPr>
        <w:t xml:space="preserve">the performance by the parties hereto of their respective obligations thereunder or the consummation of the Transactions or any other transactions contemplated hereby, (ii) any Loan or Letter of Credit or the use of the proceeds therefrom (including any refusal by the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 Subsidiary, or any Environmental Liability related in any way to the Borrower or Subsidiary, (iv) the failure of the Borrower to deliver to the Lender the required receipts or other required documentary evidence with respect to a payment made by the Borrower for Taxes pursuant to Section 2.15, 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8.03(b) shall not apply with respect to Taxes other than any Taxes that represent losses, claims or damages arising from any non-Tax claim.</w:t>
      </w:r>
    </w:p>
    <w:p>
      <w:pPr>
        <w:spacing w:after="0" w:line="166" w:lineRule="exact"/>
        <w:rPr>
          <w:sz w:val="20"/>
          <w:szCs w:val="20"/>
          <w:color w:val="auto"/>
        </w:rPr>
      </w:pPr>
    </w:p>
    <w:p>
      <w:pPr>
        <w:jc w:val="both"/>
        <w:ind w:firstLine="1304"/>
        <w:spacing w:after="0" w:line="292" w:lineRule="auto"/>
        <w:tabs>
          <w:tab w:leader="none" w:pos="171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the Borrower shall not assert, and the Borrower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(c) shall relieve the Borrower of any obligation it may have to indemnify an Indemnitee against special, indirect, consequential or punitive damages asserted against such Indemnitee by a third party.</w:t>
      </w:r>
    </w:p>
    <w:p>
      <w:pPr>
        <w:spacing w:after="0" w:line="154" w:lineRule="exact"/>
        <w:rPr>
          <w:rFonts w:ascii="Arial" w:cs="Arial" w:eastAsia="Arial" w:hAnsi="Arial"/>
          <w:sz w:val="19"/>
          <w:szCs w:val="19"/>
          <w:color w:val="auto"/>
        </w:rPr>
      </w:pPr>
    </w:p>
    <w:p>
      <w:pPr>
        <w:ind w:left="1740" w:hanging="436"/>
        <w:spacing w:after="0"/>
        <w:tabs>
          <w:tab w:leader="none" w:pos="17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not later than 30 days after written demand therefor.</w:t>
      </w:r>
    </w:p>
    <w:p>
      <w:pPr>
        <w:spacing w:after="0" w:line="26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92" w:lineRule="auto"/>
        <w:tabs>
          <w:tab w:leader="none" w:pos="171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the Lender that issues any Letter of Credit), except that the Borrower may not assign or otherwise transfer any of its rights or obligations hereunder without the prior written consent of the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the Lender that issues any Letter of Credit), Participants (to the extent provided in paragraph (c) of this Section) and, to the extent expressly contemplated hereby, the Related Parties of the Lender) any legal or equitable right, remedy or claim under or by reason of this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604" w:right="339" w:bottom="1440" w:gutter="0" w:footer="0" w:header="0"/>
        </w:sectPr>
      </w:pPr>
    </w:p>
    <w:bookmarkStart w:id="194" w:name="page195"/>
    <w:bookmarkEnd w:id="194"/>
    <w:p>
      <w:pPr>
        <w:jc w:val="both"/>
        <w:ind w:firstLine="1304"/>
        <w:spacing w:after="0" w:line="297" w:lineRule="auto"/>
        <w:tabs>
          <w:tab w:leader="none" w:pos="178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 The Lender may assign to one or more assignees all or a portion of its rights and obligations under this Agreement (including all or a portion of its Commitment and the Loans at the time owing to it) with the prior written consent (such consent not to be unreasonably withheld)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Lender within five (5) Business Days after having received notice thereof,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consent of the Borrower shall be required for an assignment to an Affiliate of the Lender, an Approved Fund or, if an Event of Default has occurred and is continuing, any other assignee;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Section 8.04(b),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the Lender, (b) an Affiliate of the Lender or (c) an entity or an Affiliate of an entity that administers or manages the Lender.</w:t>
      </w:r>
    </w:p>
    <w:p>
      <w:pPr>
        <w:spacing w:after="0" w:line="188" w:lineRule="exact"/>
        <w:rPr>
          <w:sz w:val="20"/>
          <w:szCs w:val="20"/>
          <w:color w:val="auto"/>
        </w:rPr>
      </w:pPr>
    </w:p>
    <w:p>
      <w:pPr>
        <w:jc w:val="both"/>
        <w:ind w:firstLine="1304"/>
        <w:spacing w:after="0" w:line="289" w:lineRule="auto"/>
        <w:tabs>
          <w:tab w:leader="none" w:pos="182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Lender may, without the consent of the Borrower,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the Lender’s rights and obligations under this Agreement (including all or a portion of its Commitment and Letters of Credit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The Borrower agrees that each Participant shall be entitled to the benefits of Sections 2.13, 2.14 and 2.15 (subject to the requirements and limitations therein) to the same extent as if it were the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Section 2.13 or 2.15,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To the extent permitted by law, each Participant also shall be entitled to the benefits of Section 8.08 as though it were the Lender. If the Lender shall sell a participation, it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Lender shall have no obligation to disclose all or any portion of the Participant Register (including the identity of any Participant or any information relating to a Participant’s interest in any Commitment,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the Lender shall treat each Person whose name is recorded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604" w:right="339" w:bottom="1440" w:gutter="0" w:footer="0" w:header="0"/>
        </w:sectPr>
      </w:pPr>
    </w:p>
    <w:bookmarkStart w:id="195" w:name="page196"/>
    <w:bookmarkEnd w:id="195"/>
    <w:p>
      <w:pPr>
        <w:spacing w:after="0" w:line="263" w:lineRule="auto"/>
        <w:rPr>
          <w:sz w:val="20"/>
          <w:szCs w:val="20"/>
          <w:color w:val="auto"/>
        </w:rPr>
      </w:pPr>
      <w:r>
        <w:rPr>
          <w:rFonts w:ascii="Arial" w:cs="Arial" w:eastAsia="Arial" w:hAnsi="Arial"/>
          <w:sz w:val="22"/>
          <w:szCs w:val="22"/>
          <w:color w:val="auto"/>
        </w:rPr>
        <w:t>in the Participant Register as the owner of such participation for all purposes of this Agreement notwithstanding any notice to the contrary.</w:t>
      </w:r>
    </w:p>
    <w:p>
      <w:pPr>
        <w:spacing w:after="0" w:line="175" w:lineRule="exact"/>
        <w:rPr>
          <w:sz w:val="20"/>
          <w:szCs w:val="20"/>
          <w:color w:val="auto"/>
        </w:rPr>
      </w:pPr>
    </w:p>
    <w:p>
      <w:pPr>
        <w:jc w:val="both"/>
        <w:ind w:firstLine="1304"/>
        <w:spacing w:after="0" w:line="251" w:lineRule="auto"/>
        <w:tabs>
          <w:tab w:leader="none" w:pos="1768"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The Lender may at any time pledge or assign a security interest in all or any portion of its rights under this Agreement to secure obligations of the Lender, including without limitation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the Lender from any of its obligations hereunder or substitute any such pledgee or assignee for the Lender as a party hereto.</w:t>
      </w:r>
    </w:p>
    <w:p>
      <w:pPr>
        <w:spacing w:after="0" w:line="18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 has not expired or terminated. The provisions of Sections 2.13, 2.14, 2.15 and Section 8.03 shall survive and remain in full force and effect regardless of the consummation of the transactions contemplated hereby, the repayment of the Loans, the expiration or termination of the Letters of Credit and the Commitment or the termination of this Agreement or any other Loan Document or any provision hereof or thereof.</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92" w:lineRule="auto"/>
        <w:tabs>
          <w:tab w:leader="none" w:pos="175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Lender and when the Lender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4" w:lineRule="exact"/>
        <w:rPr>
          <w:rFonts w:ascii="Arial" w:cs="Arial" w:eastAsia="Arial" w:hAnsi="Arial"/>
          <w:sz w:val="19"/>
          <w:szCs w:val="19"/>
          <w:color w:val="auto"/>
        </w:rPr>
      </w:pPr>
    </w:p>
    <w:p>
      <w:pPr>
        <w:jc w:val="both"/>
        <w:ind w:firstLine="1304"/>
        <w:spacing w:after="0" w:line="249" w:lineRule="auto"/>
        <w:tabs>
          <w:tab w:leader="none" w:pos="175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Delivery of an executed counterpart of a signature page of this Agreement by fax,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604" w:right="339" w:bottom="1440" w:gutter="0" w:footer="0" w:header="0"/>
        </w:sectPr>
      </w:pPr>
    </w:p>
    <w:bookmarkStart w:id="196" w:name="page197"/>
    <w:bookmarkEnd w:id="196"/>
    <w:p>
      <w:pPr>
        <w:jc w:val="both"/>
        <w:spacing w:after="0" w:line="250" w:lineRule="auto"/>
        <w:rPr>
          <w:sz w:val="20"/>
          <w:szCs w:val="20"/>
          <w:color w:val="auto"/>
        </w:rPr>
      </w:pPr>
      <w:r>
        <w:rPr>
          <w:rFonts w:ascii="Arial" w:cs="Arial" w:eastAsia="Arial" w:hAnsi="Arial"/>
          <w:sz w:val="22"/>
          <w:szCs w:val="22"/>
          <w:color w:val="auto"/>
        </w:rPr>
        <w:t>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6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Right of Setoff</w:t>
      </w:r>
      <w:r>
        <w:rPr>
          <w:rFonts w:ascii="Arial" w:cs="Arial" w:eastAsia="Arial" w:hAnsi="Arial"/>
          <w:sz w:val="21"/>
          <w:szCs w:val="21"/>
          <w:color w:val="auto"/>
        </w:rPr>
        <w:t>. If an Event of Default shall have occurred and be continuing, the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the Lender or any Affiliate to or for the credit or the account of the Borrower against any of and all the Obligations, irrespective of whether or not the Lender shall have made any demand under the Loan Documents and although such obligations may be unmatured. The rights of the Lender under this Section are in addition to other rights and remedies (including other rights of setoff) which the Lender may have.</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9" w:lineRule="auto"/>
        <w:tabs>
          <w:tab w:leader="none" w:pos="1851"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Loan Documents (other than those containing a contrary express choice of law provision) shall be governed by and construed in accordance with the internal laws (and not the law of conflicts) of the State of California, but giving effect to federal laws applicable to national banks.</w:t>
      </w:r>
    </w:p>
    <w:p>
      <w:pPr>
        <w:spacing w:after="0" w:line="180" w:lineRule="exact"/>
        <w:rPr>
          <w:rFonts w:ascii="Arial" w:cs="Arial" w:eastAsia="Arial" w:hAnsi="Arial"/>
          <w:sz w:val="22"/>
          <w:szCs w:val="22"/>
          <w:color w:val="auto"/>
        </w:rPr>
      </w:pPr>
    </w:p>
    <w:p>
      <w:pPr>
        <w:jc w:val="both"/>
        <w:ind w:firstLine="1304"/>
        <w:spacing w:after="0" w:line="291" w:lineRule="auto"/>
        <w:tabs>
          <w:tab w:leader="none" w:pos="174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hereby irrevocably and unconditionally submits, for itself and its property, to the nonexclusive jurisdiction of any U.S. federal or California State court sitting in the State of California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Lender may otherwise have to bring any action or proceeding relating to this Agreement or any other Loan Document against the Borrower or its properties in the courts of any jurisdiction.</w:t>
      </w:r>
    </w:p>
    <w:p>
      <w:pPr>
        <w:spacing w:after="0" w:line="153" w:lineRule="exact"/>
        <w:rPr>
          <w:rFonts w:ascii="Arial" w:cs="Arial" w:eastAsia="Arial" w:hAnsi="Arial"/>
          <w:sz w:val="19"/>
          <w:szCs w:val="19"/>
          <w:color w:val="auto"/>
        </w:rPr>
      </w:pPr>
    </w:p>
    <w:p>
      <w:pPr>
        <w:jc w:val="both"/>
        <w:ind w:firstLine="1304"/>
        <w:spacing w:after="0" w:line="254" w:lineRule="auto"/>
        <w:tabs>
          <w:tab w:leader="none" w:pos="1891"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604" w:right="339" w:bottom="1440" w:gutter="0" w:footer="0" w:header="0"/>
        </w:sectPr>
      </w:pPr>
    </w:p>
    <w:bookmarkStart w:id="197" w:name="page198"/>
    <w:bookmarkEnd w:id="197"/>
    <w:p>
      <w:pPr>
        <w:spacing w:after="0" w:line="263" w:lineRule="auto"/>
        <w:rPr>
          <w:sz w:val="20"/>
          <w:szCs w:val="20"/>
          <w:color w:val="auto"/>
        </w:rPr>
      </w:pPr>
      <w:r>
        <w:rPr>
          <w:rFonts w:ascii="Arial" w:cs="Arial" w:eastAsia="Arial" w:hAnsi="Arial"/>
          <w:sz w:val="22"/>
          <w:szCs w:val="22"/>
          <w:color w:val="auto"/>
        </w:rPr>
        <w:t>hereto hereby irrevocably waives, to the fullest extent permitted by law, the defense of an inconvenient forum to the maintenance of such action or proceeding in any such court.</w:t>
      </w:r>
    </w:p>
    <w:p>
      <w:pPr>
        <w:spacing w:after="0" w:line="175" w:lineRule="exact"/>
        <w:rPr>
          <w:sz w:val="20"/>
          <w:szCs w:val="20"/>
          <w:color w:val="auto"/>
        </w:rPr>
      </w:pPr>
    </w:p>
    <w:p>
      <w:pPr>
        <w:jc w:val="both"/>
        <w:ind w:firstLine="1304"/>
        <w:spacing w:after="0" w:line="259" w:lineRule="auto"/>
        <w:tabs>
          <w:tab w:leader="none" w:pos="172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8.01.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THE EVENT ANY LEGAL PROCEEDING IS FILED IN A COURT OF THE STATE OF CALIFORNIA (THE “</w:t>
      </w:r>
      <w:r>
        <w:rPr>
          <w:rFonts w:ascii="Arial" w:cs="Arial" w:eastAsia="Arial" w:hAnsi="Arial"/>
          <w:sz w:val="22"/>
          <w:szCs w:val="22"/>
          <w:u w:val="single" w:color="auto"/>
          <w:color w:val="auto"/>
        </w:rPr>
        <w:t>COURT</w:t>
      </w:r>
      <w:r>
        <w:rPr>
          <w:rFonts w:ascii="Arial" w:cs="Arial" w:eastAsia="Arial" w:hAnsi="Arial"/>
          <w:sz w:val="22"/>
          <w:szCs w:val="22"/>
          <w:color w:val="auto"/>
        </w:rPr>
        <w:t>”) BY OR AGAINST THE BORROWER OR THE LENDER IN CONNECTION WITH ANY CONTROVERSY, DISPUTE OR CLAIM DIRECTLY OR INDIRECTLY ARISING OUT OF OR RELATING TO THIS DOCUMENT OR THE TRANSACTIONS CONTEMPLATED HEREBY (WHETHER BASED ON CONTRACT, TORT OR ANY OTHER THEORY) (EACH, A “</w:t>
      </w:r>
      <w:r>
        <w:rPr>
          <w:rFonts w:ascii="Arial" w:cs="Arial" w:eastAsia="Arial" w:hAnsi="Arial"/>
          <w:sz w:val="22"/>
          <w:szCs w:val="22"/>
          <w:u w:val="single" w:color="auto"/>
          <w:color w:val="auto"/>
        </w:rPr>
        <w:t>CLAIM</w:t>
      </w:r>
      <w:r>
        <w:rPr>
          <w:rFonts w:ascii="Arial" w:cs="Arial" w:eastAsia="Arial" w:hAnsi="Arial"/>
          <w:sz w:val="22"/>
          <w:szCs w:val="22"/>
          <w:color w:val="auto"/>
        </w:rPr>
        <w:t>”) AND THE WAIVER SET FORTH IN THE PRECEDING PARAGRAPH IS NOT ENFORCEABLE IN SUCH ACTION OR PROCEEDING, THE BORROWER AND THE LENDERS (BY ITS ACCEPTANCE HEREOF) AGREE AS FOLLOWS:</w:t>
      </w:r>
    </w:p>
    <w:p>
      <w:pPr>
        <w:spacing w:after="0" w:line="196" w:lineRule="exact"/>
        <w:rPr>
          <w:sz w:val="20"/>
          <w:szCs w:val="20"/>
          <w:color w:val="auto"/>
        </w:rPr>
      </w:pPr>
    </w:p>
    <w:p>
      <w:pPr>
        <w:jc w:val="both"/>
        <w:ind w:firstLine="656"/>
        <w:spacing w:after="0" w:line="247" w:lineRule="auto"/>
        <w:tabs>
          <w:tab w:leader="none" w:pos="1134" w:val="left"/>
        </w:tabs>
        <w:numPr>
          <w:ilvl w:val="0"/>
          <w:numId w:val="205"/>
        </w:numPr>
        <w:rPr>
          <w:rFonts w:ascii="Arial" w:cs="Arial" w:eastAsia="Arial" w:hAnsi="Arial"/>
          <w:sz w:val="22"/>
          <w:szCs w:val="22"/>
          <w:b w:val="1"/>
          <w:bCs w:val="1"/>
          <w:u w:val="single" w:color="auto"/>
          <w:color w:val="0000FF"/>
        </w:rPr>
      </w:pPr>
      <w:r>
        <w:rPr>
          <w:rFonts w:ascii="Arial" w:cs="Arial" w:eastAsia="Arial" w:hAnsi="Arial"/>
          <w:sz w:val="22"/>
          <w:szCs w:val="22"/>
          <w:color w:val="auto"/>
        </w:rPr>
        <w:t>WITH THE EXCEPTION OF THE MATTERS SPECIFIED IN PARAGRAPH (2) BELOW, ANY CLAIM WILL BE DETERMINED BY A GENERAL REFERENCE PROCEEDING IN ACCORDANCE WITH THE PROVISIONS OF CALIFORNIA CODE OF CIVIL PROCEDURE SECTIONS 638 THROUGH 645.2, INCLUDING ANY REVISION OR REPLACEMENT OF SUCH STATUTES OR RULES HEREAFTER ENACTED. THE BORROWER AND THE LENDERS INTEND THIS GENERAL REFERENCE AGREEMENT TO BE SPECIFICALLY ENFORCEABLE IN ACCORDANCE WITH CALIFORNIA CODE OF CIVIL PROCEDURE SECTION 638, INCLUDING ANY REVISION OR REPLACEMENT OF SUCH STATUTE OR RULE HEREAFTER ENACTED. EXCEPT AS OTHERWISE PROVIDED IN THIS AND THE OTHER RELATED DOCUMENTS, VENUE FOR THE REFERENCE PROCEEDING WILL BE IN THE STATE OR FEDERAL COURT IN THE COUNTY OR DISTRICT WHERE VENUE IS OTHERWISE APPROPRIATE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604" w:right="339" w:bottom="1440" w:gutter="0" w:footer="0" w:header="0"/>
        </w:sectPr>
      </w:pPr>
    </w:p>
    <w:bookmarkStart w:id="198" w:name="page199"/>
    <w:bookmarkEnd w:id="198"/>
    <w:p>
      <w:pPr>
        <w:jc w:val="both"/>
        <w:ind w:firstLine="656"/>
        <w:spacing w:after="0" w:line="260" w:lineRule="auto"/>
        <w:tabs>
          <w:tab w:leader="none" w:pos="1093" w:val="left"/>
        </w:tabs>
        <w:numPr>
          <w:ilvl w:val="0"/>
          <w:numId w:val="206"/>
        </w:numPr>
        <w:rPr>
          <w:rFonts w:ascii="Arial" w:cs="Arial" w:eastAsia="Arial" w:hAnsi="Arial"/>
          <w:sz w:val="21"/>
          <w:szCs w:val="21"/>
          <w:b w:val="1"/>
          <w:bCs w:val="1"/>
          <w:u w:val="single" w:color="auto"/>
          <w:color w:val="0000FF"/>
        </w:rPr>
      </w:pPr>
      <w:r>
        <w:rPr>
          <w:rFonts w:ascii="Arial" w:cs="Arial" w:eastAsia="Arial" w:hAnsi="Arial"/>
          <w:sz w:val="21"/>
          <w:szCs w:val="21"/>
          <w:color w:val="auto"/>
        </w:rPr>
        <w:t>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THIS DOCUMENT DOES NOT LIMIT THE RIGHT OF THE BORROWER OR THE LENDER TO EXERCISE OR OPPOSE ANY OF THE RIGHTS AND REMEDIES DESCRIBED IN CLAUSES (A) - (D) AND ANY SUCH EXERCISE OR OPPOSITION DOES NOT WAIVE THE RIGHT OF THE BORROWER OR THE LENDER TO A REFERENCE PROCEEDING PURSUANT TO THIS DOCUMENT.</w:t>
      </w:r>
    </w:p>
    <w:p>
      <w:pPr>
        <w:spacing w:after="0" w:line="183" w:lineRule="exact"/>
        <w:rPr>
          <w:rFonts w:ascii="Arial" w:cs="Arial" w:eastAsia="Arial" w:hAnsi="Arial"/>
          <w:sz w:val="21"/>
          <w:szCs w:val="21"/>
          <w:b w:val="1"/>
          <w:bCs w:val="1"/>
          <w:u w:val="single" w:color="auto"/>
          <w:color w:val="0000FF"/>
        </w:rPr>
      </w:pPr>
    </w:p>
    <w:p>
      <w:pPr>
        <w:jc w:val="both"/>
        <w:ind w:firstLine="656"/>
        <w:spacing w:after="0" w:line="249" w:lineRule="auto"/>
        <w:tabs>
          <w:tab w:leader="none" w:pos="1174" w:val="left"/>
        </w:tabs>
        <w:numPr>
          <w:ilvl w:val="0"/>
          <w:numId w:val="206"/>
        </w:numPr>
        <w:rPr>
          <w:rFonts w:ascii="Arial" w:cs="Arial" w:eastAsia="Arial" w:hAnsi="Arial"/>
          <w:sz w:val="22"/>
          <w:szCs w:val="22"/>
          <w:b w:val="1"/>
          <w:bCs w:val="1"/>
          <w:u w:val="single" w:color="auto"/>
          <w:color w:val="0000FF"/>
        </w:rPr>
      </w:pPr>
      <w:r>
        <w:rPr>
          <w:rFonts w:ascii="Arial" w:cs="Arial" w:eastAsia="Arial" w:hAnsi="Arial"/>
          <w:sz w:val="22"/>
          <w:szCs w:val="22"/>
          <w:color w:val="auto"/>
        </w:rPr>
        <w:t>UPON THE WRITTEN REQUEST OF THE BORROWER OR THE LENDER, THE BORROWER AND THE LENDER SHALL SELECT A SINGLE REFEREE, WHO SHALL BE A RETIRED JUDGE OR JUSTICE. IF THE BORROWER AND THE LENDER DO NOT AGREE UPON A REFEREE WITHIN TEN DAYS OF SUCH WRITTEN REQUEST THEN THE BORROWER OR THE LENDER MAY REQUEST THE COURT TO APPOINT A REFEREE PURSUANT TO CALIFORNIA CODE OF CIVIL PROCEDURE SECTION 640(B), INCLUDING ANY REVISION OR REPLACEMENT OF SUCH STATUTE OR RULE HEREAFTER ENACTED.</w:t>
      </w:r>
    </w:p>
    <w:p>
      <w:pPr>
        <w:spacing w:after="0" w:line="193" w:lineRule="exact"/>
        <w:rPr>
          <w:rFonts w:ascii="Arial" w:cs="Arial" w:eastAsia="Arial" w:hAnsi="Arial"/>
          <w:sz w:val="22"/>
          <w:szCs w:val="22"/>
          <w:b w:val="1"/>
          <w:bCs w:val="1"/>
          <w:u w:val="single" w:color="auto"/>
          <w:color w:val="0000FF"/>
        </w:rPr>
      </w:pPr>
    </w:p>
    <w:p>
      <w:pPr>
        <w:jc w:val="both"/>
        <w:ind w:firstLine="656"/>
        <w:spacing w:after="0" w:line="248" w:lineRule="auto"/>
        <w:tabs>
          <w:tab w:leader="none" w:pos="1255" w:val="left"/>
        </w:tabs>
        <w:numPr>
          <w:ilvl w:val="0"/>
          <w:numId w:val="206"/>
        </w:numPr>
        <w:rPr>
          <w:rFonts w:ascii="Arial" w:cs="Arial" w:eastAsia="Arial" w:hAnsi="Arial"/>
          <w:sz w:val="22"/>
          <w:szCs w:val="22"/>
          <w:b w:val="1"/>
          <w:bCs w:val="1"/>
          <w:u w:val="single" w:color="auto"/>
          <w:color w:val="0000FF"/>
        </w:rPr>
      </w:pPr>
      <w:r>
        <w:rPr>
          <w:rFonts w:ascii="Arial" w:cs="Arial" w:eastAsia="Arial" w:hAnsi="Arial"/>
          <w:sz w:val="22"/>
          <w:szCs w:val="22"/>
          <w:color w:val="auto"/>
        </w:rPr>
        <w:t>ALL PROCEEDINGS AND HEARINGS CONDUCTED BEFORE THE REFEREE, EXCEPT FOR TRIAL, SHALL BE CONDUCTED WITHOUT A COURT REPORTER, EXCEPT WHEN THE BORROWER OR THE LENDER SO REQUESTS, A COURT REPORTER WILL BE USED AND THE REFEREE WILL BE PROVIDED A COURTESY COPY OF THE TRANSCRIPT. THE PARTY MAKING SUCH REQUEST SHALL HAVE THE OBLIGATION TO ARRANGE FOR AND PAY COSTS OF THE COURT REPORTER, PROVIDED THAT SUCH COSTS, ALONG WITH THE REFEREE’S FEES, SHALL ULTIMATELY BE BORNE BY THE PARTY WHO DOES NOT PREVAIL, AS DETERMINED BY THE REFEREE.</w:t>
      </w:r>
    </w:p>
    <w:p>
      <w:pPr>
        <w:spacing w:after="0" w:line="195" w:lineRule="exact"/>
        <w:rPr>
          <w:rFonts w:ascii="Arial" w:cs="Arial" w:eastAsia="Arial" w:hAnsi="Arial"/>
          <w:sz w:val="22"/>
          <w:szCs w:val="22"/>
          <w:b w:val="1"/>
          <w:bCs w:val="1"/>
          <w:u w:val="single" w:color="auto"/>
          <w:color w:val="0000FF"/>
        </w:rPr>
      </w:pPr>
    </w:p>
    <w:p>
      <w:pPr>
        <w:jc w:val="both"/>
        <w:ind w:firstLine="656"/>
        <w:spacing w:after="0" w:line="247" w:lineRule="auto"/>
        <w:tabs>
          <w:tab w:leader="none" w:pos="1161" w:val="left"/>
        </w:tabs>
        <w:numPr>
          <w:ilvl w:val="0"/>
          <w:numId w:val="206"/>
        </w:numPr>
        <w:rPr>
          <w:rFonts w:ascii="Arial" w:cs="Arial" w:eastAsia="Arial" w:hAnsi="Arial"/>
          <w:sz w:val="22"/>
          <w:szCs w:val="22"/>
          <w:b w:val="1"/>
          <w:bCs w:val="1"/>
          <w:u w:val="single" w:color="auto"/>
          <w:color w:val="0000FF"/>
        </w:rPr>
      </w:pPr>
      <w:r>
        <w:rPr>
          <w:rFonts w:ascii="Arial" w:cs="Arial" w:eastAsia="Arial" w:hAnsi="Arial"/>
          <w:sz w:val="22"/>
          <w:szCs w:val="22"/>
          <w:color w:val="auto"/>
        </w:rPr>
        <w:t>THE REFEREE MAY REQUIRE ONE OR MORE PREHEARING CONFERENCES. THE BORROWER AND THE LENDER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604" w:right="3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WHICH REPORT SHALL ALSO INCLUDE FINDINGS OF FACT AND CONCLUSIONS OF LAW.</w:t>
      </w:r>
    </w:p>
    <w:p>
      <w:pPr>
        <w:spacing w:after="0" w:line="220" w:lineRule="exact"/>
        <w:rPr>
          <w:sz w:val="20"/>
          <w:szCs w:val="20"/>
          <w:color w:val="auto"/>
        </w:rPr>
      </w:pPr>
    </w:p>
    <w:p>
      <w:pPr>
        <w:jc w:val="both"/>
        <w:ind w:firstLine="656"/>
        <w:spacing w:after="0" w:line="259" w:lineRule="auto"/>
        <w:tabs>
          <w:tab w:leader="none" w:pos="1161" w:val="left"/>
        </w:tabs>
        <w:numPr>
          <w:ilvl w:val="0"/>
          <w:numId w:val="207"/>
        </w:numPr>
        <w:rPr>
          <w:rFonts w:ascii="Arial" w:cs="Arial" w:eastAsia="Arial" w:hAnsi="Arial"/>
          <w:sz w:val="22"/>
          <w:szCs w:val="22"/>
          <w:b w:val="1"/>
          <w:bCs w:val="1"/>
          <w:u w:val="single" w:color="auto"/>
          <w:color w:val="0000FF"/>
        </w:rPr>
      </w:pPr>
      <w:r>
        <w:rPr>
          <w:rFonts w:ascii="Arial" w:cs="Arial" w:eastAsia="Arial" w:hAnsi="Arial"/>
          <w:sz w:val="22"/>
          <w:szCs w:val="22"/>
          <w:color w:val="auto"/>
        </w:rPr>
        <w:t>THE BORROWER AND THE LENDER RECOGNIZE AND AGREE THAT ALL CLAIMS RESOLVED IN A GENERAL REFERENCE PROCEEDING PURSUANT HERETO WILL BE DECIDED BY A REFEREE AND NOT BY A JURY.</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(g) with the consent of the Borrower or (h) to the extent such Information (x) becomes publicly available other than as a result of a breach of this Section or (y) becomes available to the Lender on a non-confidential basis from a source other than the Borrower.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 relating to the Borrower or its business, other than any such information that is available to the Lender on a non-confidential basis prior to disclosure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Nonreliance; Violation of Law</w:t>
      </w:r>
      <w:r>
        <w:rPr>
          <w:rFonts w:ascii="Arial" w:cs="Arial" w:eastAsia="Arial" w:hAnsi="Arial"/>
          <w:sz w:val="22"/>
          <w:szCs w:val="22"/>
          <w:color w:val="auto"/>
        </w:rPr>
        <w:t>. The Lender hereby represents that it is not relying on or looking to any margin stock (as defined in Regulation U of the Board) for the repayment of the Borrowings provided for herein. Anything contained in this Agreement to the contrary notwithstanding, the Lender shall not be obligated to extend credit to the Borrower in violation of any Requirement of Law.</w:t>
      </w:r>
    </w:p>
    <w:p>
      <w:pPr>
        <w:spacing w:after="0" w:line="185"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u w:val="single" w:color="auto"/>
          <w:color w:val="auto"/>
        </w:rPr>
        <w:t>USA PATRIOT Act</w:t>
      </w:r>
      <w:r>
        <w:rPr>
          <w:rFonts w:ascii="Arial" w:cs="Arial" w:eastAsia="Arial" w:hAnsi="Arial"/>
          <w:sz w:val="22"/>
          <w:szCs w:val="22"/>
          <w:color w:val="auto"/>
        </w:rPr>
        <w:t>. The Lender is subject to the requirements of the USA PATRIOT Act and hereby notifies the Borrower that pursuant to the requirements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604" w:right="339" w:bottom="1440" w:gutter="0" w:footer="0" w:header="0"/>
        </w:sectPr>
      </w:pPr>
    </w:p>
    <w:bookmarkStart w:id="200" w:name="page201"/>
    <w:bookmarkEnd w:id="200"/>
    <w:p>
      <w:pPr>
        <w:jc w:val="both"/>
        <w:spacing w:after="0" w:line="253" w:lineRule="auto"/>
        <w:rPr>
          <w:sz w:val="20"/>
          <w:szCs w:val="20"/>
          <w:color w:val="auto"/>
        </w:rPr>
      </w:pPr>
      <w:r>
        <w:rPr>
          <w:rFonts w:ascii="Arial" w:cs="Arial" w:eastAsia="Arial" w:hAnsi="Arial"/>
          <w:sz w:val="22"/>
          <w:szCs w:val="22"/>
          <w:color w:val="auto"/>
        </w:rPr>
        <w:t>the USA PATRIOT Act, it is required to obtain, verify and record information that identifies the Borrower, which information includes the name and address of the Borrower and other information that will allow the Lender to identify the Borrower in accordance with the USA PATRIOT Act.</w:t>
      </w:r>
    </w:p>
    <w:p>
      <w:pPr>
        <w:spacing w:after="0" w:line="185"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auto"/>
        </w:rPr>
        <w:t xml:space="preserve">SECTION 8.15. </w:t>
      </w:r>
      <w:r>
        <w:rPr>
          <w:rFonts w:ascii="Arial" w:cs="Arial" w:eastAsia="Arial" w:hAnsi="Arial"/>
          <w:sz w:val="19"/>
          <w:szCs w:val="19"/>
          <w:u w:val="single" w:color="auto"/>
          <w:color w:val="auto"/>
        </w:rPr>
        <w:t>Disclosure</w:t>
      </w:r>
      <w:r>
        <w:rPr>
          <w:rFonts w:ascii="Arial" w:cs="Arial" w:eastAsia="Arial" w:hAnsi="Arial"/>
          <w:sz w:val="19"/>
          <w:szCs w:val="19"/>
          <w:color w:val="auto"/>
        </w:rPr>
        <w:t>. The Borrower hereby acknowledges and agrees that the Lender and/or its Affiliates from time to time may hold investments in, make other loans to or have other relationships with, the Borrower and its Affiliates.</w:t>
      </w:r>
    </w:p>
    <w:p>
      <w:pPr>
        <w:spacing w:after="0" w:line="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8.16.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the Lender in respect of other Loans or periods shall be increased (but not above the Maximum Rate therefor) until such cumulated amount, together with interest thereon at the Federal Funds Effective Rate to the date of repayment, shall have been received by the Lender.</w:t>
      </w:r>
    </w:p>
    <w:p>
      <w:pPr>
        <w:spacing w:after="0" w:line="17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 are arm’s-length commercial transactions between the Borrower and its Affiliates, on the one hand, and the Lender and its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Lender and each of its Affiliates is and has been acting solely as a principal and, except as expressly agreed in writing by the relevant parties, has not been, is not, and will not be acting as an advisor, agent or fiduciary for the Borrower or any of its Affiliates, or any other Person and (B) neither the Lender nor any of its Affiliates has any obligation to the Borrower or any of its Affiliates with respect to the transactions contemplated hereby except, in the case of the Lender, those obligations expressly set forth herein and in the other Loan Documents; and (iii) the Lender and its Affiliates may be engaged in a broad range of transactions that involve interests that differ from those of the Borrower and its Affiliates, and neither the Lender nor any of its Affiliates has any obligation to disclose any of such interests to the Borrower or its Affiliates. To the fullest extent permitted by law, the Borrower hereby waives and releases any claims that it may have against the Lender and its Affiliates with respect to any breach or alleged breach of agency or fiduciary duty in connection with any aspect of any transaction contemplated hereby.</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0000FF"/>
        </w:rPr>
        <w:t xml:space="preserve">SECTION 8.18. Acknowledgment Regarding Any Supported QFCs. To the extent that the Loan </w:t>
      </w:r>
      <w:r>
        <w:rPr>
          <w:rFonts w:ascii="Arial" w:cs="Arial" w:eastAsia="Arial" w:hAnsi="Arial"/>
          <w:sz w:val="22"/>
          <w:szCs w:val="22"/>
          <w:b w:val="1"/>
          <w:bCs w:val="1"/>
          <w:u w:val="single" w:color="auto"/>
          <w:color w:val="0000FF"/>
        </w:rPr>
        <w:t>Documents provide support, through a guarantee or otherwise,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-213360</wp:posOffset>
            </wp:positionV>
            <wp:extent cx="63049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4915"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604" w:right="339" w:bottom="1440" w:gutter="0" w:footer="0" w:header="0"/>
        </w:sectPr>
      </w:pPr>
    </w:p>
    <w:bookmarkStart w:id="201" w:name="page202"/>
    <w:bookmarkEnd w:id="201"/>
    <w:p>
      <w:pPr>
        <w:jc w:val="both"/>
        <w:spacing w:after="0" w:line="293" w:lineRule="auto"/>
        <w:rPr>
          <w:sz w:val="20"/>
          <w:szCs w:val="20"/>
          <w:color w:val="auto"/>
        </w:rPr>
      </w:pPr>
      <w:r>
        <w:rPr>
          <w:rFonts w:ascii="Arial" w:cs="Arial" w:eastAsia="Arial" w:hAnsi="Arial"/>
          <w:sz w:val="19"/>
          <w:szCs w:val="19"/>
          <w:b w:val="1"/>
          <w:bCs w:val="1"/>
          <w:u w:val="single" w:color="auto"/>
          <w:color w:val="0000FF"/>
        </w:rPr>
        <w:t>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u w:val="single" w:color="auto"/>
          <w:color w:val="0000FF"/>
        </w:rPr>
        <w:t>In the event a Covered Entity that is party to a Supported QFC (each, a “</w:t>
      </w:r>
      <w:r>
        <w:rPr>
          <w:rFonts w:ascii="Arial" w:cs="Arial" w:eastAsia="Arial" w:hAnsi="Arial"/>
          <w:sz w:val="19"/>
          <w:szCs w:val="19"/>
          <w:b w:val="1"/>
          <w:bCs w:val="1"/>
          <w:i w:val="1"/>
          <w:iCs w:val="1"/>
          <w:u w:val="single" w:color="auto"/>
          <w:color w:val="0000FF"/>
        </w:rPr>
        <w:t>C</w:t>
      </w:r>
      <w:r>
        <w:rPr>
          <w:rFonts w:ascii="Arial" w:cs="Arial" w:eastAsia="Arial" w:hAnsi="Arial"/>
          <w:sz w:val="19"/>
          <w:szCs w:val="19"/>
          <w:b w:val="1"/>
          <w:bCs w:val="1"/>
          <w:u w:val="single" w:color="auto"/>
          <w:color w:val="0000FF"/>
        </w:rPr>
        <w:t>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598" w:right="339" w:bottom="1440" w:gutter="0" w:footer="0" w:header="0"/>
        </w:sectPr>
      </w:pPr>
    </w:p>
    <w:bookmarkStart w:id="202" w:name="page203"/>
    <w:bookmarkEnd w:id="20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SAN JOSE WATER COMPANY</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Name:___________________________</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Name:___________________________</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San Jose Water Company Credit Agreement</w:t>
      </w:r>
    </w:p>
    <w:p>
      <w:pPr>
        <w:sectPr>
          <w:pgSz w:w="11900" w:h="16838" w:orient="portrait"/>
          <w:cols w:equalWidth="0" w:num="1">
            <w:col w:w="11240"/>
          </w:cols>
          <w:pgMar w:left="320" w:top="60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60"/>
        <w:spacing w:after="0"/>
        <w:tabs>
          <w:tab w:leader="none" w:pos="596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7"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00" w:hanging="320"/>
        <w:spacing w:after="0" w:line="342" w:lineRule="auto"/>
        <w:tabs>
          <w:tab w:leader="none" w:pos="13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7"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March 31, 2020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p>
      <w:pPr>
        <w:sectPr>
          <w:pgSz w:w="11900" w:h="16838" w:orient="portrait"/>
          <w:cols w:equalWidth="0" w:num="1">
            <w:col w:w="11240"/>
          </w:cols>
          <w:pgMar w:left="320" w:top="557"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March 31, 2020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1)"/>
      <w:numFmt w:val="decimal"/>
      <w:start w:val="344"/>
    </w:lvl>
  </w:abstractNum>
  <w:abstractNum w:abstractNumId="3">
    <w:nsid w:val="59ADEA3D"/>
    <w:multiLevelType w:val="hybridMultilevel"/>
    <w:lvl w:ilvl="0">
      <w:lvlJc w:val="left"/>
      <w:lvlText w:val="(%1)"/>
      <w:numFmt w:val="decimal"/>
      <w:start w:val="255"/>
    </w:lvl>
  </w:abstractNum>
  <w:abstractNum w:abstractNumId="4">
    <w:nsid w:val="288F1A34"/>
    <w:multiLevelType w:val="hybridMultilevel"/>
    <w:lvl w:ilvl="0">
      <w:lvlJc w:val="left"/>
      <w:lvlText w:val="(%1)"/>
      <w:numFmt w:val="decimal"/>
      <w:start w:val="271"/>
    </w:lvl>
  </w:abstractNum>
  <w:abstractNum w:abstractNumId="5">
    <w:nsid w:val="2A155DBC"/>
    <w:multiLevelType w:val="hybridMultilevel"/>
    <w:lvl w:ilvl="0">
      <w:lvlJc w:val="left"/>
      <w:lvlText w:val="(%1)"/>
      <w:numFmt w:val="lowerLetter"/>
      <w:start w:val="1"/>
    </w:lvl>
  </w:abstractNum>
  <w:abstractNum w:abstractNumId="6">
    <w:nsid w:val="1D9F6E5F"/>
    <w:multiLevelType w:val="hybridMultilevel"/>
    <w:lvl w:ilvl="0">
      <w:lvlJc w:val="left"/>
      <w:lvlText w:val="(%1)"/>
      <w:numFmt w:val="lowerLetter"/>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1)"/>
      <w:numFmt w:val="decimal"/>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1"/>
      <w:numFmt w:val="decimal"/>
      <w:start w:val="1"/>
    </w:lvl>
    <w:lvl w:ilvl="1">
      <w:lvlJc w:val="left"/>
      <w:lvlText w:val="%2"/>
      <w:numFmt w:val="decimal"/>
      <w:start w:val="104"/>
    </w:lvl>
  </w:abstractNum>
  <w:abstractNum w:abstractNumId="11">
    <w:nsid w:val="415E286C"/>
    <w:multiLevelType w:val="hybridMultilevel"/>
    <w:lvl w:ilvl="0">
      <w:lvlJc w:val="left"/>
      <w:lvlText w:val="(%1)"/>
      <w:numFmt w:val="decimal"/>
      <w:start w:val="1"/>
    </w:lvl>
    <w:lvl w:ilvl="1">
      <w:lvlJc w:val="left"/>
      <w:lvlText w:val="%2"/>
      <w:numFmt w:val="decimal"/>
      <w:start w:val="1"/>
    </w:lvl>
  </w:abstractNum>
  <w:abstractNum w:abstractNumId="12">
    <w:nsid w:val="7C58FD05"/>
    <w:multiLevelType w:val="hybridMultilevel"/>
    <w:lvl w:ilvl="0">
      <w:lvlJc w:val="left"/>
      <w:lvlText w:val="(%1)"/>
      <w:numFmt w:val="lowerLetter"/>
      <w:start w:val="3"/>
    </w:lvl>
  </w:abstractNum>
  <w:abstractNum w:abstractNumId="13">
    <w:nsid w:val="23D86AAC"/>
    <w:multiLevelType w:val="hybridMultilevel"/>
    <w:lvl w:ilvl="0">
      <w:lvlJc w:val="left"/>
      <w:lvlText w:val="(%1)"/>
      <w:numFmt w:val="decimal"/>
      <w:start w:val="1"/>
    </w:lvl>
  </w:abstractNum>
  <w:abstractNum w:abstractNumId="14">
    <w:nsid w:val="45E6D486"/>
    <w:multiLevelType w:val="hybridMultilevel"/>
    <w:lvl w:ilvl="0">
      <w:lvlJc w:val="left"/>
      <w:lvlText w:val="(%1)"/>
      <w:numFmt w:val="lowerLetter"/>
      <w:start w:val="2"/>
    </w:lvl>
  </w:abstractNum>
  <w:abstractNum w:abstractNumId="15">
    <w:nsid w:val="5C10FE21"/>
    <w:multiLevelType w:val="hybridMultilevel"/>
    <w:lvl w:ilvl="0">
      <w:lvlJc w:val="left"/>
      <w:lvlText w:val="(%1)"/>
      <w:numFmt w:val="lowerRoman"/>
      <w:start w:val="1"/>
    </w:lvl>
  </w:abstractNum>
  <w:abstractNum w:abstractNumId="16">
    <w:nsid w:val="E7FFA2B"/>
    <w:multiLevelType w:val="hybridMultilevel"/>
    <w:lvl w:ilvl="0">
      <w:lvlJc w:val="left"/>
      <w:lvlText w:val="(%1)"/>
      <w:numFmt w:val="lowerLetter"/>
      <w:start w:val="1"/>
    </w:lvl>
  </w:abstractNum>
  <w:abstractNum w:abstractNumId="17">
    <w:nsid w:val="3C5991AA"/>
    <w:multiLevelType w:val="hybridMultilevel"/>
    <w:lvl w:ilvl="0">
      <w:lvlJc w:val="left"/>
      <w:lvlText w:val="(%1)"/>
      <w:numFmt w:val="lowerLetter"/>
      <w:start w:val="1"/>
    </w:lvl>
  </w:abstractNum>
  <w:abstractNum w:abstractNumId="18">
    <w:nsid w:val="4BD8591A"/>
    <w:multiLevelType w:val="hybridMultilevel"/>
    <w:lvl w:ilvl="0">
      <w:lvlJc w:val="left"/>
      <w:lvlText w:val="(%1)"/>
      <w:numFmt w:val="lowerLetter"/>
      <w:start w:val="10"/>
    </w:lvl>
  </w:abstractNum>
  <w:abstractNum w:abstractNumId="19">
    <w:nsid w:val="78DF6A55"/>
    <w:multiLevelType w:val="hybridMultilevel"/>
    <w:lvl w:ilvl="0">
      <w:lvlJc w:val="left"/>
      <w:lvlText w:val="(%1)"/>
      <w:numFmt w:val="lowerLetter"/>
      <w:start w:val="1"/>
    </w:lvl>
  </w:abstractNum>
  <w:abstractNum w:abstractNumId="20">
    <w:nsid w:val="39B7AAA2"/>
    <w:multiLevelType w:val="hybridMultilevel"/>
    <w:lvl w:ilvl="0">
      <w:lvlJc w:val="left"/>
      <w:lvlText w:val="(%1)"/>
      <w:numFmt w:val="lowerLetter"/>
      <w:start w:val="1"/>
    </w:lvl>
  </w:abstractNum>
  <w:abstractNum w:abstractNumId="21">
    <w:nsid w:val="2B0D8DBE"/>
    <w:multiLevelType w:val="hybridMultilevel"/>
    <w:lvl w:ilvl="0">
      <w:lvlJc w:val="left"/>
      <w:lvlText w:val="(%1)"/>
      <w:numFmt w:val="lowerLetter"/>
      <w:start w:val="2"/>
    </w:lvl>
  </w:abstractNum>
  <w:abstractNum w:abstractNumId="22">
    <w:nsid w:val="6C80EC70"/>
    <w:multiLevelType w:val="hybridMultilevel"/>
    <w:lvl w:ilvl="0">
      <w:lvlJc w:val="left"/>
      <w:lvlText w:val="(%1)"/>
      <w:numFmt w:val="lowerLetter"/>
      <w:start w:val="7"/>
    </w:lvl>
  </w:abstractNum>
  <w:abstractNum w:abstractNumId="23">
    <w:nsid w:val="379E21B5"/>
    <w:multiLevelType w:val="hybridMultilevel"/>
    <w:lvl w:ilvl="0">
      <w:lvlJc w:val="left"/>
      <w:lvlText w:val="(%1)"/>
      <w:numFmt w:val="lowerLetter"/>
      <w:start w:val="1"/>
    </w:lvl>
  </w:abstractNum>
  <w:abstractNum w:abstractNumId="24">
    <w:nsid w:val="69E373"/>
    <w:multiLevelType w:val="hybridMultilevel"/>
    <w:lvl w:ilvl="0">
      <w:lvlJc w:val="left"/>
      <w:lvlText w:val="(%1)"/>
      <w:numFmt w:val="lowerLetter"/>
      <w:start w:val="3"/>
    </w:lvl>
  </w:abstractNum>
  <w:abstractNum w:abstractNumId="25">
    <w:nsid w:val="2C27173B"/>
    <w:multiLevelType w:val="hybridMultilevel"/>
    <w:lvl w:ilvl="0">
      <w:lvlJc w:val="left"/>
      <w:lvlText w:val="(%1)"/>
      <w:numFmt w:val="lowerRoman"/>
      <w:start w:val="1"/>
    </w:lvl>
  </w:abstractNum>
  <w:abstractNum w:abstractNumId="26">
    <w:nsid w:val="4C9B0904"/>
    <w:multiLevelType w:val="hybridMultilevel"/>
    <w:lvl w:ilvl="0">
      <w:lvlJc w:val="left"/>
      <w:lvlText w:val="(%1)"/>
      <w:numFmt w:val="lowerLetter"/>
      <w:start w:val="1"/>
    </w:lvl>
  </w:abstractNum>
  <w:abstractNum w:abstractNumId="27">
    <w:nsid w:val="6AA7B75C"/>
    <w:multiLevelType w:val="hybridMultilevel"/>
    <w:lvl w:ilvl="0">
      <w:lvlJc w:val="left"/>
      <w:lvlText w:val="(%1)"/>
      <w:numFmt w:val="lowerLetter"/>
      <w:start w:val="4"/>
    </w:lvl>
  </w:abstractNum>
  <w:abstractNum w:abstractNumId="28">
    <w:nsid w:val="1DF029D3"/>
    <w:multiLevelType w:val="hybridMultilevel"/>
    <w:lvl w:ilvl="0">
      <w:lvlJc w:val="left"/>
      <w:lvlText w:val="(%1)"/>
      <w:numFmt w:val="lowerLetter"/>
      <w:start w:val="6"/>
    </w:lvl>
  </w:abstractNum>
  <w:abstractNum w:abstractNumId="29">
    <w:nsid w:val="5675FF36"/>
    <w:multiLevelType w:val="hybridMultilevel"/>
    <w:lvl w:ilvl="0">
      <w:lvlJc w:val="left"/>
      <w:lvlText w:val="(%1)"/>
      <w:numFmt w:val="lowerLetter"/>
      <w:start w:val="1"/>
    </w:lvl>
    <w:lvl w:ilvl="1">
      <w:lvlJc w:val="left"/>
      <w:lvlText w:val="(%2)"/>
      <w:numFmt w:val="lowerRoman"/>
      <w:start w:val="1"/>
    </w:lvl>
  </w:abstractNum>
  <w:abstractNum w:abstractNumId="30">
    <w:nsid w:val="3DD15094"/>
    <w:multiLevelType w:val="hybridMultilevel"/>
    <w:lvl w:ilvl="0">
      <w:lvlJc w:val="left"/>
      <w:lvlText w:val="(%1)"/>
      <w:numFmt w:val="lowerLetter"/>
      <w:start w:val="4"/>
    </w:lvl>
  </w:abstractNum>
  <w:abstractNum w:abstractNumId="31">
    <w:nsid w:val="3DB012B3"/>
    <w:multiLevelType w:val="hybridMultilevel"/>
    <w:lvl w:ilvl="0">
      <w:lvlJc w:val="left"/>
      <w:lvlText w:val="(%1)"/>
      <w:numFmt w:val="lowerLetter"/>
      <w:start w:val="1"/>
    </w:lvl>
  </w:abstractNum>
  <w:abstractNum w:abstractNumId="32">
    <w:nsid w:val="2708C9AF"/>
    <w:multiLevelType w:val="hybridMultilevel"/>
    <w:lvl w:ilvl="0">
      <w:lvlJc w:val="left"/>
      <w:lvlText w:val="(%1)"/>
      <w:numFmt w:val="lowerLetter"/>
      <w:start w:val="1"/>
    </w:lvl>
  </w:abstractNum>
  <w:abstractNum w:abstractNumId="33">
    <w:nsid w:val="5B25ACE2"/>
    <w:multiLevelType w:val="hybridMultilevel"/>
    <w:lvl w:ilvl="0">
      <w:lvlJc w:val="left"/>
      <w:lvlText w:val="(%1)"/>
      <w:numFmt w:val="lowerLetter"/>
      <w:start w:val="1"/>
    </w:lvl>
  </w:abstractNum>
  <w:abstractNum w:abstractNumId="34">
    <w:nsid w:val="175DFCF0"/>
    <w:multiLevelType w:val="hybridMultilevel"/>
    <w:lvl w:ilvl="0">
      <w:lvlJc w:val="left"/>
      <w:lvlText w:val="(%1)"/>
      <w:numFmt w:val="lowerLetter"/>
      <w:start w:val="4"/>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lowerLetter"/>
      <w:start w:val="2"/>
    </w:lvl>
  </w:abstractNum>
  <w:abstractNum w:abstractNumId="37">
    <w:nsid w:val="34FD6B4F"/>
    <w:multiLevelType w:val="hybridMultilevel"/>
    <w:lvl w:ilvl="0">
      <w:lvlJc w:val="left"/>
      <w:lvlText w:val="(%1)"/>
      <w:numFmt w:val="lowerLetter"/>
      <w:start w:val="1"/>
    </w:lvl>
    <w:lvl w:ilvl="1">
      <w:lvlJc w:val="left"/>
      <w:lvlText w:val="(%2)"/>
      <w:numFmt w:val="lowerRoman"/>
      <w:start w:val="1"/>
    </w:lvl>
  </w:abstractNum>
  <w:abstractNum w:abstractNumId="38">
    <w:nsid w:val="5915FF32"/>
    <w:multiLevelType w:val="hybridMultilevel"/>
    <w:lvl w:ilvl="0">
      <w:lvlJc w:val="left"/>
      <w:lvlText w:val="(%1)"/>
      <w:numFmt w:val="lowerLetter"/>
      <w:start w:val="2"/>
    </w:lvl>
  </w:abstractNum>
  <w:abstractNum w:abstractNumId="39">
    <w:nsid w:val="56438D15"/>
    <w:multiLevelType w:val="hybridMultilevel"/>
    <w:lvl w:ilvl="0">
      <w:lvlJc w:val="left"/>
      <w:lvlText w:val="%1"/>
      <w:numFmt w:val="lowerLetter"/>
      <w:start w:val="1"/>
    </w:lvl>
    <w:lvl w:ilvl="1">
      <w:lvlJc w:val="left"/>
      <w:lvlText w:val="(%2)"/>
      <w:numFmt w:val="lowerRoman"/>
      <w:start w:val="1"/>
    </w:lvl>
  </w:abstractNum>
  <w:abstractNum w:abstractNumId="40">
    <w:nsid w:val="519E3149"/>
    <w:multiLevelType w:val="hybridMultilevel"/>
    <w:lvl w:ilvl="0">
      <w:lvlJc w:val="left"/>
      <w:lvlText w:val="(%1)"/>
      <w:numFmt w:val="lowerLetter"/>
      <w:start w:val="2"/>
    </w:lvl>
    <w:lvl w:ilvl="1">
      <w:lvlJc w:val="left"/>
      <w:lvlText w:val="%2"/>
      <w:numFmt w:val="lowerRoman"/>
      <w:start w:val="1"/>
    </w:lvl>
  </w:abstractNum>
  <w:abstractNum w:abstractNumId="41">
    <w:nsid w:val="2C6E4AFD"/>
    <w:multiLevelType w:val="hybridMultilevel"/>
    <w:lvl w:ilvl="0">
      <w:lvlJc w:val="left"/>
      <w:lvlText w:val="(%1)"/>
      <w:numFmt w:val="lowerLetter"/>
      <w:start w:val="2"/>
    </w:lvl>
  </w:abstractNum>
  <w:abstractNum w:abstractNumId="42">
    <w:nsid w:val="17A1B582"/>
    <w:multiLevelType w:val="hybridMultilevel"/>
    <w:lvl w:ilvl="0">
      <w:lvlJc w:val="left"/>
      <w:lvlText w:val="(%1)"/>
      <w:numFmt w:val="lowerLetter"/>
      <w:start w:val="4"/>
    </w:lvl>
  </w:abstractNum>
  <w:abstractNum w:abstractNumId="43">
    <w:nsid w:val="4DF72E4E"/>
    <w:multiLevelType w:val="hybridMultilevel"/>
    <w:lvl w:ilvl="0">
      <w:lvlJc w:val="left"/>
      <w:lvlText w:val="(%1)"/>
      <w:numFmt w:val="lowerLetter"/>
      <w:start w:val="1"/>
    </w:lvl>
  </w:abstractNum>
  <w:abstractNum w:abstractNumId="44">
    <w:nsid w:val="5046B5A9"/>
    <w:multiLevelType w:val="hybridMultilevel"/>
    <w:lvl w:ilvl="0">
      <w:lvlJc w:val="left"/>
      <w:lvlText w:val="(%1)"/>
      <w:numFmt w:val="lowerLetter"/>
      <w:start w:val="2"/>
    </w:lvl>
  </w:abstractNum>
  <w:abstractNum w:abstractNumId="45">
    <w:nsid w:val="5D888A08"/>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6">
    <w:nsid w:val="2A082C70"/>
    <w:multiLevelType w:val="hybridMultilevel"/>
    <w:lvl w:ilvl="0">
      <w:lvlJc w:val="left"/>
      <w:lvlText w:val="%1"/>
      <w:numFmt w:val="upperLetter"/>
      <w:start w:val="1"/>
    </w:lvl>
    <w:lvl w:ilvl="1">
      <w:lvlJc w:val="left"/>
      <w:lvlText w:val="(%2)"/>
      <w:numFmt w:val="decimal"/>
      <w:start w:val="2"/>
    </w:lvl>
  </w:abstractNum>
  <w:abstractNum w:abstractNumId="47">
    <w:nsid w:val="5EC6AFD4"/>
    <w:multiLevelType w:val="hybridMultilevel"/>
    <w:lvl w:ilvl="0">
      <w:lvlJc w:val="left"/>
      <w:lvlText w:val="(%1)"/>
      <w:numFmt w:val="upperLetter"/>
      <w:start w:val="3"/>
    </w:lvl>
    <w:lvl w:ilvl="1">
      <w:lvlJc w:val="left"/>
      <w:lvlText w:val="%2"/>
      <w:numFmt w:val="decimal"/>
      <w:start w:val="1"/>
    </w:lvl>
  </w:abstractNum>
  <w:abstractNum w:abstractNumId="48">
    <w:nsid w:val="19E21BB2"/>
    <w:multiLevelType w:val="hybridMultilevel"/>
    <w:lvl w:ilvl="0">
      <w:lvlJc w:val="left"/>
      <w:lvlText w:val="(%1)"/>
      <w:numFmt w:val="lowerLetter"/>
      <w:start w:val="8"/>
    </w:lvl>
  </w:abstractNum>
  <w:abstractNum w:abstractNumId="49">
    <w:nsid w:val="75E0858A"/>
    <w:multiLevelType w:val="hybridMultilevel"/>
    <w:lvl w:ilvl="0">
      <w:lvlJc w:val="left"/>
      <w:lvlText w:val="(%1)"/>
      <w:numFmt w:val="lowerLetter"/>
      <w:start w:val="1"/>
    </w:lvl>
  </w:abstractNum>
  <w:abstractNum w:abstractNumId="50">
    <w:nsid w:val="57A61A29"/>
    <w:multiLevelType w:val="hybridMultilevel"/>
    <w:lvl w:ilvl="0">
      <w:lvlJc w:val="left"/>
      <w:lvlText w:val="(%1)"/>
      <w:numFmt w:val="lowerLetter"/>
      <w:start w:val="1"/>
    </w:lvl>
  </w:abstractNum>
  <w:abstractNum w:abstractNumId="51">
    <w:nsid w:val="5399C654"/>
    <w:multiLevelType w:val="hybridMultilevel"/>
    <w:lvl w:ilvl="0">
      <w:lvlJc w:val="left"/>
      <w:lvlText w:val="(%1)"/>
      <w:numFmt w:val="lowerLetter"/>
      <w:start w:val="1"/>
    </w:lvl>
  </w:abstractNum>
  <w:abstractNum w:abstractNumId="52">
    <w:nsid w:val="20EE1348"/>
    <w:multiLevelType w:val="hybridMultilevel"/>
    <w:lvl w:ilvl="0">
      <w:lvlJc w:val="left"/>
      <w:lvlText w:val="%1"/>
      <w:numFmt w:val="upperLetter"/>
      <w:start w:val="1"/>
    </w:lvl>
    <w:lvl w:ilvl="1">
      <w:lvlJc w:val="left"/>
      <w:lvlText w:val="(%2)"/>
      <w:numFmt w:val="lowerLetter"/>
      <w:start w:val="1"/>
    </w:lvl>
  </w:abstractNum>
  <w:abstractNum w:abstractNumId="53">
    <w:nsid w:val="4427069A"/>
    <w:multiLevelType w:val="hybridMultilevel"/>
    <w:lvl w:ilvl="0">
      <w:lvlJc w:val="left"/>
      <w:lvlText w:val="(%1)"/>
      <w:numFmt w:val="upperLetter"/>
      <w:start w:val="3"/>
    </w:lvl>
    <w:lvl w:ilvl="1">
      <w:lvlJc w:val="left"/>
      <w:lvlText w:val="%2"/>
      <w:numFmt w:val="lowerLetter"/>
      <w:start w:val="1"/>
    </w:lvl>
  </w:abstractNum>
  <w:abstractNum w:abstractNumId="54">
    <w:nsid w:val="B37E80A"/>
    <w:multiLevelType w:val="hybridMultilevel"/>
    <w:lvl w:ilvl="0">
      <w:lvlJc w:val="left"/>
      <w:lvlText w:val="(%1)"/>
      <w:numFmt w:val="lowerLetter"/>
      <w:start w:val="3"/>
    </w:lvl>
  </w:abstractNum>
  <w:abstractNum w:abstractNumId="55">
    <w:nsid w:val="2157F6BC"/>
    <w:multiLevelType w:val="hybridMultilevel"/>
    <w:lvl w:ilvl="0">
      <w:lvlJc w:val="left"/>
      <w:lvlText w:val="(%1)"/>
      <w:numFmt w:val="lowerLetter"/>
      <w:start w:val="1"/>
    </w:lvl>
  </w:abstractNum>
  <w:abstractNum w:abstractNumId="56">
    <w:nsid w:val="704E1DD5"/>
    <w:multiLevelType w:val="hybridMultilevel"/>
    <w:lvl w:ilvl="0">
      <w:lvlJc w:val="left"/>
      <w:lvlText w:val="(%1)"/>
      <w:numFmt w:val="lowerLetter"/>
      <w:start w:val="2"/>
    </w:lvl>
  </w:abstractNum>
  <w:abstractNum w:abstractNumId="57">
    <w:nsid w:val="57D2F10E"/>
    <w:multiLevelType w:val="hybridMultilevel"/>
    <w:lvl w:ilvl="0">
      <w:lvlJc w:val="left"/>
      <w:lvlText w:val="(%1)"/>
      <w:numFmt w:val="lowerLetter"/>
      <w:start w:val="1"/>
    </w:lvl>
  </w:abstractNum>
  <w:abstractNum w:abstractNumId="58">
    <w:nsid w:val="BFFAE18"/>
    <w:multiLevelType w:val="hybridMultilevel"/>
    <w:lvl w:ilvl="0">
      <w:lvlJc w:val="left"/>
      <w:lvlText w:val="(%1)"/>
      <w:numFmt w:val="lowerLetter"/>
      <w:start w:val="2"/>
    </w:lvl>
  </w:abstractNum>
  <w:abstractNum w:abstractNumId="59">
    <w:nsid w:val="E3E47A8"/>
    <w:multiLevelType w:val="hybridMultilevel"/>
    <w:lvl w:ilvl="0">
      <w:lvlJc w:val="left"/>
      <w:lvlText w:val="(%1)"/>
      <w:numFmt w:val="lowerLetter"/>
      <w:start w:val="9"/>
    </w:lvl>
  </w:abstractNum>
  <w:abstractNum w:abstractNumId="60">
    <w:nsid w:val="2E48F044"/>
    <w:multiLevelType w:val="hybridMultilevel"/>
    <w:lvl w:ilvl="0">
      <w:lvlJc w:val="left"/>
      <w:lvlText w:val="(%1)"/>
      <w:numFmt w:val="lowerLetter"/>
      <w:start w:val="1"/>
    </w:lvl>
  </w:abstractNum>
  <w:abstractNum w:abstractNumId="61">
    <w:nsid w:val="49D0FEAC"/>
    <w:multiLevelType w:val="hybridMultilevel"/>
    <w:lvl w:ilvl="0">
      <w:lvlJc w:val="left"/>
      <w:lvlText w:val="(%1)"/>
      <w:numFmt w:val="lowerLetter"/>
      <w:start w:val="1"/>
    </w:lvl>
  </w:abstractNum>
  <w:abstractNum w:abstractNumId="62">
    <w:nsid w:val="4BEE5A5B"/>
    <w:multiLevelType w:val="hybridMultilevel"/>
    <w:lvl w:ilvl="0">
      <w:lvlJc w:val="left"/>
      <w:lvlText w:val="(%1)"/>
      <w:numFmt w:val="lowerLetter"/>
      <w:start w:val="4"/>
    </w:lvl>
  </w:abstractNum>
  <w:abstractNum w:abstractNumId="63">
    <w:nsid w:val="5551B9F3"/>
    <w:multiLevelType w:val="hybridMultilevel"/>
    <w:lvl w:ilvl="0">
      <w:lvlJc w:val="left"/>
      <w:lvlText w:val="(%1)"/>
      <w:numFmt w:val="lowerLetter"/>
      <w:start w:val="1"/>
    </w:lvl>
  </w:abstractNum>
  <w:abstractNum w:abstractNumId="64">
    <w:nsid w:val="24F6AB8E"/>
    <w:multiLevelType w:val="hybridMultilevel"/>
    <w:lvl w:ilvl="0">
      <w:lvlJc w:val="left"/>
      <w:lvlText w:val="(%1)"/>
      <w:numFmt w:val="lowerLetter"/>
      <w:start w:val="1"/>
    </w:lvl>
  </w:abstractNum>
  <w:abstractNum w:abstractNumId="65">
    <w:nsid w:val="634C574C"/>
    <w:multiLevelType w:val="hybridMultilevel"/>
    <w:lvl w:ilvl="0">
      <w:lvlJc w:val="left"/>
      <w:lvlText w:val="(%1)"/>
      <w:numFmt w:val="lowerLetter"/>
      <w:start w:val="1"/>
    </w:lvl>
  </w:abstractNum>
  <w:abstractNum w:abstractNumId="66">
    <w:nsid w:val="24E99DD7"/>
    <w:multiLevelType w:val="hybridMultilevel"/>
    <w:lvl w:ilvl="0">
      <w:lvlJc w:val="left"/>
      <w:lvlText w:val="(%1)"/>
      <w:numFmt w:val="lowerLetter"/>
      <w:start w:val="1"/>
    </w:lvl>
  </w:abstractNum>
  <w:abstractNum w:abstractNumId="67">
    <w:nsid w:val="2A31B62D"/>
    <w:multiLevelType w:val="hybridMultilevel"/>
    <w:lvl w:ilvl="0">
      <w:lvlJc w:val="left"/>
      <w:lvlText w:val="%1"/>
      <w:numFmt w:val="lowerLetter"/>
      <w:start w:val="1"/>
    </w:lvl>
    <w:lvl w:ilvl="1">
      <w:lvlJc w:val="left"/>
      <w:lvlText w:val="(%2)"/>
      <w:numFmt w:val="lowerLetter"/>
      <w:start w:val="2"/>
    </w:lvl>
  </w:abstractNum>
  <w:abstractNum w:abstractNumId="68">
    <w:nsid w:val="1849C29B"/>
    <w:multiLevelType w:val="hybridMultilevel"/>
    <w:lvl w:ilvl="0">
      <w:lvlJc w:val="left"/>
      <w:lvlText w:val="(%1)"/>
      <w:numFmt w:val="lowerLetter"/>
      <w:start w:val="3"/>
    </w:lvl>
    <w:lvl w:ilvl="1">
      <w:lvlJc w:val="left"/>
      <w:lvlText w:val="%2"/>
      <w:numFmt w:val="lowerLetter"/>
      <w:start w:val="1"/>
    </w:lvl>
  </w:abstractNum>
  <w:abstractNum w:abstractNumId="69">
    <w:nsid w:val="7DFF9D09"/>
    <w:multiLevelType w:val="hybridMultilevel"/>
    <w:lvl w:ilvl="0">
      <w:lvlJc w:val="left"/>
      <w:lvlText w:val="%1"/>
      <w:numFmt w:val="lowerLetter"/>
      <w:start w:val="1"/>
    </w:lvl>
    <w:lvl w:ilvl="1">
      <w:lvlJc w:val="left"/>
      <w:lvlText w:val="(%2)"/>
      <w:numFmt w:val="lowerLetter"/>
      <w:start w:val="1"/>
    </w:lvl>
  </w:abstractNum>
  <w:abstractNum w:abstractNumId="70">
    <w:nsid w:val="754342"/>
    <w:multiLevelType w:val="hybridMultilevel"/>
    <w:lvl w:ilvl="0">
      <w:lvlJc w:val="left"/>
      <w:lvlText w:val="(%1)"/>
      <w:numFmt w:val="lowerLetter"/>
      <w:start w:val="5"/>
    </w:lvl>
    <w:lvl w:ilvl="1">
      <w:lvlJc w:val="left"/>
      <w:lvlText w:val="(%2)"/>
      <w:numFmt w:val="lowerLetter"/>
      <w:start w:val="6"/>
    </w:lvl>
  </w:abstractNum>
  <w:abstractNum w:abstractNumId="71">
    <w:nsid w:val="69E7F3E5"/>
    <w:multiLevelType w:val="hybridMultilevel"/>
    <w:lvl w:ilvl="0">
      <w:lvlJc w:val="left"/>
      <w:lvlText w:val="%1"/>
      <w:numFmt w:val="lowerLetter"/>
      <w:start w:val="1"/>
    </w:lvl>
    <w:lvl w:ilvl="1">
      <w:lvlJc w:val="left"/>
      <w:lvlText w:val="(%2)"/>
      <w:numFmt w:val="lowerLetter"/>
      <w:start w:val="7"/>
    </w:lvl>
  </w:abstractNum>
  <w:abstractNum w:abstractNumId="72">
    <w:nsid w:val="2A6DE806"/>
    <w:multiLevelType w:val="hybridMultilevel"/>
    <w:lvl w:ilvl="0">
      <w:lvlJc w:val="left"/>
      <w:lvlText w:val="(%1)"/>
      <w:numFmt w:val="lowerLetter"/>
      <w:start w:val="61"/>
    </w:lvl>
    <w:lvl w:ilvl="1">
      <w:lvlJc w:val="left"/>
      <w:lvlText w:val="(%2)"/>
      <w:numFmt w:val="lowerLetter"/>
      <w:start w:val="10"/>
    </w:lvl>
  </w:abstractNum>
  <w:abstractNum w:abstractNumId="73">
    <w:nsid w:val="1816F8C4"/>
    <w:multiLevelType w:val="hybridMultilevel"/>
    <w:lvl w:ilvl="0">
      <w:lvlJc w:val="left"/>
      <w:lvlText w:val="(%1)"/>
      <w:numFmt w:val="lowerLetter"/>
      <w:start w:val="15"/>
    </w:lvl>
  </w:abstractNum>
  <w:abstractNum w:abstractNumId="74">
    <w:nsid w:val="37DF2233"/>
    <w:multiLevelType w:val="hybridMultilevel"/>
    <w:lvl w:ilvl="0">
      <w:lvlJc w:val="left"/>
      <w:lvlText w:val="%1"/>
      <w:numFmt w:val="lowerLetter"/>
      <w:start w:val="1"/>
    </w:lvl>
    <w:lvl w:ilvl="1">
      <w:lvlJc w:val="left"/>
      <w:lvlText w:val="(%2)"/>
      <w:numFmt w:val="lowerLetter"/>
      <w:start w:val="1"/>
    </w:lvl>
  </w:abstractNum>
  <w:abstractNum w:abstractNumId="75">
    <w:nsid w:val="7AB49DAF"/>
    <w:multiLevelType w:val="hybridMultilevel"/>
    <w:lvl w:ilvl="0">
      <w:lvlJc w:val="left"/>
      <w:lvlText w:val="(%1)"/>
      <w:numFmt w:val="lowerLetter"/>
      <w:start w:val="35"/>
    </w:lvl>
    <w:lvl w:ilvl="1">
      <w:lvlJc w:val="left"/>
      <w:lvlText w:val="(%2)"/>
      <w:numFmt w:val="lowerLetter"/>
      <w:start w:val="3"/>
    </w:lvl>
  </w:abstractNum>
  <w:abstractNum w:abstractNumId="76">
    <w:nsid w:val="759F82CD"/>
    <w:multiLevelType w:val="hybridMultilevel"/>
    <w:lvl w:ilvl="0">
      <w:lvlJc w:val="left"/>
      <w:lvlText w:val="(%1)"/>
      <w:numFmt w:val="lowerLetter"/>
      <w:start w:val="35"/>
    </w:lvl>
    <w:lvl w:ilvl="1">
      <w:lvlJc w:val="left"/>
      <w:lvlText w:val="(%2)"/>
      <w:numFmt w:val="lowerLetter"/>
      <w:start w:val="5"/>
    </w:lvl>
  </w:abstractNum>
  <w:abstractNum w:abstractNumId="77">
    <w:nsid w:val="61E74EA3"/>
    <w:multiLevelType w:val="hybridMultilevel"/>
    <w:lvl w:ilvl="0">
      <w:lvlJc w:val="left"/>
      <w:lvlText w:val="(%1)"/>
      <w:numFmt w:val="lowerLetter"/>
      <w:start w:val="1"/>
    </w:lvl>
  </w:abstractNum>
  <w:abstractNum w:abstractNumId="78">
    <w:nsid w:val="597B4D84"/>
    <w:multiLevelType w:val="hybridMultilevel"/>
    <w:lvl w:ilvl="0">
      <w:lvlJc w:val="left"/>
      <w:lvlText w:val="(%1)"/>
      <w:numFmt w:val="lowerLetter"/>
      <w:start w:val="2"/>
    </w:lvl>
  </w:abstractNum>
  <w:abstractNum w:abstractNumId="79">
    <w:nsid w:val="F819E7F"/>
    <w:multiLevelType w:val="hybridMultilevel"/>
    <w:lvl w:ilvl="0">
      <w:lvlJc w:val="left"/>
      <w:lvlText w:val="(%1)"/>
      <w:numFmt w:val="lowerLetter"/>
      <w:start w:val="1"/>
    </w:lvl>
  </w:abstractNum>
  <w:abstractNum w:abstractNumId="80">
    <w:nsid w:val="57C7D42D"/>
    <w:multiLevelType w:val="hybridMultilevel"/>
    <w:lvl w:ilvl="0">
      <w:lvlJc w:val="left"/>
      <w:lvlText w:val="(%1)"/>
      <w:numFmt w:val="lowerLetter"/>
      <w:start w:val="9"/>
    </w:lvl>
  </w:abstractNum>
  <w:abstractNum w:abstractNumId="81">
    <w:nsid w:val="312167AD"/>
    <w:multiLevelType w:val="hybridMultilevel"/>
    <w:lvl w:ilvl="0">
      <w:lvlJc w:val="left"/>
      <w:lvlText w:val="(%1)"/>
      <w:numFmt w:val="lowerLetter"/>
      <w:start w:val="1"/>
    </w:lvl>
  </w:abstractNum>
  <w:abstractNum w:abstractNumId="82">
    <w:nsid w:val="631B64D4"/>
    <w:multiLevelType w:val="hybridMultilevel"/>
    <w:lvl w:ilvl="0">
      <w:lvlJc w:val="left"/>
      <w:lvlText w:val="(%1)"/>
      <w:numFmt w:val="lowerLetter"/>
      <w:start w:val="6"/>
    </w:lvl>
  </w:abstractNum>
  <w:abstractNum w:abstractNumId="83">
    <w:nsid w:val="78B5E776"/>
    <w:multiLevelType w:val="hybridMultilevel"/>
    <w:lvl w:ilvl="0">
      <w:lvlJc w:val="left"/>
      <w:lvlText w:val="(%1)"/>
      <w:numFmt w:val="lowerRoman"/>
      <w:start w:val="10"/>
    </w:lvl>
  </w:abstractNum>
  <w:abstractNum w:abstractNumId="84">
    <w:nsid w:val="75486E47"/>
    <w:multiLevelType w:val="hybridMultilevel"/>
    <w:lvl w:ilvl="0">
      <w:lvlJc w:val="left"/>
      <w:lvlText w:val="(%1)"/>
      <w:numFmt w:val="lowerLetter"/>
      <w:start w:val="1"/>
    </w:lvl>
  </w:abstractNum>
  <w:abstractNum w:abstractNumId="85">
    <w:nsid w:val="6E534CDE"/>
    <w:multiLevelType w:val="hybridMultilevel"/>
    <w:lvl w:ilvl="0">
      <w:lvlJc w:val="left"/>
      <w:lvlText w:val="(%1)"/>
      <w:numFmt w:val="lowerLetter"/>
      <w:start w:val="1"/>
    </w:lvl>
  </w:abstractNum>
  <w:abstractNum w:abstractNumId="86">
    <w:nsid w:val="1A0DDE32"/>
    <w:multiLevelType w:val="hybridMultilevel"/>
    <w:lvl w:ilvl="0">
      <w:lvlJc w:val="left"/>
      <w:lvlText w:val="(%1)"/>
      <w:numFmt w:val="lowerLetter"/>
      <w:start w:val="7"/>
    </w:lvl>
  </w:abstractNum>
  <w:abstractNum w:abstractNumId="87">
    <w:nsid w:val="65968C1C"/>
    <w:multiLevelType w:val="hybridMultilevel"/>
    <w:lvl w:ilvl="0">
      <w:lvlJc w:val="left"/>
      <w:lvlText w:val="(%1)"/>
      <w:numFmt w:val="lowerLetter"/>
      <w:start w:val="9"/>
    </w:lvl>
    <w:lvl w:ilvl="1">
      <w:lvlJc w:val="left"/>
      <w:lvlText w:val="(%2)"/>
      <w:numFmt w:val="lowerLetter"/>
      <w:start w:val="9"/>
    </w:lvl>
  </w:abstractNum>
  <w:abstractNum w:abstractNumId="88">
    <w:nsid w:val="46263DEC"/>
    <w:multiLevelType w:val="hybridMultilevel"/>
    <w:lvl w:ilvl="0">
      <w:lvlJc w:val="left"/>
      <w:lvlText w:val="(%1)"/>
      <w:numFmt w:val="lowerLetter"/>
      <w:start w:val="13"/>
    </w:lvl>
  </w:abstractNum>
  <w:abstractNum w:abstractNumId="89">
    <w:nsid w:val="260D8C4A"/>
    <w:multiLevelType w:val="hybridMultilevel"/>
    <w:lvl w:ilvl="0">
      <w:lvlJc w:val="left"/>
      <w:lvlText w:val="(%1)"/>
      <w:numFmt w:val="lowerLetter"/>
      <w:start w:val="1"/>
    </w:lvl>
    <w:lvl w:ilvl="1">
      <w:lvlJc w:val="left"/>
      <w:lvlText w:val="(%2)"/>
      <w:numFmt w:val="lowerLetter"/>
      <w:start w:val="9"/>
    </w:lvl>
  </w:abstractNum>
  <w:abstractNum w:abstractNumId="90">
    <w:nsid w:val="73D4D3C4"/>
    <w:multiLevelType w:val="hybridMultilevel"/>
    <w:lvl w:ilvl="0">
      <w:lvlJc w:val="left"/>
      <w:lvlText w:val="(%1)"/>
      <w:numFmt w:val="lowerRoman"/>
      <w:start w:val="2"/>
    </w:lvl>
  </w:abstractNum>
  <w:abstractNum w:abstractNumId="91">
    <w:nsid w:val="746F2E30"/>
    <w:multiLevelType w:val="hybridMultilevel"/>
    <w:lvl w:ilvl="0">
      <w:lvlJc w:val="left"/>
      <w:lvlText w:val="(%1)"/>
      <w:numFmt w:val="lowerLetter"/>
      <w:start w:val="2"/>
    </w:lvl>
  </w:abstractNum>
  <w:abstractNum w:abstractNumId="92">
    <w:nsid w:val="6FDE8AF6"/>
    <w:multiLevelType w:val="hybridMultilevel"/>
    <w:lvl w:ilvl="0">
      <w:lvlJc w:val="left"/>
      <w:lvlText w:val="(%1)"/>
      <w:numFmt w:val="lowerLetter"/>
      <w:start w:val="1"/>
    </w:lvl>
  </w:abstractNum>
  <w:abstractNum w:abstractNumId="93">
    <w:nsid w:val="3FC32E20"/>
    <w:multiLevelType w:val="hybridMultilevel"/>
    <w:lvl w:ilvl="0">
      <w:lvlJc w:val="left"/>
      <w:lvlText w:val="(%1)"/>
      <w:numFmt w:val="lowerLetter"/>
      <w:start w:val="2"/>
    </w:lvl>
  </w:abstractNum>
  <w:abstractNum w:abstractNumId="94">
    <w:nsid w:val="49C0E823"/>
    <w:multiLevelType w:val="hybridMultilevel"/>
    <w:lvl w:ilvl="0">
      <w:lvlJc w:val="left"/>
      <w:lvlText w:val="%1"/>
      <w:numFmt w:val="lowerLetter"/>
      <w:start w:val="1"/>
    </w:lvl>
    <w:lvl w:ilvl="1">
      <w:lvlJc w:val="left"/>
      <w:lvlText w:val="(%2)"/>
      <w:numFmt w:val="lowerLetter"/>
      <w:start w:val="1"/>
    </w:lvl>
  </w:abstractNum>
  <w:abstractNum w:abstractNumId="95">
    <w:nsid w:val="14D53685"/>
    <w:multiLevelType w:val="hybridMultilevel"/>
    <w:lvl w:ilvl="0">
      <w:lvlJc w:val="left"/>
      <w:lvlText w:val="(%1)"/>
      <w:numFmt w:val="lowerLetter"/>
      <w:start w:val="35"/>
    </w:lvl>
    <w:lvl w:ilvl="1">
      <w:lvlJc w:val="left"/>
      <w:lvlText w:val="%2"/>
      <w:numFmt w:val="lowerLetter"/>
      <w:start w:val="1"/>
    </w:lvl>
  </w:abstractNum>
  <w:abstractNum w:abstractNumId="96">
    <w:nsid w:val="230F856C"/>
    <w:multiLevelType w:val="hybridMultilevel"/>
    <w:lvl w:ilvl="0">
      <w:lvlJc w:val="left"/>
      <w:lvlText w:val="(%1)"/>
      <w:numFmt w:val="lowerLetter"/>
      <w:start w:val="3"/>
    </w:lvl>
  </w:abstractNum>
  <w:abstractNum w:abstractNumId="97">
    <w:nsid w:val="6EAA85FB"/>
    <w:multiLevelType w:val="hybridMultilevel"/>
    <w:lvl w:ilvl="0">
      <w:lvlJc w:val="left"/>
      <w:lvlText w:val="(%1)"/>
      <w:numFmt w:val="lowerLetter"/>
      <w:start w:val="1"/>
    </w:lvl>
  </w:abstractNum>
  <w:abstractNum w:abstractNumId="98">
    <w:nsid w:val="3F06ECB2"/>
    <w:multiLevelType w:val="hybridMultilevel"/>
    <w:lvl w:ilvl="0">
      <w:lvlJc w:val="left"/>
      <w:lvlText w:val="(%1)"/>
      <w:numFmt w:val="lowerLetter"/>
      <w:start w:val="3"/>
    </w:lvl>
  </w:abstractNum>
  <w:abstractNum w:abstractNumId="99">
    <w:nsid w:val="3B594807"/>
    <w:multiLevelType w:val="hybridMultilevel"/>
    <w:lvl w:ilvl="0">
      <w:lvlJc w:val="left"/>
      <w:lvlText w:val="(%1)"/>
      <w:numFmt w:val="lowerLetter"/>
      <w:start w:val="4"/>
    </w:lvl>
  </w:abstractNum>
  <w:abstractNum w:abstractNumId="100">
    <w:nsid w:val="6CAA2304"/>
    <w:multiLevelType w:val="hybridMultilevel"/>
    <w:lvl w:ilvl="0">
      <w:lvlJc w:val="left"/>
      <w:lvlText w:val="(%1)"/>
      <w:numFmt w:val="lowerLetter"/>
      <w:start w:val="1"/>
    </w:lvl>
  </w:abstractNum>
  <w:abstractNum w:abstractNumId="101">
    <w:nsid w:val="3F7C2FF4"/>
    <w:multiLevelType w:val="hybridMultilevel"/>
    <w:lvl w:ilvl="0">
      <w:lvlJc w:val="left"/>
      <w:lvlText w:val="(%1)"/>
      <w:numFmt w:val="lowerLetter"/>
      <w:start w:val="1"/>
    </w:lvl>
  </w:abstractNum>
  <w:abstractNum w:abstractNumId="102">
    <w:nsid w:val="25413BEC"/>
    <w:multiLevelType w:val="hybridMultilevel"/>
    <w:lvl w:ilvl="0">
      <w:lvlJc w:val="left"/>
      <w:lvlText w:val="(%1)"/>
      <w:numFmt w:val="upperLetter"/>
      <w:start w:val="2"/>
    </w:lvl>
  </w:abstractNum>
  <w:abstractNum w:abstractNumId="103">
    <w:nsid w:val="17180B0B"/>
    <w:multiLevelType w:val="hybridMultilevel"/>
    <w:lvl w:ilvl="0">
      <w:lvlJc w:val="left"/>
      <w:lvlText w:val="(%1)"/>
      <w:numFmt w:val="decimal"/>
      <w:start w:val="1"/>
    </w:lvl>
  </w:abstractNum>
  <w:abstractNum w:abstractNumId="104">
    <w:nsid w:val="579328B9"/>
    <w:multiLevelType w:val="hybridMultilevel"/>
    <w:lvl w:ilvl="0">
      <w:lvlJc w:val="left"/>
      <w:lvlText w:val="(%1)"/>
      <w:numFmt w:val="decimal"/>
      <w:start w:val="3"/>
    </w:lvl>
  </w:abstractNum>
  <w:abstractNum w:abstractNumId="105">
    <w:nsid w:val="5D205E20"/>
    <w:multiLevelType w:val="hybridMultilevel"/>
    <w:lvl w:ilvl="0">
      <w:lvlJc w:val="left"/>
      <w:lvlText w:val="%1."/>
      <w:numFmt w:val="upperLetter"/>
      <w:start w:val="1"/>
    </w:lvl>
  </w:abstractNum>
  <w:abstractNum w:abstractNumId="106">
    <w:nsid w:val="11CCA8BA"/>
    <w:multiLevelType w:val="hybridMultilevel"/>
    <w:lvl w:ilvl="0">
      <w:lvlJc w:val="left"/>
      <w:lvlText w:val="%1."/>
      <w:numFmt w:val="decimal"/>
      <w:start w:val="1"/>
    </w:lvl>
    <w:lvl w:ilvl="1">
      <w:lvlJc w:val="left"/>
      <w:lvlText w:val="(%2)"/>
      <w:numFmt w:val="lowerLetter"/>
      <w:start w:val="1"/>
    </w:lvl>
  </w:abstractNum>
  <w:abstractNum w:abstractNumId="107">
    <w:nsid w:val="4D32AB8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8">
    <w:nsid w:val="3F07ACC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9">
    <w:nsid w:val="6B47F63E"/>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110">
    <w:nsid w:val="5CB44A05"/>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111">
    <w:nsid w:val="16CF80F1"/>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112">
    <w:nsid w:val="1C695DEC"/>
    <w:multiLevelType w:val="hybridMultilevel"/>
    <w:lvl w:ilvl="0">
      <w:lvlJc w:val="left"/>
      <w:lvlText w:val="(%1)"/>
      <w:numFmt w:val="lowerLetter"/>
      <w:start w:val="2"/>
    </w:lvl>
  </w:abstractNum>
  <w:abstractNum w:abstractNumId="113">
    <w:nsid w:val="3FCFAED9"/>
    <w:multiLevelType w:val="hybridMultilevel"/>
    <w:lvl w:ilvl="0">
      <w:lvlJc w:val="left"/>
      <w:lvlText w:val="%1"/>
      <w:numFmt w:val="decimal"/>
      <w:start w:val="1"/>
    </w:lvl>
    <w:lvl w:ilvl="1">
      <w:lvlJc w:val="left"/>
      <w:lvlText w:val="(%2)"/>
      <w:numFmt w:val="lowerLetter"/>
      <w:start w:val="6"/>
    </w:lvl>
  </w:abstractNum>
  <w:abstractNum w:abstractNumId="114">
    <w:nsid w:val="F856867"/>
    <w:multiLevelType w:val="hybridMultilevel"/>
    <w:lvl w:ilvl="0">
      <w:lvlJc w:val="left"/>
      <w:lvlText w:val="%1."/>
      <w:numFmt w:val="decimal"/>
      <w:start w:val="9"/>
    </w:lvl>
    <w:lvl w:ilvl="1">
      <w:lvlJc w:val="left"/>
      <w:lvlText w:val="(%2)"/>
      <w:numFmt w:val="lowerLetter"/>
      <w:start w:val="1"/>
    </w:lvl>
  </w:abstractNum>
  <w:abstractNum w:abstractNumId="115">
    <w:nsid w:val="11B1CC33"/>
    <w:multiLevelType w:val="hybridMultilevel"/>
    <w:lvl w:ilvl="0">
      <w:lvlJc w:val="left"/>
      <w:lvlText w:val="(%1)"/>
      <w:numFmt w:val="lowerLetter"/>
      <w:start w:val="5"/>
    </w:lvl>
  </w:abstractNum>
  <w:abstractNum w:abstractNumId="116">
    <w:nsid w:val="2E22FBB7"/>
    <w:multiLevelType w:val="hybridMultilevel"/>
    <w:lvl w:ilvl="0">
      <w:lvlJc w:val="left"/>
      <w:lvlText w:val="(%1)"/>
      <w:numFmt w:val="lowerLetter"/>
      <w:start w:val="3"/>
    </w:lvl>
  </w:abstractNum>
  <w:abstractNum w:abstractNumId="117">
    <w:nsid w:val="29934699"/>
    <w:multiLevelType w:val="hybridMultilevel"/>
    <w:lvl w:ilvl="0">
      <w:lvlJc w:val="left"/>
      <w:lvlText w:val="(%1)"/>
      <w:numFmt w:val="decimal"/>
      <w:start w:val="1"/>
    </w:lvl>
  </w:abstractNum>
  <w:abstractNum w:abstractNumId="118">
    <w:nsid w:val="77485850"/>
    <w:multiLevelType w:val="hybridMultilevel"/>
    <w:lvl w:ilvl="0">
      <w:lvlJc w:val="left"/>
      <w:lvlText w:val="(%1)"/>
      <w:numFmt w:val="lowerRoman"/>
      <w:start w:val="1"/>
    </w:lvl>
  </w:abstractNum>
  <w:abstractNum w:abstractNumId="119">
    <w:nsid w:val="744939A3"/>
    <w:multiLevelType w:val="hybridMultilevel"/>
    <w:lvl w:ilvl="0">
      <w:lvlJc w:val="left"/>
      <w:lvlText w:val="(%1)"/>
      <w:numFmt w:val="lowerRoman"/>
      <w:start w:val="2"/>
    </w:lvl>
  </w:abstractNum>
  <w:abstractNum w:abstractNumId="120">
    <w:nsid w:val="4FA0D2E3"/>
    <w:multiLevelType w:val="hybridMultilevel"/>
    <w:lvl w:ilvl="0">
      <w:lvlJc w:val="left"/>
      <w:lvlText w:val="(%1)"/>
      <w:numFmt w:val="lowerLetter"/>
      <w:start w:val="1"/>
    </w:lvl>
  </w:abstractNum>
  <w:abstractNum w:abstractNumId="121">
    <w:nsid w:val="6B1D2C14"/>
    <w:multiLevelType w:val="hybridMultilevel"/>
    <w:lvl w:ilvl="0">
      <w:lvlJc w:val="left"/>
      <w:lvlText w:val="(%1)"/>
      <w:numFmt w:val="lowerLetter"/>
      <w:start w:val="10"/>
    </w:lvl>
  </w:abstractNum>
  <w:abstractNum w:abstractNumId="122">
    <w:nsid w:val="68B867D3"/>
    <w:multiLevelType w:val="hybridMultilevel"/>
    <w:lvl w:ilvl="0">
      <w:lvlJc w:val="left"/>
      <w:lvlText w:val="(%1)"/>
      <w:numFmt w:val="lowerLetter"/>
      <w:start w:val="1"/>
    </w:lvl>
  </w:abstractNum>
  <w:abstractNum w:abstractNumId="123">
    <w:nsid w:val="3F7F5DD9"/>
    <w:multiLevelType w:val="hybridMultilevel"/>
    <w:lvl w:ilvl="0">
      <w:lvlJc w:val="left"/>
      <w:lvlText w:val="(%1)"/>
      <w:numFmt w:val="lowerLetter"/>
      <w:start w:val="1"/>
    </w:lvl>
  </w:abstractNum>
  <w:abstractNum w:abstractNumId="124">
    <w:nsid w:val="2AE05A34"/>
    <w:multiLevelType w:val="hybridMultilevel"/>
    <w:lvl w:ilvl="0">
      <w:lvlJc w:val="left"/>
      <w:lvlText w:val="(%1)"/>
      <w:numFmt w:val="lowerLetter"/>
      <w:start w:val="2"/>
    </w:lvl>
  </w:abstractNum>
  <w:abstractNum w:abstractNumId="125">
    <w:nsid w:val="32794FF7"/>
    <w:multiLevelType w:val="hybridMultilevel"/>
    <w:lvl w:ilvl="0">
      <w:lvlJc w:val="left"/>
      <w:lvlText w:val="(%1)"/>
      <w:numFmt w:val="lowerLetter"/>
      <w:start w:val="1"/>
    </w:lvl>
  </w:abstractNum>
  <w:abstractNum w:abstractNumId="126">
    <w:nsid w:val="5454945E"/>
    <w:multiLevelType w:val="hybridMultilevel"/>
    <w:lvl w:ilvl="0">
      <w:lvlJc w:val="left"/>
      <w:lvlText w:val="(%1)"/>
      <w:numFmt w:val="lowerLetter"/>
      <w:start w:val="3"/>
    </w:lvl>
  </w:abstractNum>
  <w:abstractNum w:abstractNumId="127">
    <w:nsid w:val="4DEFDFA0"/>
    <w:multiLevelType w:val="hybridMultilevel"/>
    <w:lvl w:ilvl="0">
      <w:lvlJc w:val="left"/>
      <w:lvlText w:val="(%1)"/>
      <w:numFmt w:val="lowerRoman"/>
      <w:start w:val="1"/>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5"/>
    </w:lvl>
  </w:abstractNum>
  <w:abstractNum w:abstractNumId="130">
    <w:nsid w:val="94927A8"/>
    <w:multiLevelType w:val="hybridMultilevel"/>
    <w:lvl w:ilvl="0">
      <w:lvlJc w:val="left"/>
      <w:lvlText w:val="(%1)"/>
      <w:numFmt w:val="lowerLetter"/>
      <w:start w:val="7"/>
    </w:lvl>
  </w:abstractNum>
  <w:abstractNum w:abstractNumId="131">
    <w:nsid w:val="DCDF8F6"/>
    <w:multiLevelType w:val="hybridMultilevel"/>
    <w:lvl w:ilvl="0">
      <w:lvlJc w:val="left"/>
      <w:lvlText w:val="(%1)"/>
      <w:numFmt w:val="lowerLetter"/>
      <w:start w:val="1"/>
    </w:lvl>
    <w:lvl w:ilvl="1">
      <w:lvlJc w:val="left"/>
      <w:lvlText w:val="(%2)"/>
      <w:numFmt w:val="lowerRoman"/>
      <w:start w:val="1"/>
    </w:lvl>
  </w:abstractNum>
  <w:abstractNum w:abstractNumId="132">
    <w:nsid w:val="52D7B105"/>
    <w:multiLevelType w:val="hybridMultilevel"/>
    <w:lvl w:ilvl="0">
      <w:lvlJc w:val="left"/>
      <w:lvlText w:val="(%1)"/>
      <w:numFmt w:val="lowerLetter"/>
      <w:start w:val="4"/>
    </w:lvl>
  </w:abstractNum>
  <w:abstractNum w:abstractNumId="133">
    <w:nsid w:val="2E8A6394"/>
    <w:multiLevelType w:val="hybridMultilevel"/>
    <w:lvl w:ilvl="0">
      <w:lvlJc w:val="left"/>
      <w:lvlText w:val="(%1)"/>
      <w:numFmt w:val="lowerLetter"/>
      <w:start w:val="1"/>
    </w:lvl>
  </w:abstractNum>
  <w:abstractNum w:abstractNumId="134">
    <w:nsid w:val="24E60401"/>
    <w:multiLevelType w:val="hybridMultilevel"/>
    <w:lvl w:ilvl="0">
      <w:lvlJc w:val="left"/>
      <w:lvlText w:val="(%1)"/>
      <w:numFmt w:val="lowerLetter"/>
      <w:start w:val="1"/>
    </w:lvl>
  </w:abstractNum>
  <w:abstractNum w:abstractNumId="135">
    <w:nsid w:val="2A6AD9BE"/>
    <w:multiLevelType w:val="hybridMultilevel"/>
    <w:lvl w:ilvl="0">
      <w:lvlJc w:val="left"/>
      <w:lvlText w:val="(%1)"/>
      <w:numFmt w:val="lowerLetter"/>
      <w:start w:val="3"/>
    </w:lvl>
  </w:abstractNum>
  <w:abstractNum w:abstractNumId="136">
    <w:nsid w:val="BAAC1B4"/>
    <w:multiLevelType w:val="hybridMultilevel"/>
    <w:lvl w:ilvl="0">
      <w:lvlJc w:val="left"/>
      <w:lvlText w:val="(%1)"/>
      <w:numFmt w:val="lowerLetter"/>
      <w:start w:val="1"/>
    </w:lvl>
  </w:abstractNum>
  <w:abstractNum w:abstractNumId="137">
    <w:nsid w:val="36B2ACBC"/>
    <w:multiLevelType w:val="hybridMultilevel"/>
    <w:lvl w:ilvl="0">
      <w:lvlJc w:val="left"/>
      <w:lvlText w:val="(%1)"/>
      <w:numFmt w:val="lowerLetter"/>
      <w:start w:val="4"/>
    </w:lvl>
  </w:abstractNum>
  <w:abstractNum w:abstractNumId="138">
    <w:nsid w:val="779D8544"/>
    <w:multiLevelType w:val="hybridMultilevel"/>
    <w:lvl w:ilvl="0">
      <w:lvlJc w:val="left"/>
      <w:lvlText w:val="(%1)"/>
      <w:numFmt w:val="lowerLetter"/>
      <w:start w:val="1"/>
    </w:lvl>
  </w:abstractNum>
  <w:abstractNum w:abstractNumId="139">
    <w:nsid w:val="4AB26E78"/>
    <w:multiLevelType w:val="hybridMultilevel"/>
    <w:lvl w:ilvl="0">
      <w:lvlJc w:val="left"/>
      <w:lvlText w:val="(%1)"/>
      <w:numFmt w:val="lowerLetter"/>
      <w:start w:val="2"/>
    </w:lvl>
  </w:abstractNum>
  <w:abstractNum w:abstractNumId="140">
    <w:nsid w:val="21FAA2FA"/>
    <w:multiLevelType w:val="hybridMultilevel"/>
    <w:lvl w:ilvl="0">
      <w:lvlJc w:val="left"/>
      <w:lvlText w:val="(%1)"/>
      <w:numFmt w:val="lowerLetter"/>
      <w:start w:val="1"/>
    </w:lvl>
    <w:lvl w:ilvl="1">
      <w:lvlJc w:val="left"/>
      <w:lvlText w:val="(%2)"/>
      <w:numFmt w:val="lowerRoman"/>
      <w:start w:val="1"/>
    </w:lvl>
  </w:abstractNum>
  <w:abstractNum w:abstractNumId="141">
    <w:nsid w:val="5451CF49"/>
    <w:multiLevelType w:val="hybridMultilevel"/>
    <w:lvl w:ilvl="0">
      <w:lvlJc w:val="left"/>
      <w:lvlText w:val="(%1)"/>
      <w:numFmt w:val="lowerLetter"/>
      <w:start w:val="2"/>
    </w:lvl>
  </w:abstractNum>
  <w:abstractNum w:abstractNumId="142">
    <w:nsid w:val="6181EF69"/>
    <w:multiLevelType w:val="hybridMultilevel"/>
    <w:lvl w:ilvl="0">
      <w:lvlJc w:val="left"/>
      <w:lvlText w:val="%1"/>
      <w:numFmt w:val="lowerLetter"/>
      <w:start w:val="1"/>
    </w:lvl>
    <w:lvl w:ilvl="1">
      <w:lvlJc w:val="left"/>
      <w:lvlText w:val="(%2)"/>
      <w:numFmt w:val="lowerRoman"/>
      <w:start w:val="1"/>
    </w:lvl>
  </w:abstractNum>
  <w:abstractNum w:abstractNumId="143">
    <w:nsid w:val="3E6400E6"/>
    <w:multiLevelType w:val="hybridMultilevel"/>
    <w:lvl w:ilvl="0">
      <w:lvlJc w:val="left"/>
      <w:lvlText w:val="(%1)"/>
      <w:numFmt w:val="lowerLetter"/>
      <w:start w:val="2"/>
    </w:lvl>
    <w:lvl w:ilvl="1">
      <w:lvlJc w:val="left"/>
      <w:lvlText w:val="%2"/>
      <w:numFmt w:val="lowerRoman"/>
      <w:start w:val="1"/>
    </w:lvl>
  </w:abstractNum>
  <w:abstractNum w:abstractNumId="144">
    <w:nsid w:val="14217E23"/>
    <w:multiLevelType w:val="hybridMultilevel"/>
    <w:lvl w:ilvl="0">
      <w:lvlJc w:val="left"/>
      <w:lvlText w:val="(%1)"/>
      <w:numFmt w:val="lowerLetter"/>
      <w:start w:val="2"/>
    </w:lvl>
  </w:abstractNum>
  <w:abstractNum w:abstractNumId="145">
    <w:nsid w:val="710757D0"/>
    <w:multiLevelType w:val="hybridMultilevel"/>
    <w:lvl w:ilvl="0">
      <w:lvlJc w:val="left"/>
      <w:lvlText w:val="(%1)"/>
      <w:numFmt w:val="lowerLetter"/>
      <w:start w:val="4"/>
    </w:lvl>
  </w:abstractNum>
  <w:abstractNum w:abstractNumId="146">
    <w:nsid w:val="5015CD1A"/>
    <w:multiLevelType w:val="hybridMultilevel"/>
    <w:lvl w:ilvl="0">
      <w:lvlJc w:val="left"/>
      <w:lvlText w:val="(%1)"/>
      <w:numFmt w:val="lowerLetter"/>
      <w:start w:val="1"/>
    </w:lvl>
  </w:abstractNum>
  <w:abstractNum w:abstractNumId="147">
    <w:nsid w:val="424479DA"/>
    <w:multiLevelType w:val="hybridMultilevel"/>
    <w:lvl w:ilvl="0">
      <w:lvlJc w:val="left"/>
      <w:lvlText w:val="(%1)"/>
      <w:numFmt w:val="lowerLetter"/>
      <w:start w:val="2"/>
    </w:lvl>
  </w:abstractNum>
  <w:abstractNum w:abstractNumId="148">
    <w:nsid w:val="1A9A9E6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9">
    <w:nsid w:val="475E256A"/>
    <w:multiLevelType w:val="hybridMultilevel"/>
    <w:lvl w:ilvl="0">
      <w:lvlJc w:val="left"/>
      <w:lvlText w:val="%1"/>
      <w:numFmt w:val="upperLetter"/>
      <w:start w:val="1"/>
    </w:lvl>
    <w:lvl w:ilvl="1">
      <w:lvlJc w:val="left"/>
      <w:lvlText w:val="(%2)"/>
      <w:numFmt w:val="decimal"/>
      <w:start w:val="2"/>
    </w:lvl>
  </w:abstractNum>
  <w:abstractNum w:abstractNumId="150">
    <w:nsid w:val="368DB37E"/>
    <w:multiLevelType w:val="hybridMultilevel"/>
    <w:lvl w:ilvl="0">
      <w:lvlJc w:val="left"/>
      <w:lvlText w:val="(%1)"/>
      <w:numFmt w:val="upperLetter"/>
      <w:start w:val="3"/>
    </w:lvl>
    <w:lvl w:ilvl="1">
      <w:lvlJc w:val="left"/>
      <w:lvlText w:val="%2"/>
      <w:numFmt w:val="decimal"/>
      <w:start w:val="1"/>
    </w:lvl>
  </w:abstractNum>
  <w:abstractNum w:abstractNumId="151">
    <w:nsid w:val="6A3B714C"/>
    <w:multiLevelType w:val="hybridMultilevel"/>
    <w:lvl w:ilvl="0">
      <w:lvlJc w:val="left"/>
      <w:lvlText w:val="(%1)"/>
      <w:numFmt w:val="lowerLetter"/>
      <w:start w:val="8"/>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lowerLetter"/>
      <w:start w:val="1"/>
    </w:lvl>
  </w:abstractNum>
  <w:abstractNum w:abstractNumId="154">
    <w:nsid w:val="29BACF25"/>
    <w:multiLevelType w:val="hybridMultilevel"/>
    <w:lvl w:ilvl="0">
      <w:lvlJc w:val="left"/>
      <w:lvlText w:val="(%1)"/>
      <w:numFmt w:val="lowerLetter"/>
      <w:start w:val="1"/>
    </w:lvl>
  </w:abstractNum>
  <w:abstractNum w:abstractNumId="155">
    <w:nsid w:val="5D5BABB3"/>
    <w:multiLevelType w:val="hybridMultilevel"/>
    <w:lvl w:ilvl="0">
      <w:lvlJc w:val="left"/>
      <w:lvlText w:val="(%1)"/>
      <w:numFmt w:val="lowerLetter"/>
      <w:start w:val="1"/>
    </w:lvl>
  </w:abstractNum>
  <w:abstractNum w:abstractNumId="156">
    <w:nsid w:val="51BF6B48"/>
    <w:multiLevelType w:val="hybridMultilevel"/>
    <w:lvl w:ilvl="0">
      <w:lvlJc w:val="left"/>
      <w:lvlText w:val="(%1)"/>
      <w:numFmt w:val="lowerLetter"/>
      <w:start w:val="3"/>
    </w:lvl>
  </w:abstractNum>
  <w:abstractNum w:abstractNumId="157">
    <w:nsid w:val="7E0F6384"/>
    <w:multiLevelType w:val="hybridMultilevel"/>
    <w:lvl w:ilvl="0">
      <w:lvlJc w:val="left"/>
      <w:lvlText w:val="(%1)"/>
      <w:numFmt w:val="lowerLetter"/>
      <w:start w:val="2"/>
    </w:lvl>
  </w:abstractNum>
  <w:abstractNum w:abstractNumId="158">
    <w:nsid w:val="2B4B8B53"/>
    <w:multiLevelType w:val="hybridMultilevel"/>
    <w:lvl w:ilvl="0">
      <w:lvlJc w:val="left"/>
      <w:lvlText w:val="(%1)"/>
      <w:numFmt w:val="lowerLetter"/>
      <w:start w:val="2"/>
    </w:lvl>
  </w:abstractNum>
  <w:abstractNum w:abstractNumId="159">
    <w:nsid w:val="72E3413A"/>
    <w:multiLevelType w:val="hybridMultilevel"/>
    <w:lvl w:ilvl="0">
      <w:lvlJc w:val="left"/>
      <w:lvlText w:val="(%1)"/>
      <w:numFmt w:val="lowerLetter"/>
      <w:start w:val="1"/>
    </w:lvl>
  </w:abstractNum>
  <w:abstractNum w:abstractNumId="160">
    <w:nsid w:val="116AE494"/>
    <w:multiLevelType w:val="hybridMultilevel"/>
    <w:lvl w:ilvl="0">
      <w:lvlJc w:val="left"/>
      <w:lvlText w:val="(%1)"/>
      <w:numFmt w:val="lowerLetter"/>
      <w:start w:val="5"/>
    </w:lvl>
  </w:abstractNum>
  <w:abstractNum w:abstractNumId="161">
    <w:nsid w:val="3494B2FB"/>
    <w:multiLevelType w:val="hybridMultilevel"/>
    <w:lvl w:ilvl="0">
      <w:lvlJc w:val="left"/>
      <w:lvlText w:val="(%1)"/>
      <w:numFmt w:val="lowerLetter"/>
      <w:start w:val="1"/>
    </w:lvl>
  </w:abstractNum>
  <w:abstractNum w:abstractNumId="162">
    <w:nsid w:val="B13A31"/>
    <w:multiLevelType w:val="hybridMultilevel"/>
    <w:lvl w:ilvl="0">
      <w:lvlJc w:val="left"/>
      <w:lvlText w:val="(%1)"/>
      <w:numFmt w:val="lowerLetter"/>
      <w:start w:val="1"/>
    </w:lvl>
  </w:abstractNum>
  <w:abstractNum w:abstractNumId="163">
    <w:nsid w:val="64429599"/>
    <w:multiLevelType w:val="hybridMultilevel"/>
    <w:lvl w:ilvl="0">
      <w:lvlJc w:val="left"/>
      <w:lvlText w:val="(%1)"/>
      <w:numFmt w:val="lowerLetter"/>
      <w:start w:val="2"/>
    </w:lvl>
  </w:abstractNum>
  <w:abstractNum w:abstractNumId="164">
    <w:nsid w:val="631F1690"/>
    <w:multiLevelType w:val="hybridMultilevel"/>
    <w:lvl w:ilvl="0">
      <w:lvlJc w:val="left"/>
      <w:lvlText w:val="(%1)"/>
      <w:numFmt w:val="lowerLetter"/>
      <w:start w:val="6"/>
    </w:lvl>
  </w:abstractNum>
  <w:abstractNum w:abstractNumId="165">
    <w:nsid w:val="25973E32"/>
    <w:multiLevelType w:val="hybridMultilevel"/>
    <w:lvl w:ilvl="0">
      <w:lvlJc w:val="left"/>
      <w:lvlText w:val="(%1)"/>
      <w:numFmt w:val="lowerLetter"/>
      <w:start w:val="1"/>
    </w:lvl>
  </w:abstractNum>
  <w:abstractNum w:abstractNumId="166">
    <w:nsid w:val="EAD6F57"/>
    <w:multiLevelType w:val="hybridMultilevel"/>
    <w:lvl w:ilvl="0">
      <w:lvlJc w:val="left"/>
      <w:lvlText w:val="(%1)"/>
      <w:numFmt w:val="lowerLetter"/>
      <w:start w:val="3"/>
    </w:lvl>
  </w:abstractNum>
  <w:abstractNum w:abstractNumId="167">
    <w:nsid w:val="6EC9D844"/>
    <w:multiLevelType w:val="hybridMultilevel"/>
    <w:lvl w:ilvl="0">
      <w:lvlJc w:val="left"/>
      <w:lvlText w:val="(%1)"/>
      <w:numFmt w:val="lowerLetter"/>
      <w:start w:val="1"/>
    </w:lvl>
  </w:abstractNum>
  <w:abstractNum w:abstractNumId="168">
    <w:nsid w:val="5C49EAEE"/>
    <w:multiLevelType w:val="hybridMultilevel"/>
    <w:lvl w:ilvl="0">
      <w:lvlJc w:val="left"/>
      <w:lvlText w:val="(%1)"/>
      <w:numFmt w:val="lowerLetter"/>
      <w:start w:val="1"/>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lowerLetter"/>
      <w:start w:val="1"/>
    </w:lvl>
    <w:lvl w:ilvl="1">
      <w:lvlJc w:val="left"/>
      <w:lvlText w:val="(%2)"/>
      <w:numFmt w:val="lowerLetter"/>
      <w:start w:val="1"/>
    </w:lvl>
  </w:abstractNum>
  <w:abstractNum w:abstractNumId="171">
    <w:nsid w:val="7E448DE9"/>
    <w:multiLevelType w:val="hybridMultilevel"/>
    <w:lvl w:ilvl="0">
      <w:lvlJc w:val="left"/>
      <w:lvlText w:val="(%1)"/>
      <w:numFmt w:val="lowerLetter"/>
      <w:start w:val="5"/>
    </w:lvl>
    <w:lvl w:ilvl="1">
      <w:lvlJc w:val="left"/>
      <w:lvlText w:val="(%2)"/>
      <w:numFmt w:val="lowerLetter"/>
      <w:start w:val="6"/>
    </w:lvl>
  </w:abstractNum>
  <w:abstractNum w:abstractNumId="172">
    <w:nsid w:val="5A9CC3E5"/>
    <w:multiLevelType w:val="hybridMultilevel"/>
    <w:lvl w:ilvl="0">
      <w:lvlJc w:val="left"/>
      <w:lvlText w:val="(%1)"/>
      <w:numFmt w:val="lowerLetter"/>
      <w:start w:val="35"/>
    </w:lvl>
    <w:lvl w:ilvl="1">
      <w:lvlJc w:val="left"/>
      <w:lvlText w:val="%2"/>
      <w:numFmt w:val="lowerLetter"/>
      <w:start w:val="1"/>
    </w:lvl>
  </w:abstractNum>
  <w:abstractNum w:abstractNumId="173">
    <w:nsid w:val="1AFE3625"/>
    <w:multiLevelType w:val="hybridMultilevel"/>
    <w:lvl w:ilvl="0">
      <w:lvlJc w:val="left"/>
      <w:lvlText w:val="%1"/>
      <w:numFmt w:val="lowerLetter"/>
      <w:start w:val="1"/>
    </w:lvl>
    <w:lvl w:ilvl="1">
      <w:lvlJc w:val="left"/>
      <w:lvlText w:val="(%2)"/>
      <w:numFmt w:val="lowerLetter"/>
      <w:start w:val="7"/>
    </w:lvl>
  </w:abstractNum>
  <w:abstractNum w:abstractNumId="174">
    <w:nsid w:val="3CA88ECF"/>
    <w:multiLevelType w:val="hybridMultilevel"/>
    <w:lvl w:ilvl="0">
      <w:lvlJc w:val="left"/>
      <w:lvlText w:val="(%1)"/>
      <w:numFmt w:val="lowerLetter"/>
      <w:start w:val="61"/>
    </w:lvl>
    <w:lvl w:ilvl="1">
      <w:lvlJc w:val="left"/>
      <w:lvlText w:val="(%2)"/>
      <w:numFmt w:val="lowerLetter"/>
      <w:start w:val="10"/>
    </w:lvl>
  </w:abstractNum>
  <w:abstractNum w:abstractNumId="175">
    <w:nsid w:val="6EBE4208"/>
    <w:multiLevelType w:val="hybridMultilevel"/>
    <w:lvl w:ilvl="0">
      <w:lvlJc w:val="left"/>
      <w:lvlText w:val="(%1)"/>
      <w:numFmt w:val="lowerLetter"/>
      <w:start w:val="15"/>
    </w:lvl>
  </w:abstractNum>
  <w:abstractNum w:abstractNumId="176">
    <w:nsid w:val="C058DF5"/>
    <w:multiLevelType w:val="hybridMultilevel"/>
    <w:lvl w:ilvl="0">
      <w:lvlJc w:val="left"/>
      <w:lvlText w:val="%1"/>
      <w:numFmt w:val="lowerLetter"/>
      <w:start w:val="1"/>
    </w:lvl>
    <w:lvl w:ilvl="1">
      <w:lvlJc w:val="left"/>
      <w:lvlText w:val="(%2)"/>
      <w:numFmt w:val="lowerLetter"/>
      <w:start w:val="1"/>
    </w:lvl>
  </w:abstractNum>
  <w:abstractNum w:abstractNumId="177">
    <w:nsid w:val="CBE5BE9"/>
    <w:multiLevelType w:val="hybridMultilevel"/>
    <w:lvl w:ilvl="0">
      <w:lvlJc w:val="left"/>
      <w:lvlText w:val="(%1)"/>
      <w:numFmt w:val="lowerLetter"/>
      <w:start w:val="35"/>
    </w:lvl>
    <w:lvl w:ilvl="1">
      <w:lvlJc w:val="left"/>
      <w:lvlText w:val="(%2)"/>
      <w:numFmt w:val="lowerLetter"/>
      <w:start w:val="3"/>
    </w:lvl>
  </w:abstractNum>
  <w:abstractNum w:abstractNumId="178">
    <w:nsid w:val="3102BBE2"/>
    <w:multiLevelType w:val="hybridMultilevel"/>
    <w:lvl w:ilvl="0">
      <w:lvlJc w:val="left"/>
      <w:lvlText w:val="(%1)"/>
      <w:numFmt w:val="lowerLetter"/>
      <w:start w:val="9"/>
    </w:lvl>
    <w:lvl w:ilvl="1">
      <w:lvlJc w:val="left"/>
      <w:lvlText w:val="(%2)"/>
      <w:numFmt w:val="lowerLetter"/>
      <w:start w:val="5"/>
    </w:lvl>
  </w:abstractNum>
  <w:abstractNum w:abstractNumId="179">
    <w:nsid w:val="26A02C5E"/>
    <w:multiLevelType w:val="hybridMultilevel"/>
    <w:lvl w:ilvl="0">
      <w:lvlJc w:val="left"/>
      <w:lvlText w:val="(%1)"/>
      <w:numFmt w:val="lowerLetter"/>
      <w:start w:val="1"/>
    </w:lvl>
  </w:abstractNum>
  <w:abstractNum w:abstractNumId="180">
    <w:nsid w:val="541C8153"/>
    <w:multiLevelType w:val="hybridMultilevel"/>
    <w:lvl w:ilvl="0">
      <w:lvlJc w:val="left"/>
      <w:lvlText w:val="(%1)"/>
      <w:numFmt w:val="lowerLetter"/>
      <w:start w:val="2"/>
    </w:lvl>
  </w:abstractNum>
  <w:abstractNum w:abstractNumId="181">
    <w:nsid w:val="67906F60"/>
    <w:multiLevelType w:val="hybridMultilevel"/>
    <w:lvl w:ilvl="0">
      <w:lvlJc w:val="left"/>
      <w:lvlText w:val="(%1)"/>
      <w:numFmt w:val="lowerLetter"/>
      <w:start w:val="1"/>
    </w:lvl>
  </w:abstractNum>
  <w:abstractNum w:abstractNumId="182">
    <w:nsid w:val="10DB9DAA"/>
    <w:multiLevelType w:val="hybridMultilevel"/>
    <w:lvl w:ilvl="0">
      <w:lvlJc w:val="left"/>
      <w:lvlText w:val="(%1)"/>
      <w:numFmt w:val="lowerLetter"/>
      <w:start w:val="9"/>
    </w:lvl>
  </w:abstractNum>
  <w:abstractNum w:abstractNumId="183">
    <w:nsid w:val="697D2D2"/>
    <w:multiLevelType w:val="hybridMultilevel"/>
    <w:lvl w:ilvl="0">
      <w:lvlJc w:val="left"/>
      <w:lvlText w:val="(%1)"/>
      <w:numFmt w:val="lowerLetter"/>
      <w:start w:val="1"/>
    </w:lvl>
  </w:abstractNum>
  <w:abstractNum w:abstractNumId="184">
    <w:nsid w:val="6D68AB2"/>
    <w:multiLevelType w:val="hybridMultilevel"/>
    <w:lvl w:ilvl="0">
      <w:lvlJc w:val="left"/>
      <w:lvlText w:val="(%1)"/>
      <w:numFmt w:val="lowerLetter"/>
      <w:start w:val="6"/>
    </w:lvl>
  </w:abstractNum>
  <w:abstractNum w:abstractNumId="185">
    <w:nsid w:val="3A966CD0"/>
    <w:multiLevelType w:val="hybridMultilevel"/>
    <w:lvl w:ilvl="0">
      <w:lvlJc w:val="left"/>
      <w:lvlText w:val="(%1)"/>
      <w:numFmt w:val="lowerRoman"/>
      <w:start w:val="10"/>
    </w:lvl>
  </w:abstractNum>
  <w:abstractNum w:abstractNumId="186">
    <w:nsid w:val="63F37E85"/>
    <w:multiLevelType w:val="hybridMultilevel"/>
    <w:lvl w:ilvl="0">
      <w:lvlJc w:val="left"/>
      <w:lvlText w:val="(%1)"/>
      <w:numFmt w:val="lowerLetter"/>
      <w:start w:val="1"/>
    </w:lvl>
  </w:abstractNum>
  <w:abstractNum w:abstractNumId="187">
    <w:nsid w:val="5895F5FA"/>
    <w:multiLevelType w:val="hybridMultilevel"/>
    <w:lvl w:ilvl="0">
      <w:lvlJc w:val="left"/>
      <w:lvlText w:val="(%1)"/>
      <w:numFmt w:val="lowerLetter"/>
      <w:start w:val="1"/>
    </w:lvl>
  </w:abstractNum>
  <w:abstractNum w:abstractNumId="188">
    <w:nsid w:val="38A5D054"/>
    <w:multiLevelType w:val="hybridMultilevel"/>
    <w:lvl w:ilvl="0">
      <w:lvlJc w:val="left"/>
      <w:lvlText w:val="(%1)"/>
      <w:numFmt w:val="lowerLetter"/>
      <w:start w:val="9"/>
    </w:lvl>
    <w:lvl w:ilvl="1">
      <w:lvlJc w:val="left"/>
      <w:lvlText w:val="(%2)"/>
      <w:numFmt w:val="lowerLetter"/>
      <w:start w:val="9"/>
    </w:lvl>
  </w:abstractNum>
  <w:abstractNum w:abstractNumId="189">
    <w:nsid w:val="F3F09D8"/>
    <w:multiLevelType w:val="hybridMultilevel"/>
    <w:lvl w:ilvl="0">
      <w:lvlJc w:val="left"/>
      <w:lvlText w:val="(%1)"/>
      <w:numFmt w:val="lowerLetter"/>
      <w:start w:val="15"/>
    </w:lvl>
  </w:abstractNum>
  <w:abstractNum w:abstractNumId="190">
    <w:nsid w:val="4B793735"/>
    <w:multiLevelType w:val="hybridMultilevel"/>
    <w:lvl w:ilvl="0">
      <w:lvlJc w:val="left"/>
      <w:lvlText w:val="(%1)"/>
      <w:numFmt w:val="lowerLetter"/>
      <w:start w:val="1"/>
    </w:lvl>
    <w:lvl w:ilvl="1">
      <w:lvlJc w:val="left"/>
      <w:lvlText w:val="(%2)"/>
      <w:numFmt w:val="lowerLetter"/>
      <w:start w:val="9"/>
    </w:lvl>
  </w:abstractNum>
  <w:abstractNum w:abstractNumId="191">
    <w:nsid w:val="4A10B4E8"/>
    <w:multiLevelType w:val="hybridMultilevel"/>
    <w:lvl w:ilvl="0">
      <w:lvlJc w:val="left"/>
      <w:lvlText w:val="(%1)"/>
      <w:numFmt w:val="lowerRoman"/>
      <w:start w:val="2"/>
    </w:lvl>
  </w:abstractNum>
  <w:abstractNum w:abstractNumId="192">
    <w:nsid w:val="43D3BCD4"/>
    <w:multiLevelType w:val="hybridMultilevel"/>
    <w:lvl w:ilvl="0">
      <w:lvlJc w:val="left"/>
      <w:lvlText w:val="(%1)"/>
      <w:numFmt w:val="lowerRoman"/>
      <w:start w:val="3"/>
    </w:lvl>
  </w:abstractNum>
  <w:abstractNum w:abstractNumId="193">
    <w:nsid w:val="4C2A7166"/>
    <w:multiLevelType w:val="hybridMultilevel"/>
    <w:lvl w:ilvl="0">
      <w:lvlJc w:val="left"/>
      <w:lvlText w:val="(%1)"/>
      <w:numFmt w:val="lowerLetter"/>
      <w:start w:val="2"/>
    </w:lvl>
  </w:abstractNum>
  <w:abstractNum w:abstractNumId="194">
    <w:nsid w:val="2E534A82"/>
    <w:multiLevelType w:val="hybridMultilevel"/>
    <w:lvl w:ilvl="0">
      <w:lvlJc w:val="left"/>
      <w:lvlText w:val="(%1)"/>
      <w:numFmt w:val="lowerLetter"/>
      <w:start w:val="1"/>
    </w:lvl>
  </w:abstractNum>
  <w:abstractNum w:abstractNumId="195">
    <w:nsid w:val="26F2D364"/>
    <w:multiLevelType w:val="hybridMultilevel"/>
    <w:lvl w:ilvl="0">
      <w:lvlJc w:val="left"/>
      <w:lvlText w:val="(%1)"/>
      <w:numFmt w:val="lowerLetter"/>
      <w:start w:val="1"/>
    </w:lvl>
  </w:abstractNum>
  <w:abstractNum w:abstractNumId="196">
    <w:nsid w:val="71C1AF98"/>
    <w:multiLevelType w:val="hybridMultilevel"/>
    <w:lvl w:ilvl="0">
      <w:lvlJc w:val="left"/>
      <w:lvlText w:val="(%1)"/>
      <w:numFmt w:val="lowerLetter"/>
      <w:start w:val="3"/>
    </w:lvl>
  </w:abstractNum>
  <w:abstractNum w:abstractNumId="197">
    <w:nsid w:val="3D00B9D9"/>
    <w:multiLevelType w:val="hybridMultilevel"/>
    <w:lvl w:ilvl="0">
      <w:lvlJc w:val="left"/>
      <w:lvlText w:val="(%1)"/>
      <w:numFmt w:val="lowerLetter"/>
      <w:start w:val="1"/>
    </w:lvl>
  </w:abstractNum>
  <w:abstractNum w:abstractNumId="198">
    <w:nsid w:val="15BCABA8"/>
    <w:multiLevelType w:val="hybridMultilevel"/>
    <w:lvl w:ilvl="0">
      <w:lvlJc w:val="left"/>
      <w:lvlText w:val="(%1)"/>
      <w:numFmt w:val="lowerLetter"/>
      <w:start w:val="2"/>
    </w:lvl>
  </w:abstractNum>
  <w:abstractNum w:abstractNumId="199">
    <w:nsid w:val="4E0B9A87"/>
    <w:multiLevelType w:val="hybridMultilevel"/>
    <w:lvl w:ilvl="0">
      <w:lvlJc w:val="left"/>
      <w:lvlText w:val="(%1)"/>
      <w:numFmt w:val="lowerLetter"/>
      <w:start w:val="3"/>
    </w:lvl>
  </w:abstractNum>
  <w:abstractNum w:abstractNumId="200">
    <w:nsid w:val="434BAE75"/>
    <w:multiLevelType w:val="hybridMultilevel"/>
    <w:lvl w:ilvl="0">
      <w:lvlJc w:val="left"/>
      <w:lvlText w:val="(%1)"/>
      <w:numFmt w:val="lowerLetter"/>
      <w:start w:val="4"/>
    </w:lvl>
  </w:abstractNum>
  <w:abstractNum w:abstractNumId="201">
    <w:nsid w:val="4F38F265"/>
    <w:multiLevelType w:val="hybridMultilevel"/>
    <w:lvl w:ilvl="0">
      <w:lvlJc w:val="left"/>
      <w:lvlText w:val="(%1)"/>
      <w:numFmt w:val="lowerLetter"/>
      <w:start w:val="1"/>
    </w:lvl>
  </w:abstractNum>
  <w:abstractNum w:abstractNumId="202">
    <w:nsid w:val="4C502870"/>
    <w:multiLevelType w:val="hybridMultilevel"/>
    <w:lvl w:ilvl="0">
      <w:lvlJc w:val="left"/>
      <w:lvlText w:val="(%1)"/>
      <w:numFmt w:val="lowerLetter"/>
      <w:start w:val="1"/>
    </w:lvl>
  </w:abstractNum>
  <w:abstractNum w:abstractNumId="203">
    <w:nsid w:val="1DE8725A"/>
    <w:multiLevelType w:val="hybridMultilevel"/>
    <w:lvl w:ilvl="0">
      <w:lvlJc w:val="left"/>
      <w:lvlText w:val="(%1)"/>
      <w:numFmt w:val="lowerLetter"/>
      <w:start w:val="4"/>
    </w:lvl>
  </w:abstractNum>
  <w:abstractNum w:abstractNumId="204">
    <w:nsid w:val="6A37288A"/>
    <w:multiLevelType w:val="hybridMultilevel"/>
    <w:lvl w:ilvl="0">
      <w:lvlJc w:val="left"/>
      <w:lvlText w:val="(%1)"/>
      <w:numFmt w:val="decimal"/>
      <w:start w:val="1"/>
    </w:lvl>
  </w:abstractNum>
  <w:abstractNum w:abstractNumId="205">
    <w:nsid w:val="8F8B73F"/>
    <w:multiLevelType w:val="hybridMultilevel"/>
    <w:lvl w:ilvl="0">
      <w:lvlJc w:val="left"/>
      <w:lvlText w:val="(%1)"/>
      <w:numFmt w:val="decimal"/>
      <w:start w:val="2"/>
    </w:lvl>
  </w:abstractNum>
  <w:abstractNum w:abstractNumId="206">
    <w:nsid w:val="CA6B462"/>
    <w:multiLevelType w:val="hybridMultilevel"/>
    <w:lvl w:ilvl="0">
      <w:lvlJc w:val="left"/>
      <w:lvlText w:val="(%1)"/>
      <w:numFmt w:val="decimal"/>
      <w:start w:val="6"/>
    </w:lvl>
  </w:abstractNum>
  <w:abstractNum w:abstractNumId="207">
    <w:nsid w:val="763CB680"/>
    <w:multiLevelType w:val="hybridMultilevel"/>
    <w:lvl w:ilvl="0">
      <w:lvlJc w:val="left"/>
      <w:lvlText w:val="%1."/>
      <w:numFmt w:val="decimal"/>
      <w:start w:val="1"/>
    </w:lvl>
    <w:lvl w:ilvl="1">
      <w:lvlJc w:val="left"/>
      <w:lvlText w:val="%2)"/>
      <w:numFmt w:val="lowerLetter"/>
      <w:start w:val="1"/>
    </w:lvl>
  </w:abstractNum>
  <w:abstractNum w:abstractNumId="208">
    <w:nsid w:val="15B71329"/>
    <w:multiLevelType w:val="hybridMultilevel"/>
    <w:lvl w:ilvl="0">
      <w:lvlJc w:val="left"/>
      <w:lvlText w:val="%1."/>
      <w:numFmt w:val="decimal"/>
      <w:start w:val="1"/>
    </w:lvl>
    <w:lvl w:ilvl="1">
      <w:lvlJc w:val="left"/>
      <w:lvlText w:val="%2)"/>
      <w:numFmt w:val="lowerLetter"/>
      <w:start w:val="1"/>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2020-05-11T13:34:33Z</dcterms:created>
  <dcterms:modified xsi:type="dcterms:W3CDTF">2020-05-11T13:34:33Z</dcterms:modified>
</cp:coreProperties>
</file>