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41"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31, 2022</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33"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1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700" w:type="dxa"/>
            <w:vAlign w:val="bottom"/>
            <w:gridSpan w:val="3"/>
          </w:tcPr>
          <w:p>
            <w:pPr>
              <w:ind w:left="60"/>
              <w:spacing w:after="0"/>
              <w:rPr>
                <w:sz w:val="20"/>
                <w:szCs w:val="20"/>
                <w:color w:val="auto"/>
              </w:rPr>
            </w:pPr>
            <w:r>
              <w:rPr>
                <w:rFonts w:ascii="Arial" w:cs="Arial" w:eastAsia="Arial" w:hAnsi="Arial"/>
                <w:sz w:val="16"/>
                <w:szCs w:val="16"/>
                <w:b w:val="1"/>
                <w:bCs w:val="1"/>
                <w:color w:val="auto"/>
              </w:rPr>
              <w:t>For the transition period from</w:t>
            </w:r>
          </w:p>
        </w:tc>
        <w:tc>
          <w:tcPr>
            <w:tcW w:w="1420" w:type="dxa"/>
            <w:vAlign w:val="bottom"/>
            <w:gridSpan w:val="2"/>
          </w:tcPr>
          <w:p>
            <w:pPr>
              <w:ind w:left="20"/>
              <w:spacing w:after="0"/>
              <w:rPr>
                <w:sz w:val="20"/>
                <w:szCs w:val="20"/>
                <w:color w:val="auto"/>
              </w:rPr>
            </w:pPr>
            <w:r>
              <w:rPr>
                <w:rFonts w:ascii="Arial" w:cs="Arial" w:eastAsia="Arial" w:hAnsi="Arial"/>
                <w:sz w:val="16"/>
                <w:szCs w:val="16"/>
                <w:b w:val="1"/>
                <w:bCs w:val="1"/>
                <w:color w:val="auto"/>
              </w:rPr>
              <w:t>to</w:t>
            </w:r>
          </w:p>
        </w:tc>
        <w:tc>
          <w:tcPr>
            <w:tcW w:w="2320" w:type="dxa"/>
            <w:vAlign w:val="bottom"/>
          </w:tcPr>
          <w:p>
            <w:pPr>
              <w:spacing w:after="0"/>
              <w:rPr>
                <w:sz w:val="16"/>
                <w:szCs w:val="16"/>
                <w:color w:val="auto"/>
              </w:rPr>
            </w:pPr>
          </w:p>
        </w:tc>
      </w:tr>
      <w:tr>
        <w:trPr>
          <w:trHeight w:val="178"/>
        </w:trPr>
        <w:tc>
          <w:tcPr>
            <w:tcW w:w="14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700" w:type="dxa"/>
            <w:vAlign w:val="bottom"/>
            <w:gridSpan w:val="3"/>
          </w:tcPr>
          <w:p>
            <w:pPr>
              <w:jc w:val="center"/>
              <w:ind w:left="143"/>
              <w:spacing w:after="0" w:line="178" w:lineRule="exact"/>
              <w:rPr>
                <w:sz w:val="20"/>
                <w:szCs w:val="20"/>
                <w:color w:val="auto"/>
              </w:rPr>
            </w:pPr>
            <w:r>
              <w:rPr>
                <w:rFonts w:ascii="Arial" w:cs="Arial" w:eastAsia="Arial" w:hAnsi="Arial"/>
                <w:sz w:val="16"/>
                <w:szCs w:val="16"/>
                <w:b w:val="1"/>
                <w:bCs w:val="1"/>
                <w:color w:val="auto"/>
                <w:w w:val="91"/>
              </w:rPr>
              <w:t>Commission file number: 001-8966</w:t>
            </w: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320" w:type="dxa"/>
            <w:vAlign w:val="bottom"/>
          </w:tcPr>
          <w:p>
            <w:pPr>
              <w:spacing w:after="0"/>
              <w:rPr>
                <w:sz w:val="15"/>
                <w:szCs w:val="15"/>
                <w:color w:val="auto"/>
              </w:rPr>
            </w:pPr>
          </w:p>
        </w:tc>
      </w:tr>
      <w:tr>
        <w:trPr>
          <w:trHeight w:val="443"/>
        </w:trPr>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700" w:type="dxa"/>
            <w:vAlign w:val="bottom"/>
            <w:gridSpan w:val="3"/>
          </w:tcPr>
          <w:p>
            <w:pPr>
              <w:jc w:val="center"/>
              <w:ind w:left="123"/>
              <w:spacing w:after="0"/>
              <w:rPr>
                <w:sz w:val="20"/>
                <w:szCs w:val="20"/>
                <w:color w:val="auto"/>
              </w:rPr>
            </w:pPr>
            <w:r>
              <w:rPr>
                <w:rFonts w:ascii="Arial" w:cs="Arial" w:eastAsia="Arial" w:hAnsi="Arial"/>
                <w:sz w:val="36"/>
                <w:szCs w:val="36"/>
                <w:b w:val="1"/>
                <w:bCs w:val="1"/>
                <w:color w:val="auto"/>
                <w:w w:val="96"/>
              </w:rPr>
              <w:t>SJW GROUP</w:t>
            </w: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10"/>
        </w:trPr>
        <w:tc>
          <w:tcPr>
            <w:tcW w:w="1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60" w:type="dxa"/>
            <w:vAlign w:val="bottom"/>
            <w:gridSpan w:val="6"/>
          </w:tcPr>
          <w:p>
            <w:pPr>
              <w:jc w:val="center"/>
              <w:ind w:right="365"/>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2320" w:type="dxa"/>
            <w:vAlign w:val="bottom"/>
          </w:tcPr>
          <w:p>
            <w:pPr>
              <w:spacing w:after="0"/>
              <w:rPr>
                <w:sz w:val="18"/>
                <w:szCs w:val="18"/>
                <w:color w:val="auto"/>
              </w:rPr>
            </w:pPr>
          </w:p>
        </w:tc>
      </w:tr>
      <w:tr>
        <w:trPr>
          <w:trHeight w:val="243"/>
        </w:trPr>
        <w:tc>
          <w:tcPr>
            <w:tcW w:w="1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93"/>
              </w:rPr>
              <w:t>Delaware</w:t>
            </w: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740" w:type="dxa"/>
            <w:vAlign w:val="bottom"/>
            <w:gridSpan w:val="3"/>
          </w:tcPr>
          <w:p>
            <w:pPr>
              <w:jc w:val="right"/>
              <w:ind w:right="2039"/>
              <w:spacing w:after="0"/>
              <w:rPr>
                <w:sz w:val="20"/>
                <w:szCs w:val="20"/>
                <w:color w:val="auto"/>
              </w:rPr>
            </w:pPr>
            <w:r>
              <w:rPr>
                <w:rFonts w:ascii="Arial" w:cs="Arial" w:eastAsia="Arial" w:hAnsi="Arial"/>
                <w:sz w:val="16"/>
                <w:szCs w:val="16"/>
                <w:b w:val="1"/>
                <w:bCs w:val="1"/>
                <w:color w:val="auto"/>
              </w:rPr>
              <w:t>77-0066628</w:t>
            </w:r>
          </w:p>
        </w:tc>
      </w:tr>
      <w:tr>
        <w:trPr>
          <w:trHeight w:val="196"/>
        </w:trPr>
        <w:tc>
          <w:tcPr>
            <w:tcW w:w="6860" w:type="dxa"/>
            <w:vAlign w:val="bottom"/>
            <w:gridSpan w:val="7"/>
          </w:tcPr>
          <w:p>
            <w:pPr>
              <w:jc w:val="center"/>
              <w:ind w:right="720"/>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3740" w:type="dxa"/>
            <w:vAlign w:val="bottom"/>
            <w:gridSpan w:val="3"/>
          </w:tcPr>
          <w:p>
            <w:pPr>
              <w:jc w:val="center"/>
              <w:ind w:right="121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27"/>
        </w:trPr>
        <w:tc>
          <w:tcPr>
            <w:tcW w:w="1480" w:type="dxa"/>
            <w:vAlign w:val="bottom"/>
          </w:tcPr>
          <w:p>
            <w:pPr>
              <w:spacing w:after="0"/>
              <w:rPr>
                <w:sz w:val="24"/>
                <w:szCs w:val="24"/>
                <w:color w:val="auto"/>
              </w:rPr>
            </w:pPr>
          </w:p>
        </w:tc>
        <w:tc>
          <w:tcPr>
            <w:tcW w:w="1940" w:type="dxa"/>
            <w:vAlign w:val="bottom"/>
            <w:gridSpan w:val="2"/>
          </w:tcPr>
          <w:p>
            <w:pPr>
              <w:ind w:left="100"/>
              <w:spacing w:after="0"/>
              <w:rPr>
                <w:sz w:val="20"/>
                <w:szCs w:val="20"/>
                <w:color w:val="auto"/>
              </w:rPr>
            </w:pPr>
            <w:r>
              <w:rPr>
                <w:rFonts w:ascii="Arial" w:cs="Arial" w:eastAsia="Arial" w:hAnsi="Arial"/>
                <w:sz w:val="16"/>
                <w:szCs w:val="16"/>
                <w:b w:val="1"/>
                <w:bCs w:val="1"/>
                <w:color w:val="auto"/>
              </w:rPr>
              <w:t>110 West Taylor Street,</w:t>
            </w:r>
          </w:p>
        </w:tc>
        <w:tc>
          <w:tcPr>
            <w:tcW w:w="740" w:type="dxa"/>
            <w:vAlign w:val="bottom"/>
          </w:tcPr>
          <w:p>
            <w:pPr>
              <w:ind w:left="20"/>
              <w:spacing w:after="0"/>
              <w:rPr>
                <w:sz w:val="20"/>
                <w:szCs w:val="20"/>
                <w:color w:val="auto"/>
              </w:rPr>
            </w:pPr>
            <w:r>
              <w:rPr>
                <w:rFonts w:ascii="Arial" w:cs="Arial" w:eastAsia="Arial" w:hAnsi="Arial"/>
                <w:sz w:val="16"/>
                <w:szCs w:val="16"/>
                <w:b w:val="1"/>
                <w:bCs w:val="1"/>
                <w:color w:val="auto"/>
                <w:w w:val="93"/>
              </w:rPr>
              <w:t>San Jose,</w:t>
            </w:r>
          </w:p>
        </w:tc>
        <w:tc>
          <w:tcPr>
            <w:tcW w:w="2700" w:type="dxa"/>
            <w:vAlign w:val="bottom"/>
            <w:gridSpan w:val="3"/>
          </w:tcPr>
          <w:p>
            <w:pPr>
              <w:ind w:left="180"/>
              <w:spacing w:after="0"/>
              <w:rPr>
                <w:sz w:val="20"/>
                <w:szCs w:val="20"/>
                <w:color w:val="auto"/>
              </w:rPr>
            </w:pPr>
            <w:r>
              <w:rPr>
                <w:rFonts w:ascii="Arial" w:cs="Arial" w:eastAsia="Arial" w:hAnsi="Arial"/>
                <w:sz w:val="16"/>
                <w:szCs w:val="16"/>
                <w:b w:val="1"/>
                <w:bCs w:val="1"/>
                <w:color w:val="auto"/>
              </w:rPr>
              <w:t>CA</w:t>
            </w:r>
          </w:p>
        </w:tc>
        <w:tc>
          <w:tcPr>
            <w:tcW w:w="3740" w:type="dxa"/>
            <w:vAlign w:val="bottom"/>
            <w:gridSpan w:val="3"/>
          </w:tcPr>
          <w:p>
            <w:pPr>
              <w:jc w:val="right"/>
              <w:ind w:right="2239"/>
              <w:spacing w:after="0"/>
              <w:rPr>
                <w:sz w:val="20"/>
                <w:szCs w:val="20"/>
                <w:color w:val="auto"/>
              </w:rPr>
            </w:pPr>
            <w:r>
              <w:rPr>
                <w:rFonts w:ascii="Arial" w:cs="Arial" w:eastAsia="Arial" w:hAnsi="Arial"/>
                <w:sz w:val="16"/>
                <w:szCs w:val="16"/>
                <w:b w:val="1"/>
                <w:bCs w:val="1"/>
                <w:color w:val="auto"/>
              </w:rPr>
              <w:t>95110</w:t>
            </w:r>
          </w:p>
        </w:tc>
      </w:tr>
      <w:tr>
        <w:trPr>
          <w:trHeight w:val="186"/>
        </w:trPr>
        <w:tc>
          <w:tcPr>
            <w:tcW w:w="1480" w:type="dxa"/>
            <w:vAlign w:val="bottom"/>
          </w:tcPr>
          <w:p>
            <w:pPr>
              <w:spacing w:after="0"/>
              <w:rPr>
                <w:sz w:val="16"/>
                <w:szCs w:val="16"/>
                <w:color w:val="auto"/>
              </w:rPr>
            </w:pPr>
          </w:p>
        </w:tc>
        <w:tc>
          <w:tcPr>
            <w:tcW w:w="5380" w:type="dxa"/>
            <w:vAlign w:val="bottom"/>
            <w:gridSpan w:val="6"/>
          </w:tcPr>
          <w:p>
            <w:pPr>
              <w:jc w:val="center"/>
              <w:ind w:right="22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720" w:type="dxa"/>
            <w:vAlign w:val="bottom"/>
          </w:tcPr>
          <w:p>
            <w:pPr>
              <w:spacing w:after="0"/>
              <w:rPr>
                <w:sz w:val="16"/>
                <w:szCs w:val="16"/>
                <w:color w:val="auto"/>
              </w:rPr>
            </w:pPr>
          </w:p>
        </w:tc>
        <w:tc>
          <w:tcPr>
            <w:tcW w:w="3020" w:type="dxa"/>
            <w:vAlign w:val="bottom"/>
            <w:gridSpan w:val="2"/>
          </w:tcPr>
          <w:p>
            <w:pPr>
              <w:jc w:val="center"/>
              <w:ind w:right="1919"/>
              <w:spacing w:after="0"/>
              <w:rPr>
                <w:sz w:val="20"/>
                <w:szCs w:val="20"/>
                <w:color w:val="auto"/>
              </w:rPr>
            </w:pPr>
            <w:r>
              <w:rPr>
                <w:rFonts w:ascii="Arial" w:cs="Arial" w:eastAsia="Arial" w:hAnsi="Arial"/>
                <w:sz w:val="14"/>
                <w:szCs w:val="14"/>
                <w:b w:val="1"/>
                <w:bCs w:val="1"/>
                <w:color w:val="auto"/>
                <w:w w:val="95"/>
              </w:rPr>
              <w:t>(Zip Code)</w:t>
            </w:r>
          </w:p>
        </w:tc>
      </w:tr>
      <w:tr>
        <w:trPr>
          <w:trHeight w:val="340"/>
        </w:trPr>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40" w:type="dxa"/>
            <w:vAlign w:val="bottom"/>
            <w:gridSpan w:val="2"/>
          </w:tcPr>
          <w:p>
            <w:pPr>
              <w:jc w:val="center"/>
              <w:ind w:left="803"/>
              <w:spacing w:after="0"/>
              <w:rPr>
                <w:sz w:val="20"/>
                <w:szCs w:val="20"/>
                <w:color w:val="auto"/>
              </w:rPr>
            </w:pPr>
            <w:r>
              <w:rPr>
                <w:rFonts w:ascii="Arial" w:cs="Arial" w:eastAsia="Arial" w:hAnsi="Arial"/>
                <w:sz w:val="16"/>
                <w:szCs w:val="16"/>
                <w:b w:val="1"/>
                <w:bCs w:val="1"/>
                <w:color w:val="auto"/>
                <w:w w:val="93"/>
              </w:rPr>
              <w:t>(408) 279-7800</w:t>
            </w: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86"/>
        </w:trPr>
        <w:tc>
          <w:tcPr>
            <w:tcW w:w="1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60" w:type="dxa"/>
            <w:vAlign w:val="bottom"/>
            <w:gridSpan w:val="6"/>
          </w:tcPr>
          <w:p>
            <w:pPr>
              <w:jc w:val="center"/>
              <w:ind w:right="385"/>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320" w:type="dxa"/>
            <w:vAlign w:val="bottom"/>
          </w:tcPr>
          <w:p>
            <w:pPr>
              <w:spacing w:after="0"/>
              <w:rPr>
                <w:sz w:val="16"/>
                <w:szCs w:val="16"/>
                <w:color w:val="auto"/>
              </w:rPr>
            </w:pPr>
          </w:p>
        </w:tc>
      </w:tr>
      <w:tr>
        <w:trPr>
          <w:trHeight w:val="205"/>
        </w:trPr>
        <w:tc>
          <w:tcPr>
            <w:tcW w:w="1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2"/>
              </w:rPr>
              <w:t>Not Applicable</w:t>
            </w: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186"/>
        </w:trPr>
        <w:tc>
          <w:tcPr>
            <w:tcW w:w="1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580" w:type="dxa"/>
            <w:vAlign w:val="bottom"/>
            <w:gridSpan w:val="7"/>
          </w:tcPr>
          <w:p>
            <w:pPr>
              <w:jc w:val="center"/>
              <w:ind w:left="204"/>
              <w:spacing w:after="0"/>
              <w:rPr>
                <w:sz w:val="20"/>
                <w:szCs w:val="20"/>
                <w:color w:val="auto"/>
              </w:rPr>
            </w:pPr>
            <w:r>
              <w:rPr>
                <w:rFonts w:ascii="Arial" w:cs="Arial" w:eastAsia="Arial" w:hAnsi="Arial"/>
                <w:sz w:val="14"/>
                <w:szCs w:val="14"/>
                <w:b w:val="1"/>
                <w:bCs w:val="1"/>
                <w:color w:val="auto"/>
                <w:w w:val="92"/>
              </w:rPr>
              <w:t>(Former name, former address and former fiscal year, if changed since last report)</w:t>
            </w:r>
          </w:p>
        </w:tc>
        <w:tc>
          <w:tcPr>
            <w:tcW w:w="2320" w:type="dxa"/>
            <w:vAlign w:val="bottom"/>
          </w:tcPr>
          <w:p>
            <w:pPr>
              <w:spacing w:after="0"/>
              <w:rPr>
                <w:sz w:val="16"/>
                <w:szCs w:val="16"/>
                <w:color w:val="auto"/>
              </w:rPr>
            </w:pPr>
          </w:p>
        </w:tc>
      </w:tr>
      <w:tr>
        <w:trPr>
          <w:trHeight w:val="203"/>
        </w:trPr>
        <w:tc>
          <w:tcPr>
            <w:tcW w:w="1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60" w:type="dxa"/>
            <w:vAlign w:val="bottom"/>
            <w:gridSpan w:val="6"/>
          </w:tcPr>
          <w:p>
            <w:pPr>
              <w:jc w:val="center"/>
              <w:ind w:right="385"/>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2320" w:type="dxa"/>
            <w:vAlign w:val="bottom"/>
          </w:tcPr>
          <w:p>
            <w:pPr>
              <w:spacing w:after="0"/>
              <w:rPr>
                <w:sz w:val="17"/>
                <w:szCs w:val="17"/>
                <w:color w:val="auto"/>
              </w:rPr>
            </w:pPr>
          </w:p>
        </w:tc>
      </w:tr>
      <w:tr>
        <w:trPr>
          <w:trHeight w:val="228"/>
        </w:trPr>
        <w:tc>
          <w:tcPr>
            <w:tcW w:w="1480" w:type="dxa"/>
            <w:vAlign w:val="bottom"/>
          </w:tcPr>
          <w:p>
            <w:pPr>
              <w:spacing w:after="0"/>
              <w:rPr>
                <w:sz w:val="19"/>
                <w:szCs w:val="19"/>
                <w:color w:val="auto"/>
              </w:rPr>
            </w:pPr>
          </w:p>
        </w:tc>
        <w:tc>
          <w:tcPr>
            <w:tcW w:w="1940" w:type="dxa"/>
            <w:vAlign w:val="bottom"/>
            <w:gridSpan w:val="2"/>
          </w:tcPr>
          <w:p>
            <w:pPr>
              <w:jc w:val="center"/>
              <w:ind w:right="644"/>
              <w:spacing w:after="0"/>
              <w:rPr>
                <w:sz w:val="20"/>
                <w:szCs w:val="20"/>
                <w:color w:val="auto"/>
              </w:rPr>
            </w:pPr>
            <w:r>
              <w:rPr>
                <w:rFonts w:ascii="Arial" w:cs="Arial" w:eastAsia="Arial" w:hAnsi="Arial"/>
                <w:sz w:val="16"/>
                <w:szCs w:val="16"/>
                <w:b w:val="1"/>
                <w:bCs w:val="1"/>
                <w:color w:val="auto"/>
                <w:w w:val="88"/>
              </w:rPr>
              <w:t>Title of each class</w:t>
            </w:r>
          </w:p>
        </w:tc>
        <w:tc>
          <w:tcPr>
            <w:tcW w:w="740" w:type="dxa"/>
            <w:vAlign w:val="bottom"/>
          </w:tcPr>
          <w:p>
            <w:pPr>
              <w:spacing w:after="0"/>
              <w:rPr>
                <w:sz w:val="19"/>
                <w:szCs w:val="19"/>
                <w:color w:val="auto"/>
              </w:rPr>
            </w:pPr>
          </w:p>
        </w:tc>
        <w:tc>
          <w:tcPr>
            <w:tcW w:w="2700" w:type="dxa"/>
            <w:vAlign w:val="bottom"/>
            <w:gridSpan w:val="3"/>
          </w:tcPr>
          <w:p>
            <w:pPr>
              <w:jc w:val="center"/>
              <w:ind w:left="3"/>
              <w:spacing w:after="0"/>
              <w:rPr>
                <w:sz w:val="20"/>
                <w:szCs w:val="20"/>
                <w:color w:val="auto"/>
              </w:rPr>
            </w:pPr>
            <w:r>
              <w:rPr>
                <w:rFonts w:ascii="Arial" w:cs="Arial" w:eastAsia="Arial" w:hAnsi="Arial"/>
                <w:sz w:val="16"/>
                <w:szCs w:val="16"/>
                <w:b w:val="1"/>
                <w:bCs w:val="1"/>
                <w:color w:val="auto"/>
                <w:w w:val="91"/>
              </w:rPr>
              <w:t>Trading Symbol(s)</w:t>
            </w:r>
          </w:p>
        </w:tc>
        <w:tc>
          <w:tcPr>
            <w:tcW w:w="720" w:type="dxa"/>
            <w:vAlign w:val="bottom"/>
          </w:tcPr>
          <w:p>
            <w:pPr>
              <w:spacing w:after="0"/>
              <w:rPr>
                <w:sz w:val="19"/>
                <w:szCs w:val="19"/>
                <w:color w:val="auto"/>
              </w:rPr>
            </w:pPr>
          </w:p>
        </w:tc>
        <w:tc>
          <w:tcPr>
            <w:tcW w:w="3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
        </w:trPr>
        <w:tc>
          <w:tcPr>
            <w:tcW w:w="14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20" w:type="dxa"/>
            <w:vAlign w:val="bottom"/>
            <w:gridSpan w:val="2"/>
            <w:shd w:val="clear" w:color="auto" w:fill="000000"/>
          </w:tcPr>
          <w:p>
            <w:pPr>
              <w:spacing w:after="0" w:line="20" w:lineRule="exact"/>
              <w:rPr>
                <w:sz w:val="1"/>
                <w:szCs w:val="1"/>
                <w:color w:val="auto"/>
              </w:rPr>
            </w:pPr>
          </w:p>
        </w:tc>
      </w:tr>
      <w:tr>
        <w:trPr>
          <w:trHeight w:val="198"/>
        </w:trPr>
        <w:tc>
          <w:tcPr>
            <w:tcW w:w="3420" w:type="dxa"/>
            <w:vAlign w:val="bottom"/>
            <w:gridSpan w:val="3"/>
          </w:tcPr>
          <w:p>
            <w:pPr>
              <w:jc w:val="center"/>
              <w:ind w:left="704"/>
              <w:spacing w:after="0"/>
              <w:rPr>
                <w:sz w:val="20"/>
                <w:szCs w:val="20"/>
                <w:color w:val="auto"/>
              </w:rPr>
            </w:pPr>
            <w:r>
              <w:rPr>
                <w:rFonts w:ascii="Arial" w:cs="Arial" w:eastAsia="Arial" w:hAnsi="Arial"/>
                <w:sz w:val="14"/>
                <w:szCs w:val="14"/>
                <w:b w:val="1"/>
                <w:bCs w:val="1"/>
                <w:color w:val="auto"/>
                <w:w w:val="92"/>
              </w:rPr>
              <w:t>Common Stock, par value $0.001 per share</w:t>
            </w: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8"/>
              </w:rPr>
              <w:t>SJW</w:t>
            </w:r>
          </w:p>
        </w:tc>
        <w:tc>
          <w:tcPr>
            <w:tcW w:w="720" w:type="dxa"/>
            <w:vAlign w:val="bottom"/>
          </w:tcPr>
          <w:p>
            <w:pPr>
              <w:spacing w:after="0"/>
              <w:rPr>
                <w:sz w:val="17"/>
                <w:szCs w:val="17"/>
                <w:color w:val="auto"/>
              </w:rPr>
            </w:pPr>
          </w:p>
        </w:tc>
        <w:tc>
          <w:tcPr>
            <w:tcW w:w="3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New York Stock Exchange LLC</w:t>
            </w:r>
          </w:p>
        </w:tc>
      </w:tr>
      <w:tr>
        <w:trPr>
          <w:trHeight w:val="322"/>
        </w:trPr>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60" w:type="dxa"/>
            <w:vAlign w:val="bottom"/>
            <w:gridSpan w:val="6"/>
          </w:tcPr>
          <w:p>
            <w:pPr>
              <w:jc w:val="center"/>
              <w:ind w:right="385"/>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2320" w:type="dxa"/>
            <w:vAlign w:val="bottom"/>
          </w:tcPr>
          <w:p>
            <w:pPr>
              <w:spacing w:after="0"/>
              <w:rPr>
                <w:sz w:val="24"/>
                <w:szCs w:val="24"/>
                <w:color w:val="auto"/>
              </w:rPr>
            </w:pPr>
          </w:p>
        </w:tc>
      </w:tr>
      <w:tr>
        <w:trPr>
          <w:trHeight w:val="210"/>
        </w:trPr>
        <w:tc>
          <w:tcPr>
            <w:tcW w:w="1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4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89"/>
              </w:rPr>
              <w:t>None</w:t>
            </w: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88"/>
        </w:trPr>
        <w:tc>
          <w:tcPr>
            <w:tcW w:w="8280" w:type="dxa"/>
            <w:vAlign w:val="bottom"/>
            <w:gridSpan w:val="9"/>
          </w:tcPr>
          <w:p>
            <w:pPr>
              <w:spacing w:after="0" w:line="184" w:lineRule="exact"/>
              <w:rPr>
                <w:sz w:val="20"/>
                <w:szCs w:val="20"/>
                <w:color w:val="auto"/>
              </w:rPr>
            </w:pPr>
            <w:r>
              <w:rPr>
                <w:rFonts w:ascii="Arial" w:cs="Arial" w:eastAsia="Arial" w:hAnsi="Arial"/>
                <w:sz w:val="16"/>
                <w:szCs w:val="16"/>
                <w:color w:val="auto"/>
                <w:w w:val="93"/>
              </w:rPr>
              <w:t xml:space="preserve">Indicate by check mark if the registrant is a well-known seasoned issuer, as defined in Rule 405 of the Securities Act. Yes </w:t>
            </w:r>
            <w:r>
              <w:rPr>
                <w:rFonts w:ascii="MS PGothic" w:cs="MS PGothic" w:eastAsia="MS PGothic" w:hAnsi="MS PGothic"/>
                <w:sz w:val="16"/>
                <w:szCs w:val="16"/>
                <w:color w:val="auto"/>
                <w:highlight w:val="black"/>
                <w:w w:val="93"/>
              </w:rPr>
              <w:t>☒</w:t>
            </w:r>
          </w:p>
        </w:tc>
        <w:tc>
          <w:tcPr>
            <w:tcW w:w="2320" w:type="dxa"/>
            <w:vAlign w:val="bottom"/>
          </w:tcPr>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highlight w:val="black"/>
              </w:rPr>
              <w:t>☐</w:t>
            </w:r>
          </w:p>
        </w:tc>
      </w:tr>
      <w:tr>
        <w:trPr>
          <w:trHeight w:val="270"/>
        </w:trPr>
        <w:tc>
          <w:tcPr>
            <w:tcW w:w="8280" w:type="dxa"/>
            <w:vAlign w:val="bottom"/>
            <w:gridSpan w:val="9"/>
          </w:tcPr>
          <w:p>
            <w:pPr>
              <w:spacing w:after="0" w:line="184" w:lineRule="exact"/>
              <w:rPr>
                <w:sz w:val="20"/>
                <w:szCs w:val="20"/>
                <w:color w:val="auto"/>
              </w:rPr>
            </w:pPr>
            <w:r>
              <w:rPr>
                <w:rFonts w:ascii="Arial" w:cs="Arial" w:eastAsia="Arial" w:hAnsi="Arial"/>
                <w:sz w:val="16"/>
                <w:szCs w:val="16"/>
                <w:color w:val="auto"/>
                <w:w w:val="92"/>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highlight w:val="black"/>
                <w:w w:val="92"/>
              </w:rPr>
              <w:t>☐</w:t>
            </w:r>
          </w:p>
        </w:tc>
        <w:tc>
          <w:tcPr>
            <w:tcW w:w="2320" w:type="dxa"/>
            <w:vAlign w:val="bottom"/>
          </w:tcPr>
          <w:p>
            <w:pPr>
              <w:ind w:left="14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bl>
    <w:p>
      <w:pPr>
        <w:spacing w:after="0" w:line="32" w:lineRule="exact"/>
        <w:rPr>
          <w:sz w:val="24"/>
          <w:szCs w:val="24"/>
          <w:color w:val="auto"/>
        </w:rPr>
      </w:pPr>
    </w:p>
    <w:p>
      <w:pPr>
        <w:spacing w:after="0" w:line="277"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highlight w:val="black"/>
        </w:rPr>
        <w:t>☐</w:t>
      </w:r>
    </w:p>
    <w:p>
      <w:pPr>
        <w:spacing w:after="0" w:line="78"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highlight w:val="black"/>
        </w:rPr>
        <w:t>☐</w:t>
      </w:r>
    </w:p>
    <w:p>
      <w:pPr>
        <w:spacing w:after="0" w:line="46" w:lineRule="exact"/>
        <w:rPr>
          <w:sz w:val="24"/>
          <w:szCs w:val="24"/>
          <w:color w:val="auto"/>
        </w:rPr>
      </w:pPr>
    </w:p>
    <w:p>
      <w:pPr>
        <w:ind w:right="80"/>
        <w:spacing w:after="0" w:line="31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definition of “large accelerated filer,” “accelerated filer,” “smaller reporting company,” and “emerging growth company,” in Rule 12b-2 of the Exchange Act.</w:t>
      </w:r>
    </w:p>
    <w:p>
      <w:pPr>
        <w:spacing w:after="0" w:line="1" w:lineRule="exact"/>
        <w:rPr>
          <w:sz w:val="24"/>
          <w:szCs w:val="24"/>
          <w:color w:val="auto"/>
        </w:rPr>
      </w:pPr>
    </w:p>
    <w:p>
      <w:pPr>
        <w:spacing w:after="0" w:line="184" w:lineRule="exact"/>
        <w:tabs>
          <w:tab w:leader="none" w:pos="1820" w:val="left"/>
          <w:tab w:leader="none" w:pos="3300" w:val="left"/>
          <w:tab w:leader="none" w:pos="506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Accelerated filer </w:t>
      </w:r>
      <w:r>
        <w:rPr>
          <w:rFonts w:ascii="MS PGothic" w:cs="MS PGothic" w:eastAsia="MS PGothic" w:hAnsi="MS PGothic"/>
          <w:sz w:val="16"/>
          <w:szCs w:val="16"/>
          <w:color w:val="auto"/>
          <w:highlight w:val="black"/>
        </w:rPr>
        <w:t>☐</w:t>
      </w:r>
      <w:r>
        <w:rPr>
          <w:rFonts w:ascii="Arial" w:cs="Arial" w:eastAsia="Arial" w:hAnsi="Arial"/>
          <w:sz w:val="16"/>
          <w:szCs w:val="16"/>
          <w:color w:val="auto"/>
        </w:rPr>
        <w:tab/>
        <w:t xml:space="preserve">Non-accelerated filer </w:t>
      </w:r>
      <w:r>
        <w:rPr>
          <w:rFonts w:ascii="MS PGothic" w:cs="MS PGothic" w:eastAsia="MS PGothic" w:hAnsi="MS PGothic"/>
          <w:sz w:val="16"/>
          <w:szCs w:val="16"/>
          <w:color w:val="auto"/>
          <w:highlight w:val="black"/>
        </w:rPr>
        <w:t>☐</w:t>
      </w:r>
      <w:r>
        <w:rPr>
          <w:sz w:val="20"/>
          <w:szCs w:val="20"/>
          <w:color w:val="auto"/>
        </w:rPr>
        <w:tab/>
      </w: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highlight w:val="black"/>
        </w:rPr>
        <w:t>☐</w:t>
      </w:r>
      <w:r>
        <w:rPr>
          <w:rFonts w:ascii="Arial" w:cs="Arial" w:eastAsia="Arial" w:hAnsi="Arial"/>
          <w:sz w:val="15"/>
          <w:szCs w:val="15"/>
          <w:color w:val="auto"/>
        </w:rPr>
        <w:t xml:space="preserve"> Emerging growth company </w:t>
      </w:r>
      <w:r>
        <w:rPr>
          <w:rFonts w:ascii="MS PGothic" w:cs="MS PGothic" w:eastAsia="MS PGothic" w:hAnsi="MS PGothic"/>
          <w:sz w:val="15"/>
          <w:szCs w:val="15"/>
          <w:color w:val="auto"/>
          <w:highlight w:val="black"/>
        </w:rPr>
        <w:t>☐</w:t>
      </w:r>
    </w:p>
    <w:p>
      <w:pPr>
        <w:spacing w:after="0" w:line="116"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47" w:lineRule="exact"/>
        <w:rPr>
          <w:sz w:val="24"/>
          <w:szCs w:val="24"/>
          <w:color w:val="auto"/>
        </w:rPr>
      </w:pPr>
    </w:p>
    <w:p>
      <w:pPr>
        <w:ind w:right="160"/>
        <w:spacing w:after="0" w:line="20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6" w:lineRule="exact"/>
        <w:rPr>
          <w:sz w:val="24"/>
          <w:szCs w:val="24"/>
          <w:color w:val="auto"/>
        </w:rPr>
      </w:pPr>
    </w:p>
    <w:p>
      <w:pPr>
        <w:ind w:right="300"/>
        <w:spacing w:after="0" w:line="214"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highlight w:val="black"/>
        </w:rPr>
        <w:t>☐</w:t>
      </w:r>
    </w:p>
    <w:p>
      <w:pPr>
        <w:spacing w:after="0" w:line="33" w:lineRule="exact"/>
        <w:rPr>
          <w:sz w:val="24"/>
          <w:szCs w:val="24"/>
          <w:color w:val="auto"/>
        </w:rPr>
      </w:pPr>
    </w:p>
    <w:p>
      <w:pPr>
        <w:ind w:right="320"/>
        <w:spacing w:after="0" w:line="214"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highlight w:val="black"/>
        </w:rPr>
        <w:t>☐</w:t>
      </w:r>
    </w:p>
    <w:p>
      <w:pPr>
        <w:spacing w:after="0" w:line="3" w:lineRule="exact"/>
        <w:rPr>
          <w:sz w:val="24"/>
          <w:szCs w:val="24"/>
          <w:color w:val="auto"/>
        </w:rPr>
      </w:pPr>
    </w:p>
    <w:p>
      <w:pPr>
        <w:spacing w:after="0" w:line="184" w:lineRule="exact"/>
        <w:tabs>
          <w:tab w:leader="none" w:pos="7500" w:val="left"/>
          <w:tab w:leader="none" w:pos="81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highlight w:val="black"/>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ind w:right="340"/>
        <w:spacing w:after="0" w:line="275" w:lineRule="auto"/>
        <w:rPr>
          <w:sz w:val="20"/>
          <w:szCs w:val="20"/>
          <w:color w:val="auto"/>
        </w:rPr>
      </w:pPr>
      <w:r>
        <w:rPr>
          <w:rFonts w:ascii="Arial" w:cs="Arial" w:eastAsia="Arial" w:hAnsi="Arial"/>
          <w:sz w:val="16"/>
          <w:szCs w:val="16"/>
          <w:color w:val="auto"/>
        </w:rPr>
        <w:t>As of June 30, 2022, the aggregate market value of the registrant’s common stock held by non-affiliates of the registrant was approximately $1,879 million based on the closing sale price as reported on the New York Stock Exchange.</w:t>
      </w: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16, 2023, 30,846,574 shares of the registrant’s common stock, par value, $0.001 per share, were outstanding.</w:t>
      </w:r>
    </w:p>
    <w:p>
      <w:pPr>
        <w:spacing w:after="0" w:line="82"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90" w:lineRule="exact"/>
        <w:rPr>
          <w:sz w:val="24"/>
          <w:szCs w:val="24"/>
          <w:color w:val="auto"/>
        </w:rPr>
      </w:pPr>
    </w:p>
    <w:p>
      <w:pPr>
        <w:ind w:right="160"/>
        <w:spacing w:after="0" w:line="275" w:lineRule="auto"/>
        <w:rPr>
          <w:sz w:val="20"/>
          <w:szCs w:val="20"/>
          <w:color w:val="auto"/>
        </w:rPr>
      </w:pPr>
      <w:r>
        <w:rPr>
          <w:rFonts w:ascii="Arial" w:cs="Arial" w:eastAsia="Arial" w:hAnsi="Arial"/>
          <w:sz w:val="16"/>
          <w:szCs w:val="16"/>
          <w:color w:val="auto"/>
        </w:rPr>
        <w:t>Portions of the registrant’s Proxy Statement relating to the registrant’s Annual Meeting of Stockholders are incorporated by reference into Part III of this Form 10-K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0" w:type="dxa"/>
            <w:vAlign w:val="bottom"/>
            <w:gridSpan w:val="9"/>
          </w:tcPr>
          <w:p>
            <w:pPr>
              <w:jc w:val="center"/>
              <w:ind w:right="3400"/>
              <w:spacing w:after="0"/>
              <w:rPr>
                <w:sz w:val="20"/>
                <w:szCs w:val="20"/>
                <w:color w:val="auto"/>
              </w:rPr>
            </w:pPr>
            <w:r>
              <w:rPr>
                <w:rFonts w:ascii="Arial" w:cs="Arial" w:eastAsia="Arial" w:hAnsi="Arial"/>
                <w:sz w:val="18"/>
                <w:szCs w:val="18"/>
                <w:b w:val="1"/>
                <w:bCs w:val="1"/>
                <w:color w:val="auto"/>
                <w:w w:val="98"/>
              </w:rPr>
              <w:t>TABLE OF CONTENTS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gridSpan w:val="5"/>
          </w:tcPr>
          <w:p>
            <w:pPr>
              <w:ind w:left="3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4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82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780" w:type="dxa"/>
            <w:vAlign w:val="bottom"/>
            <w:vMerge w:val="restart"/>
          </w:tcPr>
          <w:p>
            <w:pPr>
              <w:spacing w:after="0"/>
              <w:rPr>
                <w:sz w:val="2"/>
                <w:szCs w:val="2"/>
                <w:color w:val="auto"/>
              </w:rPr>
            </w:pPr>
          </w:p>
        </w:tc>
        <w:tc>
          <w:tcPr>
            <w:tcW w:w="5220" w:type="dxa"/>
            <w:vAlign w:val="bottom"/>
            <w:gridSpan w:val="8"/>
            <w:vMerge w:val="restart"/>
          </w:tcPr>
          <w:p>
            <w:pPr>
              <w:jc w:val="center"/>
              <w:ind w:right="4200"/>
              <w:spacing w:after="0"/>
              <w:rPr>
                <w:sz w:val="20"/>
                <w:szCs w:val="20"/>
                <w:color w:val="auto"/>
              </w:rPr>
            </w:pPr>
            <w:r>
              <w:rPr>
                <w:rFonts w:ascii="Arial" w:cs="Arial" w:eastAsia="Arial" w:hAnsi="Arial"/>
                <w:sz w:val="18"/>
                <w:szCs w:val="18"/>
                <w:b w:val="1"/>
                <w:bCs w:val="1"/>
                <w:color w:val="auto"/>
                <w:w w:val="98"/>
              </w:rPr>
              <w:t>PART I</w:t>
            </w: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5220" w:type="dxa"/>
            <w:vAlign w:val="bottom"/>
            <w:gridSpan w:val="8"/>
            <w:vMerge w:val="continue"/>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80" w:type="dxa"/>
            <w:vAlign w:val="bottom"/>
            <w:gridSpan w:val="6"/>
          </w:tcPr>
          <w:p>
            <w:pPr>
              <w:spacing w:after="0"/>
              <w:rPr>
                <w:sz w:val="20"/>
                <w:szCs w:val="20"/>
                <w:color w:val="auto"/>
              </w:rPr>
            </w:pPr>
            <w:r>
              <w:rPr>
                <w:rFonts w:ascii="Arial" w:cs="Arial" w:eastAsia="Arial" w:hAnsi="Arial"/>
                <w:sz w:val="18"/>
                <w:szCs w:val="18"/>
                <w:b w:val="1"/>
                <w:bCs w:val="1"/>
                <w:color w:val="0000FF"/>
                <w:w w:val="90"/>
              </w:rPr>
              <w:t>Forward-Looking Statements</w:t>
            </w:r>
          </w:p>
        </w:tc>
        <w:tc>
          <w:tcPr>
            <w:tcW w:w="8020" w:type="dxa"/>
            <w:vAlign w:val="bottom"/>
            <w:gridSpan w:val="15"/>
          </w:tcPr>
          <w:p>
            <w:pPr>
              <w:spacing w:after="0"/>
              <w:rPr>
                <w:sz w:val="21"/>
                <w:szCs w:val="21"/>
                <w:color w:val="auto"/>
              </w:rPr>
            </w:pP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0000FF"/>
              </w:rPr>
              <w:t>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20" w:type="dxa"/>
            <w:vAlign w:val="bottom"/>
          </w:tcPr>
          <w:p>
            <w:pPr>
              <w:spacing w:after="0"/>
              <w:rPr>
                <w:sz w:val="20"/>
                <w:szCs w:val="20"/>
                <w:color w:val="auto"/>
              </w:rPr>
            </w:pPr>
            <w:r>
              <w:rPr>
                <w:rFonts w:ascii="Arial" w:cs="Arial" w:eastAsia="Arial" w:hAnsi="Arial"/>
                <w:sz w:val="18"/>
                <w:szCs w:val="18"/>
                <w:color w:val="0000FF"/>
                <w:w w:val="82"/>
              </w:rPr>
              <w:t>Business</w:t>
            </w:r>
          </w:p>
        </w:tc>
        <w:tc>
          <w:tcPr>
            <w:tcW w:w="660" w:type="dxa"/>
            <w:vAlign w:val="bottom"/>
            <w:gridSpan w:val="3"/>
          </w:tcPr>
          <w:p>
            <w:pPr>
              <w:spacing w:after="0"/>
              <w:rPr>
                <w:sz w:val="18"/>
                <w:szCs w:val="18"/>
                <w:color w:val="auto"/>
              </w:rPr>
            </w:pPr>
          </w:p>
        </w:tc>
        <w:tc>
          <w:tcPr>
            <w:tcW w:w="8020" w:type="dxa"/>
            <w:vAlign w:val="bottom"/>
            <w:gridSpan w:val="15"/>
          </w:tcPr>
          <w:p>
            <w:pPr>
              <w:spacing w:after="0"/>
              <w:rPr>
                <w:sz w:val="18"/>
                <w:szCs w:val="18"/>
                <w:color w:val="auto"/>
              </w:rPr>
            </w:pP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0000FF"/>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300" w:type="dxa"/>
            <w:vAlign w:val="bottom"/>
            <w:gridSpan w:val="19"/>
          </w:tcPr>
          <w:p>
            <w:pPr>
              <w:spacing w:after="0"/>
              <w:rPr>
                <w:sz w:val="20"/>
                <w:szCs w:val="20"/>
                <w:color w:val="auto"/>
              </w:rPr>
            </w:pPr>
            <w:r>
              <w:rPr>
                <w:rFonts w:ascii="Arial" w:cs="Arial" w:eastAsia="Arial" w:hAnsi="Arial"/>
                <w:sz w:val="18"/>
                <w:szCs w:val="18"/>
                <w:color w:val="0000FF"/>
              </w:rPr>
              <w:t>Risk Factors</w:t>
            </w: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0000FF"/>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9300" w:type="dxa"/>
            <w:vAlign w:val="bottom"/>
            <w:gridSpan w:val="19"/>
          </w:tcPr>
          <w:p>
            <w:pPr>
              <w:spacing w:after="0"/>
              <w:rPr>
                <w:sz w:val="20"/>
                <w:szCs w:val="20"/>
                <w:color w:val="auto"/>
              </w:rPr>
            </w:pPr>
            <w:r>
              <w:rPr>
                <w:rFonts w:ascii="Arial" w:cs="Arial" w:eastAsia="Arial" w:hAnsi="Arial"/>
                <w:sz w:val="18"/>
                <w:szCs w:val="18"/>
                <w:color w:val="0000FF"/>
              </w:rPr>
              <w:t>Unresolved Staff Comments</w:t>
            </w: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0000FF"/>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3"/>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2020" w:type="dxa"/>
            <w:vAlign w:val="bottom"/>
            <w:gridSpan w:val="7"/>
          </w:tcPr>
          <w:p>
            <w:pPr>
              <w:spacing w:after="0"/>
              <w:rPr>
                <w:sz w:val="20"/>
                <w:szCs w:val="20"/>
                <w:color w:val="auto"/>
              </w:rPr>
            </w:pPr>
            <w:r>
              <w:rPr>
                <w:rFonts w:ascii="Arial" w:cs="Arial" w:eastAsia="Arial" w:hAnsi="Arial"/>
                <w:sz w:val="18"/>
                <w:szCs w:val="18"/>
                <w:color w:val="0000FF"/>
              </w:rPr>
              <w:t>Properties</w:t>
            </w:r>
          </w:p>
        </w:tc>
        <w:tc>
          <w:tcPr>
            <w:tcW w:w="7280" w:type="dxa"/>
            <w:vAlign w:val="bottom"/>
            <w:gridSpan w:val="12"/>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300" w:type="dxa"/>
            <w:vAlign w:val="bottom"/>
            <w:gridSpan w:val="5"/>
          </w:tcPr>
          <w:p>
            <w:pPr>
              <w:spacing w:after="0"/>
              <w:rPr>
                <w:sz w:val="20"/>
                <w:szCs w:val="20"/>
                <w:color w:val="auto"/>
              </w:rPr>
            </w:pPr>
            <w:r>
              <w:rPr>
                <w:rFonts w:ascii="Arial" w:cs="Arial" w:eastAsia="Arial" w:hAnsi="Arial"/>
                <w:sz w:val="18"/>
                <w:szCs w:val="18"/>
                <w:color w:val="0000FF"/>
                <w:w w:val="84"/>
              </w:rPr>
              <w:t>Legal Proceedings</w:t>
            </w:r>
          </w:p>
        </w:tc>
        <w:tc>
          <w:tcPr>
            <w:tcW w:w="8000" w:type="dxa"/>
            <w:vAlign w:val="bottom"/>
            <w:gridSpan w:val="14"/>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9"/>
          </w:tcPr>
          <w:p>
            <w:pPr>
              <w:spacing w:after="0"/>
              <w:rPr>
                <w:sz w:val="20"/>
                <w:szCs w:val="20"/>
                <w:color w:val="auto"/>
              </w:rPr>
            </w:pPr>
            <w:r>
              <w:rPr>
                <w:rFonts w:ascii="Arial" w:cs="Arial" w:eastAsia="Arial" w:hAnsi="Arial"/>
                <w:sz w:val="18"/>
                <w:szCs w:val="18"/>
                <w:color w:val="0000FF"/>
              </w:rPr>
              <w:t>Mine Safety Disclosures</w:t>
            </w: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0000FF"/>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20" w:type="dxa"/>
            <w:vAlign w:val="bottom"/>
            <w:gridSpan w:val="8"/>
          </w:tcPr>
          <w:p>
            <w:pPr>
              <w:jc w:val="center"/>
              <w:ind w:right="4220"/>
              <w:spacing w:after="0"/>
              <w:rPr>
                <w:sz w:val="20"/>
                <w:szCs w:val="20"/>
                <w:color w:val="auto"/>
              </w:rPr>
            </w:pPr>
            <w:r>
              <w:rPr>
                <w:rFonts w:ascii="Arial" w:cs="Arial" w:eastAsia="Arial" w:hAnsi="Arial"/>
                <w:sz w:val="18"/>
                <w:szCs w:val="18"/>
                <w:b w:val="1"/>
                <w:bCs w:val="1"/>
                <w:color w:val="auto"/>
                <w:w w:val="99"/>
              </w:rPr>
              <w:t>PART II</w:t>
            </w:r>
          </w:p>
        </w:tc>
        <w:tc>
          <w:tcPr>
            <w:tcW w:w="6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060" w:type="dxa"/>
            <w:vAlign w:val="bottom"/>
            <w:gridSpan w:val="18"/>
          </w:tcPr>
          <w:p>
            <w:pPr>
              <w:spacing w:after="0"/>
              <w:rPr>
                <w:sz w:val="20"/>
                <w:szCs w:val="20"/>
                <w:color w:val="auto"/>
              </w:rPr>
            </w:pPr>
            <w:r>
              <w:rPr>
                <w:rFonts w:ascii="Arial" w:cs="Arial" w:eastAsia="Arial" w:hAnsi="Arial"/>
                <w:sz w:val="18"/>
                <w:szCs w:val="18"/>
                <w:color w:val="0000FF"/>
                <w:w w:val="90"/>
              </w:rPr>
              <w:t>Market for Registrant’s Common Equity, Related Stockholder Matters and Issuer Purchases of Equity Securities</w:t>
            </w:r>
          </w:p>
        </w:tc>
        <w:tc>
          <w:tcPr>
            <w:tcW w:w="1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28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3"/>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060" w:type="dxa"/>
            <w:vAlign w:val="bottom"/>
            <w:gridSpan w:val="18"/>
          </w:tcPr>
          <w:p>
            <w:pPr>
              <w:spacing w:after="0"/>
              <w:rPr>
                <w:sz w:val="20"/>
                <w:szCs w:val="20"/>
                <w:color w:val="auto"/>
              </w:rPr>
            </w:pPr>
            <w:r>
              <w:rPr>
                <w:rFonts w:ascii="Arial" w:cs="Arial" w:eastAsia="Arial" w:hAnsi="Arial"/>
                <w:sz w:val="18"/>
                <w:szCs w:val="18"/>
                <w:color w:val="0000FF"/>
              </w:rPr>
              <w:t>[Reserved]</w:t>
            </w: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7.</w:t>
            </w:r>
          </w:p>
        </w:tc>
        <w:tc>
          <w:tcPr>
            <w:tcW w:w="6440" w:type="dxa"/>
            <w:vAlign w:val="bottom"/>
            <w:gridSpan w:val="15"/>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860" w:type="dxa"/>
            <w:vAlign w:val="bottom"/>
            <w:gridSpan w:val="4"/>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340" w:type="dxa"/>
            <w:vAlign w:val="bottom"/>
            <w:gridSpan w:val="12"/>
          </w:tcPr>
          <w:p>
            <w:pPr>
              <w:spacing w:after="0"/>
              <w:rPr>
                <w:sz w:val="20"/>
                <w:szCs w:val="20"/>
                <w:color w:val="auto"/>
              </w:rPr>
            </w:pPr>
            <w:r>
              <w:rPr>
                <w:rFonts w:ascii="Arial" w:cs="Arial" w:eastAsia="Arial" w:hAnsi="Arial"/>
                <w:sz w:val="18"/>
                <w:szCs w:val="18"/>
                <w:color w:val="0000FF"/>
                <w:w w:val="91"/>
              </w:rPr>
              <w:t>Quantitative and Qualitative Disclosures About Market Risk</w:t>
            </w:r>
          </w:p>
        </w:tc>
        <w:tc>
          <w:tcPr>
            <w:tcW w:w="2100" w:type="dxa"/>
            <w:vAlign w:val="bottom"/>
            <w:gridSpan w:val="3"/>
          </w:tcPr>
          <w:p>
            <w:pPr>
              <w:spacing w:after="0"/>
              <w:rPr>
                <w:sz w:val="18"/>
                <w:szCs w:val="18"/>
                <w:color w:val="auto"/>
              </w:rPr>
            </w:pPr>
          </w:p>
        </w:tc>
        <w:tc>
          <w:tcPr>
            <w:tcW w:w="2860" w:type="dxa"/>
            <w:vAlign w:val="bottom"/>
            <w:gridSpan w:val="4"/>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8.</w:t>
            </w:r>
          </w:p>
        </w:tc>
        <w:tc>
          <w:tcPr>
            <w:tcW w:w="4340" w:type="dxa"/>
            <w:vAlign w:val="bottom"/>
            <w:gridSpan w:val="12"/>
          </w:tcPr>
          <w:p>
            <w:pPr>
              <w:spacing w:after="0"/>
              <w:rPr>
                <w:sz w:val="20"/>
                <w:szCs w:val="20"/>
                <w:color w:val="auto"/>
              </w:rPr>
            </w:pPr>
            <w:r>
              <w:rPr>
                <w:rFonts w:ascii="Arial" w:cs="Arial" w:eastAsia="Arial" w:hAnsi="Arial"/>
                <w:sz w:val="18"/>
                <w:szCs w:val="18"/>
                <w:color w:val="0000FF"/>
              </w:rPr>
              <w:t>Financial Statements and Supplementary Data</w:t>
            </w:r>
          </w:p>
        </w:tc>
        <w:tc>
          <w:tcPr>
            <w:tcW w:w="4960" w:type="dxa"/>
            <w:vAlign w:val="bottom"/>
            <w:gridSpan w:val="7"/>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9.</w:t>
            </w:r>
          </w:p>
        </w:tc>
        <w:tc>
          <w:tcPr>
            <w:tcW w:w="6460" w:type="dxa"/>
            <w:vAlign w:val="bottom"/>
            <w:gridSpan w:val="16"/>
          </w:tcPr>
          <w:p>
            <w:pPr>
              <w:spacing w:after="0"/>
              <w:rPr>
                <w:sz w:val="20"/>
                <w:szCs w:val="20"/>
                <w:color w:val="auto"/>
              </w:rPr>
            </w:pPr>
            <w:r>
              <w:rPr>
                <w:rFonts w:ascii="Arial" w:cs="Arial" w:eastAsia="Arial" w:hAnsi="Arial"/>
                <w:sz w:val="18"/>
                <w:szCs w:val="18"/>
                <w:color w:val="0000FF"/>
                <w:w w:val="90"/>
              </w:rPr>
              <w:t>Changes in and Disagreements with Accountants on Accounting and Financial Disclosure</w:t>
            </w:r>
          </w:p>
        </w:tc>
        <w:tc>
          <w:tcPr>
            <w:tcW w:w="2840" w:type="dxa"/>
            <w:vAlign w:val="bottom"/>
            <w:gridSpan w:val="3"/>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6460" w:type="dxa"/>
            <w:vAlign w:val="bottom"/>
            <w:gridSpan w:val="16"/>
          </w:tcPr>
          <w:p>
            <w:pPr>
              <w:spacing w:after="0"/>
              <w:rPr>
                <w:sz w:val="20"/>
                <w:szCs w:val="20"/>
                <w:color w:val="auto"/>
              </w:rPr>
            </w:pPr>
            <w:r>
              <w:rPr>
                <w:rFonts w:ascii="Arial" w:cs="Arial" w:eastAsia="Arial" w:hAnsi="Arial"/>
                <w:sz w:val="18"/>
                <w:szCs w:val="18"/>
                <w:color w:val="0000FF"/>
              </w:rPr>
              <w:t>Controls and Procedures</w:t>
            </w:r>
          </w:p>
        </w:tc>
        <w:tc>
          <w:tcPr>
            <w:tcW w:w="2840" w:type="dxa"/>
            <w:vAlign w:val="bottom"/>
            <w:gridSpan w:val="3"/>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300" w:type="dxa"/>
            <w:vAlign w:val="bottom"/>
            <w:gridSpan w:val="5"/>
          </w:tcPr>
          <w:p>
            <w:pPr>
              <w:spacing w:after="0"/>
              <w:rPr>
                <w:sz w:val="20"/>
                <w:szCs w:val="20"/>
                <w:color w:val="auto"/>
              </w:rPr>
            </w:pPr>
            <w:r>
              <w:rPr>
                <w:rFonts w:ascii="Arial" w:cs="Arial" w:eastAsia="Arial" w:hAnsi="Arial"/>
                <w:sz w:val="18"/>
                <w:szCs w:val="18"/>
                <w:color w:val="0000FF"/>
                <w:w w:val="89"/>
              </w:rPr>
              <w:t>Other Information</w:t>
            </w:r>
          </w:p>
        </w:tc>
        <w:tc>
          <w:tcPr>
            <w:tcW w:w="440" w:type="dxa"/>
            <w:vAlign w:val="bottom"/>
          </w:tcPr>
          <w:p>
            <w:pPr>
              <w:spacing w:after="0"/>
              <w:rPr>
                <w:sz w:val="18"/>
                <w:szCs w:val="18"/>
                <w:color w:val="auto"/>
              </w:rPr>
            </w:pPr>
          </w:p>
        </w:tc>
        <w:tc>
          <w:tcPr>
            <w:tcW w:w="7560" w:type="dxa"/>
            <w:vAlign w:val="bottom"/>
            <w:gridSpan w:val="13"/>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9C.</w:t>
            </w:r>
          </w:p>
        </w:tc>
        <w:tc>
          <w:tcPr>
            <w:tcW w:w="9300" w:type="dxa"/>
            <w:vAlign w:val="bottom"/>
            <w:gridSpan w:val="19"/>
          </w:tcPr>
          <w:p>
            <w:pPr>
              <w:spacing w:after="0"/>
              <w:rPr>
                <w:sz w:val="20"/>
                <w:szCs w:val="20"/>
                <w:color w:val="auto"/>
              </w:rPr>
            </w:pPr>
            <w:r>
              <w:rPr>
                <w:rFonts w:ascii="Arial" w:cs="Arial" w:eastAsia="Arial" w:hAnsi="Arial"/>
                <w:sz w:val="18"/>
                <w:szCs w:val="18"/>
                <w:color w:val="0000FF"/>
              </w:rPr>
              <w:t>Disclosure Regarding Foreign Jurisdictions that Prevent Inspection</w:t>
            </w: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0000FF"/>
              </w:rPr>
              <w:t>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20" w:type="dxa"/>
            <w:vAlign w:val="bottom"/>
            <w:gridSpan w:val="8"/>
          </w:tcPr>
          <w:p>
            <w:pPr>
              <w:jc w:val="center"/>
              <w:ind w:right="4220"/>
              <w:spacing w:after="0"/>
              <w:rPr>
                <w:sz w:val="20"/>
                <w:szCs w:val="20"/>
                <w:color w:val="auto"/>
              </w:rPr>
            </w:pPr>
            <w:r>
              <w:rPr>
                <w:rFonts w:ascii="Arial" w:cs="Arial" w:eastAsia="Arial" w:hAnsi="Arial"/>
                <w:sz w:val="18"/>
                <w:szCs w:val="18"/>
                <w:b w:val="1"/>
                <w:bCs w:val="1"/>
                <w:color w:val="auto"/>
              </w:rPr>
              <w:t>PART III</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4080" w:type="dxa"/>
            <w:vAlign w:val="bottom"/>
            <w:gridSpan w:val="11"/>
          </w:tcPr>
          <w:p>
            <w:pPr>
              <w:spacing w:after="0"/>
              <w:rPr>
                <w:sz w:val="20"/>
                <w:szCs w:val="20"/>
                <w:color w:val="auto"/>
              </w:rPr>
            </w:pPr>
            <w:r>
              <w:rPr>
                <w:rFonts w:ascii="Arial" w:cs="Arial" w:eastAsia="Arial" w:hAnsi="Arial"/>
                <w:sz w:val="18"/>
                <w:szCs w:val="18"/>
                <w:color w:val="0000FF"/>
                <w:w w:val="90"/>
              </w:rPr>
              <w:t>Directors, Executive Officers and Corporate Governance</w:t>
            </w:r>
          </w:p>
        </w:tc>
        <w:tc>
          <w:tcPr>
            <w:tcW w:w="5220" w:type="dxa"/>
            <w:vAlign w:val="bottom"/>
            <w:gridSpan w:val="8"/>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84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4080" w:type="dxa"/>
            <w:vAlign w:val="bottom"/>
            <w:gridSpan w:val="11"/>
          </w:tcPr>
          <w:p>
            <w:pPr>
              <w:spacing w:after="0"/>
              <w:rPr>
                <w:sz w:val="20"/>
                <w:szCs w:val="20"/>
                <w:color w:val="auto"/>
              </w:rPr>
            </w:pPr>
            <w:r>
              <w:rPr>
                <w:rFonts w:ascii="Arial" w:cs="Arial" w:eastAsia="Arial" w:hAnsi="Arial"/>
                <w:sz w:val="18"/>
                <w:szCs w:val="18"/>
                <w:color w:val="0000FF"/>
              </w:rPr>
              <w:t>Executive Compensation</w:t>
            </w:r>
          </w:p>
        </w:tc>
        <w:tc>
          <w:tcPr>
            <w:tcW w:w="5220" w:type="dxa"/>
            <w:vAlign w:val="bottom"/>
            <w:gridSpan w:val="8"/>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9300" w:type="dxa"/>
            <w:vAlign w:val="bottom"/>
            <w:gridSpan w:val="19"/>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0000FF"/>
              </w:rPr>
              <w:t>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7260" w:type="dxa"/>
            <w:vAlign w:val="bottom"/>
            <w:gridSpan w:val="17"/>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204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2840" w:type="dxa"/>
            <w:vAlign w:val="bottom"/>
            <w:gridSpan w:val="8"/>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5420" w:type="dxa"/>
            <w:vAlign w:val="bottom"/>
            <w:gridSpan w:val="14"/>
          </w:tcPr>
          <w:p>
            <w:pPr>
              <w:spacing w:after="0"/>
              <w:rPr>
                <w:sz w:val="20"/>
                <w:szCs w:val="20"/>
                <w:color w:val="auto"/>
              </w:rPr>
            </w:pPr>
            <w:r>
              <w:rPr>
                <w:rFonts w:ascii="Arial" w:cs="Arial" w:eastAsia="Arial" w:hAnsi="Arial"/>
                <w:sz w:val="18"/>
                <w:szCs w:val="18"/>
                <w:color w:val="0000FF"/>
              </w:rPr>
              <w:t>Principal Accountant Fees and Services</w:t>
            </w:r>
          </w:p>
        </w:tc>
        <w:tc>
          <w:tcPr>
            <w:tcW w:w="3880" w:type="dxa"/>
            <w:vAlign w:val="bottom"/>
            <w:gridSpan w:val="5"/>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20" w:type="dxa"/>
            <w:vAlign w:val="bottom"/>
            <w:gridSpan w:val="8"/>
          </w:tcPr>
          <w:p>
            <w:pPr>
              <w:jc w:val="center"/>
              <w:ind w:right="4220"/>
              <w:spacing w:after="0"/>
              <w:rPr>
                <w:sz w:val="20"/>
                <w:szCs w:val="20"/>
                <w:color w:val="auto"/>
              </w:rPr>
            </w:pPr>
            <w:r>
              <w:rPr>
                <w:rFonts w:ascii="Arial" w:cs="Arial" w:eastAsia="Arial" w:hAnsi="Arial"/>
                <w:sz w:val="18"/>
                <w:szCs w:val="18"/>
                <w:b w:val="1"/>
                <w:bCs w:val="1"/>
                <w:color w:val="auto"/>
              </w:rPr>
              <w:t>PART IV</w:t>
            </w:r>
          </w:p>
        </w:tc>
        <w:tc>
          <w:tcPr>
            <w:tcW w:w="6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3140" w:type="dxa"/>
            <w:vAlign w:val="bottom"/>
            <w:gridSpan w:val="9"/>
          </w:tcPr>
          <w:p>
            <w:pPr>
              <w:spacing w:after="0"/>
              <w:rPr>
                <w:sz w:val="20"/>
                <w:szCs w:val="20"/>
                <w:color w:val="auto"/>
              </w:rPr>
            </w:pPr>
            <w:r>
              <w:rPr>
                <w:rFonts w:ascii="Arial" w:cs="Arial" w:eastAsia="Arial" w:hAnsi="Arial"/>
                <w:sz w:val="18"/>
                <w:szCs w:val="18"/>
                <w:color w:val="0000FF"/>
                <w:w w:val="88"/>
              </w:rPr>
              <w:t>Exhibits and Financial Statement Schedules</w:t>
            </w:r>
          </w:p>
        </w:tc>
        <w:tc>
          <w:tcPr>
            <w:tcW w:w="6160" w:type="dxa"/>
            <w:vAlign w:val="bottom"/>
            <w:gridSpan w:val="10"/>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85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3140" w:type="dxa"/>
            <w:vAlign w:val="bottom"/>
            <w:gridSpan w:val="9"/>
            <w:shd w:val="clear" w:color="auto" w:fill="0000FF"/>
          </w:tcPr>
          <w:p>
            <w:pPr>
              <w:spacing w:after="0" w:line="20" w:lineRule="exact"/>
              <w:rPr>
                <w:sz w:val="1"/>
                <w:szCs w:val="1"/>
                <w:color w:val="auto"/>
              </w:rPr>
            </w:pPr>
          </w:p>
        </w:tc>
        <w:tc>
          <w:tcPr>
            <w:tcW w:w="6160" w:type="dxa"/>
            <w:vAlign w:val="bottom"/>
            <w:gridSpan w:val="1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0000FF"/>
                <w:w w:val="93"/>
              </w:rPr>
              <w:t>Exhibit Index</w:t>
            </w:r>
          </w:p>
        </w:tc>
        <w:tc>
          <w:tcPr>
            <w:tcW w:w="9300" w:type="dxa"/>
            <w:vAlign w:val="bottom"/>
            <w:gridSpan w:val="19"/>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4"/>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This report contains forward-looking statements within the meaning of the federal securities laws relating to future events and future results of SJW Group and its subsidiaries that are based on current expectations, estimates, forecasts, and projections about SJW Group and its subsidiaries and the industries in which SJW Group and its subsidiaries operate and the beliefs and assumptions of the management of SJW Group. Some of these forward-looking statements can be identified by the use of forward-looking words including “believes”, “expects”, “estimates”, “anticipates”, “intends”, “seeks”, “approximately”, “plans”, “projects”, “may”, “should”, “will”, or the negative of those words or other comparable terminology. These forward-looking statements are only predictions and are subject to risks, uncertainties, and assumptions that are difficult to predict. Therefore, actual results may differ materially and adversely from those expressed in any forward-looking statements. Important factors that could cause or contribute to such differences include, but are not limited to, those discussed in this report under Item 1A, “Risk Factors,” and Item 7, “Management’s Discussion and Analysis of Financial Condition and Results of Operations,” and elsewhere, and in other reports and documents SJW Group files with the Securities and Exchange Commission (the “SEC”), specifically the most recent Form 10-Q and reports on Form 8-K filed with the SEC, each as it may be amended from time to time.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accuracy of such statements is subject to a number of risks, uncertainties and assumptions including, but not limited to, the following factors:</w:t>
      </w:r>
    </w:p>
    <w:p>
      <w:pPr>
        <w:spacing w:after="0" w:line="156" w:lineRule="exact"/>
        <w:rPr>
          <w:sz w:val="20"/>
          <w:szCs w:val="20"/>
          <w:color w:val="auto"/>
        </w:rPr>
      </w:pPr>
    </w:p>
    <w:p>
      <w:pPr>
        <w:ind w:left="660" w:right="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water, utility, environmental and other governmental policies and regulations, including actions concerning rates, authorized return on equity, authorized capital structures, capital expenditures and other decisions;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demand for water and other services;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weather conditions and changes in seasonality including those affecting water supply and customer usage;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the impacts of climate change;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unexpected costs, charges or expenses;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evaluate investments in new business and growth initiatives;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contamination of our water supplies and damage or failure of our water equipment and infrastructure;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of work stoppages, strikes and other labor-related actions;</w:t>
      </w:r>
    </w:p>
    <w:p>
      <w:pPr>
        <w:spacing w:after="0" w:line="157"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catastrophic events such as fires, earthquakes, explosions, floods, ice storms, tornadoes, hurricanes, terrorist acts, physical attacks, cyber-attacks, epidemic or similar occurrences;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political, business and financial market conditions;</w:t>
      </w:r>
    </w:p>
    <w:p>
      <w:pPr>
        <w:spacing w:after="0" w:line="157" w:lineRule="exact"/>
        <w:rPr>
          <w:rFonts w:ascii="Arial" w:cs="Arial" w:eastAsia="Arial" w:hAnsi="Arial"/>
          <w:sz w:val="18"/>
          <w:szCs w:val="18"/>
          <w:color w:val="auto"/>
        </w:rPr>
      </w:pPr>
    </w:p>
    <w:p>
      <w:pPr>
        <w:jc w:val="both"/>
        <w:ind w:left="660" w:right="40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obtain financing on favorable terms, which can be affected by various factors, including credit ratings, changes in interest rates, compliance with regulatory requirements, compliance with the terms and conditions of our outstanding indebtedness, and general market and economic conditions;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and general market and economic developments.</w:t>
      </w:r>
    </w:p>
    <w:p>
      <w:pPr>
        <w:spacing w:after="0" w:line="14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Actual results are subject to other risks and uncertainties that relate more broadly to our overall business, including those more fully described in our filings with the SEC, including our most recent reports on Form 10-K, Form 10-Q and Form 8-K. Forward-looking statements are not guarantees of performance, and speak only as of the date made, and SJW Group undertakes no obligation to update or revise any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3" w:name="page4"/>
    <w:bookmarkEnd w:id="3"/>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General Development of Business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SJW Group was initially incorporated as SJW Corp. in the state of California on February 8, 1985. SJW Group is a holding company with four wholly-owned subsidiaries:</w:t>
      </w:r>
    </w:p>
    <w:p>
      <w:pPr>
        <w:spacing w:after="0" w:line="62" w:lineRule="exact"/>
        <w:rPr>
          <w:sz w:val="20"/>
          <w:szCs w:val="20"/>
          <w:color w:val="auto"/>
        </w:rPr>
      </w:pPr>
    </w:p>
    <w:p>
      <w:pPr>
        <w:ind w:left="1300" w:right="40" w:hanging="1049"/>
        <w:spacing w:after="0" w:line="259"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color w:val="auto"/>
        </w:rPr>
        <w:t>San Jose Water Company (“SJWC”) with its headquarters located at 110 West Taylor Street in San Jose, California 95110, was originally incorporated under the laws of the State of California in 1866. As part of a reorganization on February 8, 1985, SJWC became a wholly owned subsidiary of SJW Group. SJWC is a public utility in the business of providing water service in the metropolitan San Jose, California area.</w:t>
      </w:r>
    </w:p>
    <w:p>
      <w:pPr>
        <w:spacing w:after="0" w:line="78" w:lineRule="exact"/>
        <w:rPr>
          <w:rFonts w:ascii="Arial" w:cs="Arial" w:eastAsia="Arial" w:hAnsi="Arial"/>
          <w:sz w:val="18"/>
          <w:szCs w:val="18"/>
          <w:color w:val="auto"/>
        </w:rPr>
      </w:pPr>
    </w:p>
    <w:p>
      <w:pPr>
        <w:ind w:left="1300" w:hanging="1049"/>
        <w:spacing w:after="0" w:line="270" w:lineRule="auto"/>
        <w:tabs>
          <w:tab w:leader="none" w:pos="1295" w:val="left"/>
        </w:tabs>
        <w:numPr>
          <w:ilvl w:val="0"/>
          <w:numId w:val="4"/>
        </w:numPr>
        <w:rPr>
          <w:rFonts w:ascii="Arial" w:cs="Arial" w:eastAsia="Arial" w:hAnsi="Arial"/>
          <w:sz w:val="17"/>
          <w:szCs w:val="17"/>
          <w:color w:val="auto"/>
        </w:rPr>
      </w:pPr>
      <w:r>
        <w:rPr>
          <w:rFonts w:ascii="Arial" w:cs="Arial" w:eastAsia="Arial" w:hAnsi="Arial"/>
          <w:sz w:val="17"/>
          <w:szCs w:val="17"/>
          <w:color w:val="auto"/>
        </w:rPr>
        <w:t>SJWNE LLC, a Delaware limited liability company, was formed in 2019, and is a wholly-owned subsidiary of SJW Group. SJWNE LLC is a special purpose entity established to hold SJW Group’s investment in Connecticut Water Service, Inc. Connecticut Water Service, Inc. with its headquarters located in Clinton, Connecticut was incorporated in 1974 in the State of Connecticut. As part of the merger transaction between SJW Group and Connecticut Water Service, Inc. on October 9, 2019, Connecticut Water Service, Inc. and its subsidiaries (“CTWS”) became a wholly-owned subsidiary of SJWNE LLC. Connecticut Water Service, Inc. is a holding company with four wholly-owned subsidiaries. The Connecticut Water Company (“Connecticut Water”) and The Maine Water Company (“Maine Water”) are public utilities in the business of providing water service throughout Connecticut and Maine. The remaining two subsidiaries are Chester Realty, Inc., a real estate company in Connecticut, and New England Water Utility Services, Inc. (“NEWUS”), which provides contract water and sewer operations and other water related services.</w:t>
      </w:r>
    </w:p>
    <w:p>
      <w:pPr>
        <w:spacing w:after="0" w:line="72" w:lineRule="exact"/>
        <w:rPr>
          <w:rFonts w:ascii="Arial" w:cs="Arial" w:eastAsia="Arial" w:hAnsi="Arial"/>
          <w:sz w:val="17"/>
          <w:szCs w:val="17"/>
          <w:color w:val="auto"/>
        </w:rPr>
      </w:pPr>
    </w:p>
    <w:p>
      <w:pPr>
        <w:ind w:left="1300" w:right="80" w:hanging="1049"/>
        <w:spacing w:after="0" w:line="287" w:lineRule="auto"/>
        <w:tabs>
          <w:tab w:leader="none" w:pos="1295" w:val="left"/>
        </w:tabs>
        <w:numPr>
          <w:ilvl w:val="0"/>
          <w:numId w:val="4"/>
        </w:numPr>
        <w:rPr>
          <w:rFonts w:ascii="Arial" w:cs="Arial" w:eastAsia="Arial" w:hAnsi="Arial"/>
          <w:sz w:val="16"/>
          <w:szCs w:val="16"/>
          <w:color w:val="auto"/>
        </w:rPr>
      </w:pPr>
      <w:r>
        <w:rPr>
          <w:rFonts w:ascii="Arial" w:cs="Arial" w:eastAsia="Arial" w:hAnsi="Arial"/>
          <w:sz w:val="16"/>
          <w:szCs w:val="16"/>
          <w:color w:val="auto"/>
        </w:rPr>
        <w:t>SJWTX, Inc. (“SJWTX”) was incorporated in the State of Texas in 2005. SJWTX is doing business as Canyon Lake Water Service Company. In 2022, SJWTX filed and was approved with the State of Texas an assumed named certificate to operate under the name The Texas Water Company. SJWTX is a public utility in the business of providing water service in the southern region of the Texas Hill Country in Bandera, Blanco, Comal, Hays, Kendall, Medina and Travis counties, the growing region between San Antonio and Austin, Texas. SJWTX has a 25% interest in Acequia Water Supply Corporation (“Acequia”). Acequia has been determined to be a variable interest entity within the scope of Financial Accounting Standards Board (“FASB”) Accounting Standards Codification (“ASC”) Topic 810, “Consolidation” with SJWTX. as the primary beneficiary. As a result, Acequia has been consolidated with SJWTX. SJWTX is undergoing a corporate reorganization to separate regulated operations from non-tariffed activities. In 2021, SJWTX Holdings, Inc. (“SJWTX Holdings”) and Texas Water Operation Services LLC (“TWOS”) were formed for the purpose of effecting a corporate reorganization of our water services organization in Texas. TWOS was created for non-tariffed operations and is wholly-owned by SJWTX Holdings. SJWTX Holdings is a wholly-owned subsidiary of SJW Group, incorporated to hold the investments in SJWTX and TWOS. SJWTX Holdings intends to create a new subsidiary to hold future wholesale water supply assets in 2023.</w:t>
      </w:r>
    </w:p>
    <w:p>
      <w:pPr>
        <w:spacing w:after="0" w:line="59" w:lineRule="exact"/>
        <w:rPr>
          <w:rFonts w:ascii="Arial" w:cs="Arial" w:eastAsia="Arial" w:hAnsi="Arial"/>
          <w:sz w:val="16"/>
          <w:szCs w:val="16"/>
          <w:color w:val="auto"/>
        </w:rPr>
      </w:pPr>
    </w:p>
    <w:p>
      <w:pPr>
        <w:ind w:left="1300" w:right="200" w:hanging="1049"/>
        <w:spacing w:after="0" w:line="277"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color w:val="auto"/>
        </w:rPr>
        <w:t>SJW Land Company was incorporated in 1985. SJW Land Company owns undeveloped land in California and Tennessee and operates commercial buildings in Tennessee.</w:t>
      </w:r>
    </w:p>
    <w:p>
      <w:pPr>
        <w:spacing w:after="0" w:line="62" w:lineRule="exact"/>
        <w:rPr>
          <w:sz w:val="20"/>
          <w:szCs w:val="20"/>
          <w:color w:val="auto"/>
        </w:rPr>
      </w:pPr>
    </w:p>
    <w:p>
      <w:pPr>
        <w:ind w:right="2760"/>
        <w:spacing w:after="0" w:line="420" w:lineRule="auto"/>
        <w:rPr>
          <w:sz w:val="20"/>
          <w:szCs w:val="20"/>
          <w:color w:val="auto"/>
        </w:rPr>
      </w:pPr>
      <w:r>
        <w:rPr>
          <w:rFonts w:ascii="Arial" w:cs="Arial" w:eastAsia="Arial" w:hAnsi="Arial"/>
          <w:sz w:val="17"/>
          <w:szCs w:val="17"/>
          <w:color w:val="auto"/>
        </w:rPr>
        <w:t>Together, SJWC, Connecticut Water, SJWTX, Maine Water and NEWUS, are referred to as “Water Utility Services.” SJW Land Company and Chester Realty, Inc. are collectively referred to as “Real Estate Services.”</w:t>
      </w:r>
    </w:p>
    <w:p>
      <w:pPr>
        <w:ind w:left="260"/>
        <w:spacing w:after="0"/>
        <w:rPr>
          <w:sz w:val="20"/>
          <w:szCs w:val="20"/>
          <w:color w:val="auto"/>
        </w:rPr>
      </w:pPr>
      <w:r>
        <w:rPr>
          <w:rFonts w:ascii="Arial" w:cs="Arial" w:eastAsia="Arial" w:hAnsi="Arial"/>
          <w:sz w:val="18"/>
          <w:szCs w:val="18"/>
          <w:b w:val="1"/>
          <w:bCs w:val="1"/>
          <w:color w:val="auto"/>
        </w:rPr>
        <w:t>Regulation and Rates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Water Utility Services, excluding non-tariffed activities, are subject to rate regulation based on cost recovery and meets the criteria of accounting guidance for rate-regulated operations, which considers the timing of the recognition of certain revenues and expenses. SJW Group’s consolidated financial statements reflect the effects of the rate-making process. The rate-making process is intended to provide revenues sufficient to recover normal operating expenses, provide funds for replacement of water infrastructure and produce a fair and reasonable return on stockholder common equity. SJW Group’s regulated operations</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4" w:name="page5"/>
    <w:bookmarkEnd w:id="4"/>
    <w:p>
      <w:pPr>
        <w:ind w:right="720"/>
        <w:spacing w:after="0" w:line="277" w:lineRule="auto"/>
        <w:rPr>
          <w:sz w:val="20"/>
          <w:szCs w:val="20"/>
          <w:color w:val="auto"/>
        </w:rPr>
      </w:pPr>
      <w:r>
        <w:rPr>
          <w:rFonts w:ascii="Arial" w:cs="Arial" w:eastAsia="Arial" w:hAnsi="Arial"/>
          <w:sz w:val="18"/>
          <w:szCs w:val="18"/>
          <w:color w:val="auto"/>
        </w:rPr>
        <w:t>financing activity is designed to achieve capital structures consistent with regulatory guidelines in the locations where the companies operate. The following summarizes each state’s authorized rates and capital structure as of December 31, 2022:</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1560" w:type="dxa"/>
            <w:vAlign w:val="bottom"/>
            <w:gridSpan w:val="2"/>
          </w:tcPr>
          <w:p>
            <w:pPr>
              <w:ind w:left="400"/>
              <w:spacing w:after="0"/>
              <w:rPr>
                <w:sz w:val="20"/>
                <w:szCs w:val="20"/>
                <w:color w:val="auto"/>
              </w:rPr>
            </w:pPr>
            <w:r>
              <w:rPr>
                <w:rFonts w:ascii="Arial" w:cs="Arial" w:eastAsia="Arial" w:hAnsi="Arial"/>
                <w:sz w:val="14"/>
                <w:szCs w:val="14"/>
                <w:b w:val="1"/>
                <w:bCs w:val="1"/>
                <w:color w:val="auto"/>
              </w:rPr>
              <w:t>California</w:t>
            </w:r>
          </w:p>
        </w:tc>
        <w:tc>
          <w:tcPr>
            <w:tcW w:w="1540" w:type="dxa"/>
            <w:vAlign w:val="bottom"/>
            <w:gridSpan w:val="2"/>
          </w:tcPr>
          <w:p>
            <w:pPr>
              <w:ind w:left="340"/>
              <w:spacing w:after="0"/>
              <w:rPr>
                <w:sz w:val="20"/>
                <w:szCs w:val="20"/>
                <w:color w:val="auto"/>
              </w:rPr>
            </w:pPr>
            <w:r>
              <w:rPr>
                <w:rFonts w:ascii="Arial" w:cs="Arial" w:eastAsia="Arial" w:hAnsi="Arial"/>
                <w:sz w:val="14"/>
                <w:szCs w:val="14"/>
                <w:b w:val="1"/>
                <w:bCs w:val="1"/>
                <w:color w:val="auto"/>
              </w:rPr>
              <w:t>Connecticut</w:t>
            </w:r>
          </w:p>
        </w:tc>
        <w:tc>
          <w:tcPr>
            <w:tcW w:w="1560" w:type="dxa"/>
            <w:vAlign w:val="bottom"/>
            <w:gridSpan w:val="2"/>
          </w:tcPr>
          <w:p>
            <w:pPr>
              <w:ind w:left="560"/>
              <w:spacing w:after="0"/>
              <w:rPr>
                <w:sz w:val="20"/>
                <w:szCs w:val="20"/>
                <w:color w:val="auto"/>
              </w:rPr>
            </w:pPr>
            <w:r>
              <w:rPr>
                <w:rFonts w:ascii="Arial" w:cs="Arial" w:eastAsia="Arial" w:hAnsi="Arial"/>
                <w:sz w:val="14"/>
                <w:szCs w:val="14"/>
                <w:b w:val="1"/>
                <w:bCs w:val="1"/>
                <w:color w:val="auto"/>
              </w:rPr>
              <w:t>Texas</w:t>
            </w:r>
          </w:p>
        </w:tc>
        <w:tc>
          <w:tcPr>
            <w:tcW w:w="1440" w:type="dxa"/>
            <w:vAlign w:val="bottom"/>
          </w:tcPr>
          <w:p>
            <w:pPr>
              <w:ind w:left="420"/>
              <w:spacing w:after="0"/>
              <w:rPr>
                <w:sz w:val="20"/>
                <w:szCs w:val="20"/>
                <w:color w:val="auto"/>
              </w:rPr>
            </w:pPr>
            <w:r>
              <w:rPr>
                <w:rFonts w:ascii="Arial" w:cs="Arial" w:eastAsia="Arial" w:hAnsi="Arial"/>
                <w:sz w:val="14"/>
                <w:szCs w:val="14"/>
                <w:b w:val="1"/>
                <w:bCs w:val="1"/>
                <w:color w:val="auto"/>
              </w:rPr>
              <w:t>Maine (a)</w:t>
            </w:r>
          </w:p>
        </w:tc>
      </w:tr>
      <w:tr>
        <w:trPr>
          <w:trHeight w:val="26"/>
        </w:trPr>
        <w:tc>
          <w:tcPr>
            <w:tcW w:w="51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Authorized capital structure (debt/equity)</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47% / 53%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47% / 53%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42% / 58%</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 / 50%</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Authorized return on equity</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8.90%</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9.00%</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10.88%</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9.70%</w:t>
            </w: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Authorized rate base (in millions)</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$1,028.7</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$580.9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$43.3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$129.6</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Estimated rate base at year-end (in millions) (b)</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$1,074.9</w:t>
            </w:r>
          </w:p>
        </w:tc>
        <w:tc>
          <w:tcPr>
            <w:tcW w:w="1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$656.3</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$92.0</w:t>
            </w:r>
          </w:p>
        </w:tc>
        <w:tc>
          <w:tcPr>
            <w:tcW w:w="1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$157.9</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17"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averages over water systems operating in the state.</w:t>
      </w:r>
    </w:p>
    <w:p>
      <w:pPr>
        <w:spacing w:after="0" w:line="1" w:lineRule="exact"/>
        <w:rPr>
          <w:rFonts w:ascii="Arial" w:cs="Arial" w:eastAsia="Arial" w:hAnsi="Arial"/>
          <w:sz w:val="14"/>
          <w:szCs w:val="14"/>
          <w:color w:val="auto"/>
        </w:rPr>
      </w:pPr>
    </w:p>
    <w:p>
      <w:pPr>
        <w:ind w:left="640" w:hanging="632"/>
        <w:spacing w:after="0"/>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An approximation of rate base which includes net utility plant not yet included in rate base pending rate case filings and outcomes.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California Regulatory Affairs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SJWC’s rates, service and other matters affecting its business are subject to regulation by the California Public Utilities Commission (“CPUC”).</w:t>
      </w:r>
    </w:p>
    <w:p>
      <w:pPr>
        <w:spacing w:after="0" w:line="129"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Generally, there are three types of rate adjustments that affect SJWC’s revenue collection: general rate adjustments, cost of capital adjustments, and offset rate adjustments. General rate adjustments are authorized in general rate case decisions, which usually authorize an initial rate adjustment followed by two annual escalation adjustments. General rate applications are normally filed and processed during the last year covered by the most recent general rate case as required by the CPUC in order to avoid any gaps in regulatory decisions on general rate adjustments. Actual revenue received may be higher or lower than the revenue requirement due to a number of factors including actual customer counts, usage or other regulatory factors in force at the time.</w:t>
      </w:r>
    </w:p>
    <w:p>
      <w:pPr>
        <w:spacing w:after="0" w:line="5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Cost of capital adjustments are rate adjustments resulting from the CPUC’s usual tri-annual establishment of a reasonable rate of return for SJWC’s capital investments.</w:t>
      </w:r>
    </w:p>
    <w:p>
      <w:pPr>
        <w:spacing w:after="0" w:line="6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purpose of an offset rate adjustment is to compensate utilities for changes in specific pre-authorized offsettable capital investments or expenses, primarily for purchased water, groundwater extraction, purchased power and pensions. Pursuant to Section 792.5 of the California Public Utilities Code, a balancing account must be maintained for each expense item for which such revenue offsets have been authorized. Memorandum accounts track revenue impacts due to catastrophic events, certain unforeseen water quality expenses related to new federal and state water quality standards, energy efficiency, water conservation during periods of mandated water restrictions, water tariffs and other approved activities or as directed by the CPUC. The purpose of balancing and memorandum accounts is to track the under-collection or over-collection associated with such expense changes and activities for future recovery or refund considerations. Carrying balances of the balancing and memo accounts earn a rate of return based on treasury rates.</w:t>
      </w:r>
    </w:p>
    <w:p>
      <w:pPr>
        <w:spacing w:after="0" w:line="5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May 3, 2021, SJWC filed Application No. 21-05-004 requesting authority to adjust its cost of capital for the period from January 1, 2022 through December 31, 2024. The request seeks a revenue increase of $6.4 million or 1.61% in 2022. The application also proposes a rate of return of 8.11%, an increase from the current rate of 7.64%, a decrease in the average cost of debt rate from 6.20% to 5.48%, and a return of equity of 10.30%, an increase from the current rate of 8.90%. In addition, the request seeks to adjust SJWC’s currently authorized capital structure of approximately 47% debt and 53% equity to approximately 45% debt and 55% equity. If approved, new rates are expected to be effective in the second quarter of 2023.</w:t>
      </w:r>
    </w:p>
    <w:p>
      <w:pPr>
        <w:spacing w:after="0" w:line="6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December 6, 2019, SJWC filed Application No. 19-12-002 to deploy Advanced Metering Infrastructure (“AMI”) throughout its service area. On August 5, 2021, an all-party settlement agreement was submitted to the CPUC for adoption that would authorize the deployment of AMI outside of the capital budget requested in the SJWC’s General Rate Case Application No. 21-01-003 (“2022 GRC”). A final decision approving the settlement agreement was issued on June 10, 2022.</w:t>
      </w:r>
    </w:p>
    <w:p>
      <w:pPr>
        <w:spacing w:after="0" w:line="7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SJWC filed Advice Letter No. 577 on May 24, 2022 to increase revenue requirement by $24.3 million or 5.9% to offset the increases to purchased potable water charges, the groundwater extraction fee, and purchased recycled water charges from its water wholesalers effective July 1, 2022. Advice Letter No. 577 was approved with an effective date of July 1, 2022.</w:t>
      </w:r>
    </w:p>
    <w:p>
      <w:pPr>
        <w:spacing w:after="0" w:line="7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CPUC approved the settlement of 2022 GRC on October 6, 2022 and issued Decision No. 22-10-005 (“2022 GRC Decision”) on October 11, 2022. SJWC received authority for an increase of revenue requirement by $25.1 million or 6.03% in 2022, $13.0 million or 2.94% in 2023, and $16.1 million or 3.56% in 2024. The application included requests to recover $18.2 million from balancing and memorandum accounts and authorization for a $350 million capital budget. Additionally, it further aligns authorized and actual consumption, particularly for business customers, addresses the water supply mix variability, and provides greater revenue recovery in the fixed charge. The approved revenue increase for 2022 is effective retrospectively to January 1, 2022.</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 w:name="page6"/>
    <w:bookmarkEnd w:id="5"/>
    <w:p>
      <w:pPr>
        <w:ind w:right="400"/>
        <w:spacing w:after="0" w:line="277" w:lineRule="auto"/>
        <w:rPr>
          <w:sz w:val="20"/>
          <w:szCs w:val="20"/>
          <w:color w:val="auto"/>
        </w:rPr>
      </w:pPr>
      <w:r>
        <w:rPr>
          <w:rFonts w:ascii="Arial" w:cs="Arial" w:eastAsia="Arial" w:hAnsi="Arial"/>
          <w:sz w:val="18"/>
          <w:szCs w:val="18"/>
          <w:color w:val="auto"/>
        </w:rPr>
        <w:t>SJWC filed Advice Letter No. 581 on October 12, 2022 to recover $18.2 million in balancing and memorandum accounts in accordance with the 2022 GRC Decision. The advice letter was approved with an effective date of November 11, 2022.</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SJWC filed Advice Letter No. 582 on October 12, 2022 to refund $19.9 million accumulated in its Water Conservation Memorandum Account (“WCMA”) and its Water Conservation Expense Memorandum Account through August 31, 2022. This refund amount will offset the $18.2 million requested in Advice Letter No. 581 resulting in a net refund to customers of $1.7 million. Netting the two balances against each other allows for immediate recovery of the balancing and memorandum accounts and results in less confusion on customer bills. Advice Letter No. 582 was approved with an effective date of November 11, 2022.</w:t>
      </w:r>
    </w:p>
    <w:p>
      <w:pPr>
        <w:spacing w:after="0" w:line="80"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SJWC filed Advice Letter No. 583 on October 13, 2022 to increase revenue requirement by $25.1 million or 6.03% and implement new water rates in accordance with the 2022 GRC Decision. Advice Letter No. 583 was approved with an effective date of November 1, 2022.</w:t>
      </w:r>
    </w:p>
    <w:p>
      <w:pPr>
        <w:spacing w:after="0" w:line="3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SJWC filed Advice Letter No. 585 on November 10, 2022 to recover $20.6 million in the Interim Rates Memorandum Account in accordance with the 2022 GRC Decision. Advice Letter 585 was approved with an effective date of January 1, 2023.</w:t>
      </w:r>
    </w:p>
    <w:p>
      <w:pPr>
        <w:spacing w:after="0" w:line="62"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SJWC filed Advice Letter No. 586 on November 18, 2022 to increase revenue requirement by $18.4 million or 4% for the escalation year increase in accordance with the 2022 GRC Decision. Advice Letter No. 586 was approved with an effective date of January 1, 2023.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Connecticut Regulatory Affairs</w:t>
      </w:r>
    </w:p>
    <w:p>
      <w:pPr>
        <w:spacing w:after="0" w:line="15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Connecticut Water’s rates, service and other matters affecting its business are subject to regulation by the Public Utilities Regulatory Authority of Connecticut (“PURA”).</w:t>
      </w:r>
    </w:p>
    <w:p>
      <w:pPr>
        <w:spacing w:after="0" w:line="8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PURA allows the Connecticut regulated operations to add surcharges to customers’ bills in order to recover certain costs associated with approved eligible capital projects through the Water Infrastructure Conservation Adjustment (“WICA”) in between full rate cases, as well as approved surcharges for the Water Revenue Adjustment (“WRA”).</w:t>
      </w:r>
    </w:p>
    <w:p>
      <w:pPr>
        <w:spacing w:after="0" w:line="7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October 26, 2021, Connecticut Water filed for a WICA increase of approximately $21.7 million in completed projects. Many of the projects were those that were not considered by PURA in the rate case because of the deadline in the proceeding for pro forma capital additions. On December 22, 2021, PURA approved a WICA surcharge of 2.44% to be added to bills of all Connecticut Water customers, including those of the former The Avon Water Company and The Heritage Village Water Company, effective January 1, 2022 which is expected to generate approximately $2.6 million in additional revenue. On February 14, 2022 Connecticut Water filed its 2021 WICA reconciliation with PURA. The reconciliation, approved by PURA on March 16, 2022 and effective for 12 months beginning April 1, 2022, replaced the expiring 2020 reconciliation surcharge of 0.07% with a credit of 0.02%. As a result, the net WICA surcharge, effective April 1, 2022 was 2.35%.</w:t>
      </w:r>
    </w:p>
    <w:p>
      <w:pPr>
        <w:spacing w:after="0" w:line="8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On February 28, 2022, Connecticut Water filed its 2021 WRA. The mechanism reconciles 2021 revenues as authorized in the company’s most recent rate cases. The 2021 WRA, as approved by PURA on March 30, 2022 and effective for 12 months beginning on April 1, 2022 imposed a 2.85% surcharge on customer bills to collect the 2021 revenue shortfall.</w:t>
      </w:r>
    </w:p>
    <w:p>
      <w:pPr>
        <w:spacing w:after="0" w:line="7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April 26, 2022, Connecticut Water filed for a WICA increase of $9.8 million in completed projects. PURA approved the Company’s application on June 22, 2022. The cumulative WICA charge as of July 1, 2022 is 3.26%, collecting $3.5 million on an annual basis.</w:t>
      </w:r>
    </w:p>
    <w:p>
      <w:pPr>
        <w:spacing w:after="0" w:line="6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June 17, 2022, Connecticut Water submitted an application to PURA for the approval to issue unsecured notes in the amount of $25 million. A decision from PURA approving the application was received on August 10, 2022. The notes carry an interest rate of 4.71% and the closing occurred on December 14, 2022.</w:t>
      </w:r>
    </w:p>
    <w:p>
      <w:pPr>
        <w:spacing w:after="0" w:line="7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January 26, 2023, Connecticut Water filed with PURA for a $3.1 million increase in annualized revenues for approximately $27.8 million in projects completed through the WICA. Any PURA authorized increase is expected to be effective on April 1, 2023.</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Texas Regulatory Affairs</w:t>
      </w:r>
    </w:p>
    <w:p>
      <w:pPr>
        <w:spacing w:after="0" w:line="10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SJWTX’s rates are subject to the economic regulation of the Public Utilities Commission of Texas (“PUCT”). The PUCT may authorize rate increases after the filing of an Application for a Rate/Tariff Change. Rate cases may be filed as they become necessary, provided there is no current rate case outstanding. Furthermore, rate cases may not be filed more frequently than once every 12 months.</w:t>
      </w:r>
    </w:p>
    <w:p>
      <w:pPr>
        <w:spacing w:after="0" w:line="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SJWTX has no current general rate case pending. However, SJWTX filed its application to establish a System Improvement Charge (“SIC”) with the PUCT on December 30, 2022. This filing will allow SJWTX to add certain utility plant additions made since 2020 to its rate base, thereby increasing revenue and avoiding the immediate need for a general rate case. The SIC is projected to increase SJWTX’s water revenue by $1.6 million and sewer revenue by $29 thousand within one year of the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 w:name="page7"/>
    <w:bookmarkEnd w:id="6"/>
    <w:p>
      <w:pPr>
        <w:ind w:right="40"/>
        <w:spacing w:after="0" w:line="259" w:lineRule="auto"/>
        <w:rPr>
          <w:sz w:val="20"/>
          <w:szCs w:val="20"/>
          <w:color w:val="auto"/>
        </w:rPr>
      </w:pPr>
      <w:r>
        <w:rPr>
          <w:rFonts w:ascii="Arial" w:cs="Arial" w:eastAsia="Arial" w:hAnsi="Arial"/>
          <w:sz w:val="18"/>
          <w:szCs w:val="18"/>
          <w:color w:val="auto"/>
        </w:rPr>
        <w:t>approval from the PUCT. Once the PUCT files the final order approving the SIC, SJWTX will be required to file a general rate case within four years. The decision on the SIC filing is expected to be in the third quarter of 2023. Notwithstanding the SIC filing, SJWTX will continue to file its annual adjustments for the Water Pass-through Charges (“WPC”) for Canyon Lake, Deer Creek, and Kendall West customers. All water supply cost increases are recoverable when the next annual WPC adjustment for each system is filed.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Maine Regulatory Affairs</w:t>
      </w:r>
    </w:p>
    <w:p>
      <w:pPr>
        <w:spacing w:after="0" w:line="144"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Maine Water’s rates, service and other matters affecting its business are subject to regulation by the Maine Public Utilities Commission (“MPUC”). MPUC approves rates on a division-by-division basis in Maine and allows Maine Water to add surcharges to customers’ bills in order to recover certain costs associated with capital projects through the Water Infrastructure Surcharge (“WISC”) in between general rate cases. Projects eligible for WISC surcharges include all infrastructure replacement or repair projects, excluding meters, that are necessary for the transmission, distribution or treatment of water.</w:t>
      </w:r>
    </w:p>
    <w:p>
      <w:pPr>
        <w:spacing w:after="0" w:line="90"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MPUC is authorized to allow a WRA mechanism to regulated water utilities. Maine’s rate-adjustment mechanism could provide revenue stabilization in divisions with declining water consumption and Maine Water expects to request usage of this mechanism in future rate filings when consumption trends support its use.</w:t>
      </w:r>
    </w:p>
    <w:p>
      <w:pPr>
        <w:spacing w:after="0" w:line="7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February 28, 2022, Maine Water filed requests for general rate increases in the Camden-Rockland, Freeport, Millinocket and Oakland Divisions. The four filings collectively request $0.5 million in new revenue and seek to reset the WISC in all four divisions. The four cases, while docketed separately, are proceeding through the adjudication process together.</w:t>
      </w:r>
    </w:p>
    <w:p>
      <w:pPr>
        <w:spacing w:after="0" w:line="62"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On February 2, 2023, Maine Water Company received final decisions from the MPUC on four general rate cases filed in 2022. The rate increases are retroactively effective for January 1, 2023, and authorize a $0.7 million increase in annual revenues.</w:t>
      </w:r>
    </w:p>
    <w:p>
      <w:pPr>
        <w:spacing w:after="0" w:line="9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 xml:space="preserve">Please also see </w:t>
      </w:r>
      <w:r>
        <w:rPr>
          <w:rFonts w:ascii="Arial" w:cs="Arial" w:eastAsia="Arial" w:hAnsi="Arial"/>
          <w:sz w:val="18"/>
          <w:szCs w:val="18"/>
          <w:u w:val="single" w:color="auto"/>
          <w:color w:val="0000FF"/>
        </w:rPr>
        <w:t>Item 1A</w:t>
      </w:r>
      <w:r>
        <w:rPr>
          <w:rFonts w:ascii="Arial" w:cs="Arial" w:eastAsia="Arial" w:hAnsi="Arial"/>
          <w:sz w:val="18"/>
          <w:szCs w:val="18"/>
          <w:color w:val="auto"/>
        </w:rPr>
        <w:t xml:space="preserve">, “Risk Factors,” </w:t>
      </w:r>
      <w:r>
        <w:rPr>
          <w:rFonts w:ascii="Arial" w:cs="Arial" w:eastAsia="Arial" w:hAnsi="Arial"/>
          <w:sz w:val="18"/>
          <w:szCs w:val="18"/>
          <w:u w:val="single" w:color="auto"/>
          <w:color w:val="0000FF"/>
        </w:rPr>
        <w:t>Item 7</w:t>
      </w:r>
      <w:r>
        <w:rPr>
          <w:rFonts w:ascii="Arial" w:cs="Arial" w:eastAsia="Arial" w:hAnsi="Arial"/>
          <w:sz w:val="18"/>
          <w:szCs w:val="18"/>
          <w:color w:val="auto"/>
        </w:rPr>
        <w:t xml:space="preserve">, “Management’s Discussion and Analysis of Financial Condition and Results of Operations,” and </w:t>
      </w:r>
      <w:r>
        <w:rPr>
          <w:rFonts w:ascii="Arial" w:cs="Arial" w:eastAsia="Arial" w:hAnsi="Arial"/>
          <w:sz w:val="18"/>
          <w:szCs w:val="18"/>
          <w:u w:val="single" w:color="auto"/>
          <w:color w:val="0000FF"/>
        </w:rPr>
        <w:t>Note 3</w:t>
      </w:r>
      <w:r>
        <w:rPr>
          <w:rFonts w:ascii="Arial" w:cs="Arial" w:eastAsia="Arial" w:hAnsi="Arial"/>
          <w:sz w:val="18"/>
          <w:szCs w:val="18"/>
          <w:color w:val="auto"/>
        </w:rPr>
        <w:t xml:space="preserve"> of “Notes to Consolidated Financial Statements.”</w:t>
      </w:r>
    </w:p>
    <w:p>
      <w:pPr>
        <w:spacing w:after="0" w:line="11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Description of Business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principal business of Water Utility Services consists of the production, purchase, storage, purification, distribution, wholesale and retail sale of water and wastewater services. SJWC provides water services to approximately 232,000 connections that serve approximately one million people over 139 square miles residing in portions of the cities of San Jose and Cupertino and in the cities of Campbell, Monte Sereno, Saratoga and in the Town of Los Gatos, and adjacent unincorporated territories, all in the County of Santa Clara in the State of California. The CTWS companies provide water service to approximately 141,000 service connections that serve a population of approximately 459,000 people in 81 municipalities with a service area of approximately 270 square miles throughout Connecticut and Maine and 3,000 wastewater connections in Southbury, Connecticut. SJWTX provides water service to approximately 26,000 service connections that serve approximately 77,000 people in a service area comprising more than 268 square miles in the region between San Antonio and Austin, Texas and approximately 900 wastewater connections. Together, the Water Utility Services distribute water to customers in their respective service areas in accordance with accepted water utility methods.</w:t>
      </w:r>
    </w:p>
    <w:p>
      <w:pPr>
        <w:spacing w:after="0" w:line="113"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SJWC, Connecticut Water and Maine Water provide non-tariffed services under agreements with municipalities and other utilities. These non-tariffed services include water system operations, maintenance agreements and antenna site leases. In addition, in October 1997, SJWC commenced operation of the City of Cupertino municipal water system under a 25-year lease which was due to expire in September of 2022 and was amended on January 8, 2020. The system is adjacent to the SJWC service area and has approximately 4,600 service connections. Under the terms of the lease, SJWC assumed responsibility for all maintenance and operating costs of the system, while receiving all payments for water service. SJWC paid an upfront $6.8 million concession fee and an additional $5.0 million in capital improvements to the City of Cupertino. On February 25, 2022, SJWC received a letter from the City of Cupertino exercising their option to extend the term of the lease an additional two years through October 1, 2024. SJWC paid an additional $1.6 million concession fee. The total concession fees paid for the agreement are being amortized over the contract term including the extension.</w:t>
      </w:r>
    </w:p>
    <w:p>
      <w:pPr>
        <w:spacing w:after="0" w:line="8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 xml:space="preserve">CTWS provides contracted services to water utilities, as well as offers </w:t>
      </w:r>
      <w:r>
        <w:rPr>
          <w:rFonts w:ascii="Arial" w:cs="Arial" w:eastAsia="Arial" w:hAnsi="Arial"/>
          <w:sz w:val="18"/>
          <w:szCs w:val="18"/>
          <w:i w:val="1"/>
          <w:iCs w:val="1"/>
          <w:color w:val="auto"/>
        </w:rPr>
        <w:t>Linebacker®</w:t>
      </w:r>
      <w:r>
        <w:rPr>
          <w:rFonts w:ascii="Arial" w:cs="Arial" w:eastAsia="Arial" w:hAnsi="Arial"/>
          <w:sz w:val="18"/>
          <w:szCs w:val="18"/>
          <w:color w:val="auto"/>
        </w:rPr>
        <w:t xml:space="preserve"> protection plans for public drinking water customers in the States of Connecticut and Maine. </w:t>
      </w:r>
      <w:r>
        <w:rPr>
          <w:rFonts w:ascii="Arial" w:cs="Arial" w:eastAsia="Arial" w:hAnsi="Arial"/>
          <w:sz w:val="18"/>
          <w:szCs w:val="18"/>
          <w:i w:val="1"/>
          <w:iCs w:val="1"/>
          <w:color w:val="auto"/>
        </w:rPr>
        <w:t>Linebacker</w:t>
      </w:r>
      <w:r>
        <w:rPr>
          <w:rFonts w:ascii="Arial" w:cs="Arial" w:eastAsia="Arial" w:hAnsi="Arial"/>
          <w:sz w:val="18"/>
          <w:szCs w:val="18"/>
          <w:color w:val="auto"/>
        </w:rPr>
        <w:t xml:space="preserve"> plans cover a limited amount of the cost of repairs to water and wastewater service lines and in-home plumbing. Services provided are dependent on the selected plan.</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SJW Land Company owns undeveloped real estate property in California and Tennessee, as well as commercial and warehouse properties in Tennessee.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Chester Realty, Inc. owns commercial properties and parcels of land in Connecticut.</w:t>
      </w:r>
    </w:p>
    <w:p>
      <w:pPr>
        <w:spacing w:after="0" w:line="103"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Among other things, operating results from the water business fluctuate according to the demand for water, which is often influenced by seasonal conditions, such as impact of drought, summer temperatures or the amount and timing of precipitation in Water Utility Services’ service areas. Revenue, production expenses and income are affected by changes in water sales and the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7" w:name="page8"/>
    <w:bookmarkEnd w:id="7"/>
    <w:p>
      <w:pPr>
        <w:ind w:right="420"/>
        <w:spacing w:after="0" w:line="263" w:lineRule="auto"/>
        <w:rPr>
          <w:sz w:val="20"/>
          <w:szCs w:val="20"/>
          <w:color w:val="auto"/>
        </w:rPr>
      </w:pPr>
      <w:r>
        <w:rPr>
          <w:rFonts w:ascii="Arial" w:cs="Arial" w:eastAsia="Arial" w:hAnsi="Arial"/>
          <w:sz w:val="18"/>
          <w:szCs w:val="18"/>
          <w:color w:val="auto"/>
        </w:rPr>
        <w:t>sources of water supply. Overhead costs, such as payroll and benefits, depreciation, interest on long-term debt, and property taxes are not significantly impacted by seasonality or water supply mix. As a result, earnings are highest in the higher demand, warm summer months and lowest in the lower demand, cool winter months.</w:t>
      </w:r>
    </w:p>
    <w:p>
      <w:pPr>
        <w:spacing w:after="0" w:line="11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Water Supply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California Water Supply</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SJWC’s water supply consists of groundwater from wells, surface water from watershed run-off and diversion, reclaimed water, and imported water purchased from Santa Clara Valley Water District (“Valley Water”) under the terms of a master contract with Valley Water expiring in 2051. During normal rainfall years, purchased water provides approximately 40% to 50% of SJWC’s annual production. An additional 40% to 50% of its water supply is pumped from the underground basin which is subject to a groundwater extraction charge paid to Valley Water. Surface supply, which during a normal rainfall year satisfies about 6% to 8% of SJWC’s annual water supply needs, provides approximately 1% of its water supply in a dry year and approximately 14% in a wet year. In dry years, the decrease in water from surface run-off and diversion and the corresponding increase in purchased and pumped water increases production expenses substantially.</w:t>
      </w:r>
    </w:p>
    <w:p>
      <w:pPr>
        <w:spacing w:after="0" w:line="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pumps and motors at SJWC’s groundwater production facilities are propelled by electric power. SJWC has installed standby power generators at 38 of its strategic water production sites and manages a fleet of 21 portable generators deployed throughout the distribution system for power outages at remaining pumping facilities. In addition, the commercial office and operations control centers are outfitted with standby power equipment that allow critical distribution and customer service operations to continue during a power outage. Valley Water has informed SJWC that its filter plants, which deliver purchased water to SJWC, are also equipped with standby generators. In the event of a power outage, SJWC believes it will be able to prevent an interruption of service to customers for a limited period by pumping water using generator power and by using purchased water from Valley Water.</w:t>
      </w:r>
    </w:p>
    <w:p>
      <w:pPr>
        <w:spacing w:after="0" w:line="5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2022, the level of water in the Santa Clara Valley groundwater basin, which is managed by the Valley Water, experienced an increase in most areas due to seasonal recovery, an increase in managed recharge operations, and a decrease in groundwater pumping by various water retailers in the region. As reported by Valley Water at the end of 2022, the groundwater level in the Santa Clara Plain was 14 feet higher compared to the same time in 2021. The total groundwater storage at the end of 2022 was within Stage 1 (Normal) of the Valley Water’s Water Shortage Contingency Plan. On January 1, 2023, Valley Water’s 10 reservoirs were 32% of capacity with 17,263 million gallons of water in storage. As of December 31, 2022, SJWC’s Lake Elsman was 45.5% of capacity with 912 million gallons of water, approximately 113.9% of the five-year seasonal average. In addition, the rainfall at SJWC’s Lake Elsman was measured at 29.45 inches for the period from July 1, 2022 through December 31, 2022, which is 207.4% of the five-year average. Subsequent to December 31, 2022, California has continued to experience wet weather patterns. SJWC’s Montevina Water Treatment Plant treated 1,883 million gallons of water in 2022, which is 103.5% of the five-year average. SJWC’s Saratoga Water Treatment Plant treated 42.7 million gallons of water in 2022, which is 17.1% of the five-year average. SJWC believes that its various sources of water supply will be sufficient to meet customer demand in 2023.</w:t>
      </w:r>
    </w:p>
    <w:p>
      <w:pPr>
        <w:spacing w:after="0" w:line="6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June 9, 2021, Valley Water declared a water shortage emergency and asked its retailers to reduce consumption by 15% based on 2019 usage. In response to Valley Water’s declaration of drought emergency and call for conservation, SJWC filed with the CPUC to activate Stage 3 of its Rule 14.1 Water Shortage Contingency Plan. The current restrictions center on outdoor water usage which typically accounts for half of a residential customer’s consumption. The restrictions include limits on watering days and times, use of potable water for washing structures and other non-porous surfaces except to protect public health and safety, and no outdoor watering during and up to 48 hours after measurable rainfall. In addition, SJWC implemented a plan with CPUC that established budgets for each residential customer and places a surcharge on water usage that exceeds the allotted budget that was set based on a 15% reduction to 2019 usage. There is no such surcharge for commercial customers except for landscaping water usage.</w:t>
      </w:r>
    </w:p>
    <w:p>
      <w:pPr>
        <w:spacing w:after="0" w:line="5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California also faces long-term water supply challenges. SJWC actively works with Valley Water to meet the challenges by continuing to educate customers on responsible water use practices and conducting long-range water supply planning.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Connecticut Water Supply</w:t>
      </w:r>
    </w:p>
    <w:p>
      <w:pPr>
        <w:spacing w:after="0" w:line="117"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Connecticut Water’s water sources vary among the individual systems, but overall approximately 80% of the total dependable yield comes from surface water supplies and 20% from wells. In addition, Connecticut Water has water supply agreements to supplement its water supply with the South Central Connecticut Regional Water Authority and The Metropolitan District that expire 2058 and 2053,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Texas Water Supply</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SJWTX’s water supply consists of groundwater from wells and purchased treated and raw water from the Guadalupe-Blanco River Authority (“GBRA”). SJWTX has long-term agreements with the GBRA, which expire in 2037, 2040, 2044 and 2050,</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 w:name="page9"/>
    <w:bookmarkEnd w:id="8"/>
    <w:p>
      <w:pPr>
        <w:spacing w:after="0" w:line="259" w:lineRule="auto"/>
        <w:rPr>
          <w:sz w:val="20"/>
          <w:szCs w:val="20"/>
          <w:color w:val="auto"/>
        </w:rPr>
      </w:pPr>
      <w:r>
        <w:rPr>
          <w:rFonts w:ascii="Arial" w:cs="Arial" w:eastAsia="Arial" w:hAnsi="Arial"/>
          <w:sz w:val="18"/>
          <w:szCs w:val="18"/>
          <w:color w:val="auto"/>
        </w:rPr>
        <w:t>respectively. The agreements, which are take-or-pay contracts, provide SJWTX with an aggregate of 7,650 acre-feet of water per year from Canyon Lake at prices that may be adjusted periodically by GBRA. SJWTX also has raw water supply agreements with the Lower Colorado River Authority (“LCRA”) and West Travis Public Utility Agency (“WTPUA”) expiring in 2059 and 2046, respectively, to provide for 350 acre-feet of water per year from Lake Austin and the Colorado River, respectively, at prices that may be adjusted periodically by the agencies.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Maine Water Supply</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Water sources at Maine Water vary among the individual systems, but overall approximately 90% of the total dependable yield comes from surface water supplies and 10% from wells. Maine Water has a water supply agreement with the Kennebec Water District expiring in 2040.</w:t>
      </w:r>
    </w:p>
    <w:p>
      <w:pPr>
        <w:spacing w:after="0" w:line="6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Maine Water relies on legislatively granted water rights in order to serve customers. In some instances, these rights were granted to predecessor water companies specially chartered by the Maine legislature many decades ago, with those entities later having been merged into Maine Water. The legislation incorporating these predecessor water companies did not address whether chartered rights may be transferred to another entity without special legislative action. The Maine Business Corporation Act generally provides that property and contract rights of a merged corporation are vested in the surviving corporation without reversion or impairment. In the MPUC proceedings that approved the mergers of these Maine Water predecessor companies, the survivorship of water rights was not contested.</w:t>
      </w:r>
    </w:p>
    <w:p>
      <w:pPr>
        <w:spacing w:after="0" w:line="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Please also see further discussion under </w:t>
      </w:r>
      <w:r>
        <w:rPr>
          <w:rFonts w:ascii="Arial" w:cs="Arial" w:eastAsia="Arial" w:hAnsi="Arial"/>
          <w:sz w:val="18"/>
          <w:szCs w:val="18"/>
          <w:u w:val="single" w:color="auto"/>
          <w:color w:val="0000FF"/>
        </w:rPr>
        <w:t>Item 1A</w:t>
      </w:r>
      <w:r>
        <w:rPr>
          <w:rFonts w:ascii="Arial" w:cs="Arial" w:eastAsia="Arial" w:hAnsi="Arial"/>
          <w:sz w:val="18"/>
          <w:szCs w:val="18"/>
          <w:color w:val="auto"/>
        </w:rPr>
        <w:t xml:space="preserve">, “Risk Factors” and </w:t>
      </w:r>
      <w:r>
        <w:rPr>
          <w:rFonts w:ascii="Arial" w:cs="Arial" w:eastAsia="Arial" w:hAnsi="Arial"/>
          <w:sz w:val="18"/>
          <w:szCs w:val="18"/>
          <w:u w:val="single" w:color="auto"/>
          <w:color w:val="0000FF"/>
        </w:rPr>
        <w:t>Item 7</w:t>
      </w:r>
      <w:r>
        <w:rPr>
          <w:rFonts w:ascii="Arial" w:cs="Arial" w:eastAsia="Arial" w:hAnsi="Arial"/>
          <w:sz w:val="18"/>
          <w:szCs w:val="18"/>
          <w:color w:val="auto"/>
        </w:rPr>
        <w:t>, “Management’s Discussion and Analysis of Financial Condition and Results of Operations.”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Franchises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Franchises granted by local jurisdictions permit Water Utility Services to construct, maintain, and operate water distribution systems within the streets and other public properties of a given jurisdiction.</w:t>
      </w:r>
    </w:p>
    <w:p>
      <w:pPr>
        <w:spacing w:after="0" w:line="6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SJWC holds the necessary franchises to provide water in portions of the cities of San Jose and Cupertino and in the cities of Campbell, Monte Sereno and Saratoga, the Town of Los Gatos and the unincorporated areas of Santa Clara County. None of the franchises have a termination date, other than the franchise for the unincorporated areas of Santa Clara County, which terminates in 2035.</w:t>
      </w:r>
    </w:p>
    <w:p>
      <w:pPr>
        <w:spacing w:after="0" w:line="7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Connecticut Water’s utility services hold the necessary franchises to provide water in portions of the towns of Ashford, Avon, Beacon Falls, Bethany, Bolton, Brooklyn, Burlington, Canton, Chester, Clinton, Colchester, Columbia, Coventry, Deep River, Durham, East Granby, East Haddam, East Hampton, East Windsor, Ellington, Enfield, Essex, Farmington, Griswold, Guilford, Haddam, Hebron, Killingly, Killingworth, Lebanon, Madison, Manchester, Mansfield, Marlborough, Middlebury, Naugatuck, Old Lyme, Old Saybrook, Oxford, Plainfield, Plymouth, Portland, Prospect, Simsbury, Somers, Southbury, South Windsor, Stafford, Stonington, Suffield, Thomaston, Thompson, Tolland, Vernon, Voluntown, Waterbury, Westbrook, Willington, Windsor Locks and Woodstock. Additionally, the Heritage Village Water division serves the Town of Southbury with wastewater services. None of the franchises of the Connecticut water utility services have a termination date.</w:t>
      </w:r>
    </w:p>
    <w:p>
      <w:pPr>
        <w:spacing w:after="0" w:line="8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Maine Water holds franchises necessary to provide water services in the towns served which are Biddeford, Saco, Old Orchard Beach, Scarborough (Pine Point), Porter, Parsonsfield, Hiram, Freeport, Camden, Rockland, Rockport, Owls Head, Union, Thomaston, Warren, Bucksport, Skowhegan, Oakland, Hartland, Millinocket and Greenville. None of the franchises with Maine Water have a termination date.</w:t>
      </w:r>
    </w:p>
    <w:p>
      <w:pPr>
        <w:spacing w:after="0" w:line="76"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SJWTX holds the franchises necessary to provide water and wastewater services to the City of Bulverde and the City of Spring Branch, which terminate in 2029 and 2036, respectively. The unincorporated areas that SJWTX serves in Comal, Blanco, Bandera, Hays, Kendall, Medina and Travis Counties do not require water service providers to obtain franchises.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Seasonal Factors</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Water sales are seasonal in nature and influenced by weather conditions. The timing of precipitation and climatic conditions can cause seasonal water consumption by customers to vary significantly. Demand for water is generally lower during the cooler and rainy winter months. Demand increases in the spring when the temperature rises and rain diminishes.</w:t>
      </w:r>
    </w:p>
    <w:p>
      <w:pPr>
        <w:spacing w:after="0" w:line="11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regulated operations of Water Utility Services are public utilities regulated by the CPUC in California, PURA in Connecticut, PUCT in Texas and MPUC in Maine (collectively, “the Regulators”) and operate within service areas approved by the regulators. Statutory laws provide that no other investor-owned public utility may operate in the service area of another public utility of the same class (e.g., another water utility) without first obtaining from the regulator a certificate of public convenience and necessity or similar authorization. Past experience shows such a certificate will be issued only after demonstrating that service in such area is inadequate.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9" w:name="page10"/>
    <w:bookmarkEnd w:id="9"/>
    <w:p>
      <w:pPr>
        <w:ind w:right="380"/>
        <w:spacing w:after="0" w:line="342" w:lineRule="auto"/>
        <w:rPr>
          <w:sz w:val="20"/>
          <w:szCs w:val="20"/>
          <w:color w:val="auto"/>
        </w:rPr>
      </w:pPr>
      <w:r>
        <w:rPr>
          <w:rFonts w:ascii="Arial" w:cs="Arial" w:eastAsia="Arial" w:hAnsi="Arial"/>
          <w:sz w:val="16"/>
          <w:szCs w:val="16"/>
          <w:color w:val="auto"/>
        </w:rPr>
        <w:t>California law also provides that whenever a public agency constructs facilities to extend utility service to the service area of a privately-owned public utility, like SJWC, such an act constitutes the taking of property and is conditioned upon payment of just compensation to the private utility.</w:t>
      </w:r>
    </w:p>
    <w:p>
      <w:pPr>
        <w:spacing w:after="0" w:line="1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Under the California law, municipalities, water districts and other public agencies have been authorized to engage in the ownership and operation of water systems. Such agencies are empowered to condemn properties operated by privately-owned public utilities upon payment of just compensation and are further authorized to issue bonds (including revenue bonds) for the purpose of acquiring or constructing water systems.</w:t>
      </w:r>
    </w:p>
    <w:p>
      <w:pPr>
        <w:spacing w:after="0" w:line="5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Under Connecticut law, any condemnation of water utility property by a municipality or any unit of state government requires the payment of just compensation for the taking. Further, any condemnation of utility land by a state department, institution or agency (including a municipality) requires the approval of the PURA.</w:t>
      </w:r>
    </w:p>
    <w:p>
      <w:pPr>
        <w:spacing w:after="0" w:line="7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Under Texas law, municipalities, water districts and other public agencies are authorized to engage in the ownership and operation of water systems. Such entities are empowered to acquire property, whether public or private, real or personal, by the exercise of the right of eminent domain, which entails payment to the owner of just compensation for the property taken. However, under current case law those entities may not exercise that right of eminent domain to take the entire operation of an investor-owned utility.</w:t>
      </w:r>
    </w:p>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Maine law, municipalities-individually and collectively, consumer-owned and standard water districts, and other public agencies are authorized to engage in the ownership and operation of water systems. Such entities may acquire the real and personal property of a privately-owned water company, and take over the company’s operations, by exercising the power of eminent domain. In such a taking, the acquiring entity must furnish the condemnee just compensation.</w:t>
      </w:r>
    </w:p>
    <w:p>
      <w:pPr>
        <w:spacing w:after="0" w:line="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 the company’s knowledge, no municipality, water district or other public agency has any pending proceeding to condemn any part of its existing water systems. The company is also unaware of any eminent domain proceeding to take any of its property or operations.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Water Utility Services produce potable water and generates wastewater and hazardous wastes in accordance with all applicable county, state and federal environmental rules and regulations. Additionally, public utilities are subject to environmental regulation by various other state and local governmental authorities.</w:t>
      </w:r>
    </w:p>
    <w:p>
      <w:pPr>
        <w:spacing w:after="0" w:line="76"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Water Utility Services is currently in compliance with all of the United States Environmental Protection Agency’s (the “EPA”) surface water treatment performance standards, drinking water standards for disinfection by-products and primary maximum contaminant levels. These standards have been adopted and are enforced by the California State Water Board, Division of Drinking Water, the Connecticut Department of Public Health, the Maine Department of Health and Human Services, and the Texas Commission on Environmental Quality for SJWC, Connecticut Water, Maine Water and SJWTX, respectively.</w:t>
      </w:r>
    </w:p>
    <w:p>
      <w:pPr>
        <w:spacing w:after="0" w:line="8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Other state and local environmental regulations apply to our Water Utility Services’ operations and facilities. These regulations relate primarily to the handling, storage and disposal of hazardous materials and discharges to the environment, including wastewater operations in the States of Connecticut and Texas. In 2016, SJWC began performing hazardous materials site assessments and remediation prior to the construction phase of capital projects. The site assessments are performed to remove any legacy materials and to obtain site closures from the Santa Clara County Department of Environmental Health under its Voluntary Cleanup Program.</w:t>
      </w:r>
    </w:p>
    <w:p>
      <w:pPr>
        <w:spacing w:after="0" w:line="80" w:lineRule="exact"/>
        <w:rPr>
          <w:sz w:val="20"/>
          <w:szCs w:val="20"/>
          <w:color w:val="auto"/>
        </w:rPr>
      </w:pPr>
    </w:p>
    <w:p>
      <w:pPr>
        <w:ind w:right="540"/>
        <w:spacing w:after="0" w:line="411" w:lineRule="auto"/>
        <w:rPr>
          <w:sz w:val="20"/>
          <w:szCs w:val="20"/>
          <w:color w:val="auto"/>
        </w:rPr>
      </w:pPr>
      <w:r>
        <w:rPr>
          <w:rFonts w:ascii="Arial" w:cs="Arial" w:eastAsia="Arial" w:hAnsi="Arial"/>
          <w:sz w:val="17"/>
          <w:szCs w:val="17"/>
          <w:color w:val="auto"/>
        </w:rPr>
        <w:t xml:space="preserve">Water Utility Services are currently in compliance with all state and local public health and environmental regulations applicable to their operations. Please also see Part II, </w:t>
      </w:r>
      <w:r>
        <w:rPr>
          <w:rFonts w:ascii="Arial" w:cs="Arial" w:eastAsia="Arial" w:hAnsi="Arial"/>
          <w:sz w:val="17"/>
          <w:szCs w:val="17"/>
          <w:u w:val="single" w:color="auto"/>
          <w:color w:val="0000FF"/>
        </w:rPr>
        <w:t>Item 7</w:t>
      </w:r>
      <w:r>
        <w:rPr>
          <w:rFonts w:ascii="Arial" w:cs="Arial" w:eastAsia="Arial" w:hAnsi="Arial"/>
          <w:sz w:val="17"/>
          <w:szCs w:val="17"/>
          <w:color w:val="auto"/>
        </w:rPr>
        <w:t>, “Management’s Discussion and Analysis of Financial Condition and Results of Operations.”</w:t>
      </w:r>
    </w:p>
    <w:p>
      <w:pPr>
        <w:spacing w:after="0" w:line="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Human Capital Resources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order to continue to achieve SJW Group’s mission of delivering life sustaining, high-quality water and exceptional service to families, businesses and communities, we are committed to attract, retain and develop the highest quality talent. We believe our employees are our most important asset. Throughout our organization, our employees embrace the company’s values of teamwork and respect, straight talk and transparency, integrity and trust, and service and compassion in everything we do. Employees participate in semi-annual employee engagement and satisfaction surveys providing feedback that enables the Company to continually assess and implement initiatives to enhance employee satisfaction and retention. Through our board and its committees, we are empowered to address factors that impact our employee strategy and drive positive change in our company and our communities. Our human capital measures and objectives focus on providing a safe and productive work environment that has clear positive and ethical values; a culture that embraces diversity, respect and equity; jobs that offer fair</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0" w:name="page11"/>
    <w:bookmarkEnd w:id="10"/>
    <w:p>
      <w:pPr>
        <w:ind w:right="200"/>
        <w:spacing w:after="0" w:line="277" w:lineRule="auto"/>
        <w:rPr>
          <w:sz w:val="20"/>
          <w:szCs w:val="20"/>
          <w:color w:val="auto"/>
        </w:rPr>
      </w:pPr>
      <w:r>
        <w:rPr>
          <w:rFonts w:ascii="Arial" w:cs="Arial" w:eastAsia="Arial" w:hAnsi="Arial"/>
          <w:sz w:val="18"/>
          <w:szCs w:val="18"/>
          <w:color w:val="auto"/>
        </w:rPr>
        <w:t>wages as benchmarked to the markets that we live and work in; competitive wages and benefits; and training and development opportunities that support our employees to establish and succeed in meaningful careers at SJW Group.</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Basic Workforce Data</w:t>
      </w:r>
    </w:p>
    <w:p>
      <w:pPr>
        <w:spacing w:after="0" w:line="117"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As of December 31, 2022, SJW Group had 757 full-time employees, of whom 362 were SJWC employees, 230 were Connecticut Water employees, 87 were SJWTX employees, and 78 were Maine Water employees. At SJWC, 215 employees are members of unions. Employees working for Connecticut Water, Maine Water and SJWTX are not represented by unions.</w:t>
      </w:r>
    </w:p>
    <w:p>
      <w:pPr>
        <w:spacing w:after="0" w:line="7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December of 2022, SJWC proposed tentative three-year bargaining agreements with the International Union of Operating Engineers (“OE”), representing certain employees in the engineering department, and the Utility Workers of America (“OWUA”), representing the majority of all non-administrative employees at SJWC covering the period from January 1, 2023 through December 31, 2025. The agreements include a 6% wage increase in 2023, 3.5% in 2024 and 5.5% in 2025 for the union workers. Acceptance of the OE and the OWUA bargaining agreements are anticipated in the first quarter of 2023.</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Safety and Pandemic Response</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Aiming for a “zero-harm” culture, our vision is to manage health and safety performance to become a leader in the water services industry. Protecting the health and safety of our employees is a top priority. Our employee health and safety programs, focus on four core elements:</w:t>
      </w:r>
    </w:p>
    <w:p>
      <w:pPr>
        <w:spacing w:after="0" w:line="6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Safety Leadership: demonstrating management commitment and support, empowering local teams to be accountable for safety;</w:t>
      </w:r>
    </w:p>
    <w:p>
      <w:pPr>
        <w:spacing w:after="0" w:line="117"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Participation: involving every employee in all aspects of the safety program, connecting safety initiatives to serving employees, customers, shareholders, our communities and the environment;</w:t>
      </w:r>
    </w:p>
    <w:p>
      <w:pPr>
        <w:spacing w:after="0" w:line="62"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Hazard Identification and Control: inspecting workplaces, identifying hazards, implementing controls, and partnering with the front-line teams responsible for delivering reliable, clean, safe drinking water and service; and,</w:t>
      </w:r>
    </w:p>
    <w:p>
      <w:pPr>
        <w:spacing w:after="0" w:line="62"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Training: training employees on hazards and how to protect themselves. Incident and crisis management of both known and unknown threats to employee health and safety are anticipated and planned for by our safety team.</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2022 Sustainability Plan and Supplemental Report, to be published in 2023, incorporates specific targets that set the trajectory of our safety program to ensure continuous improvement, including:</w:t>
      </w:r>
    </w:p>
    <w:p>
      <w:pPr>
        <w:spacing w:after="0" w:line="6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Implement processes and systems to track, monitor, report and continually improve health and safety performance;</w:t>
      </w:r>
    </w:p>
    <w:p>
      <w:pPr>
        <w:spacing w:after="0" w:line="117"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Communicate the updated Health and Safety Policy to employees to promote compliance, consultation, and participation of workers on health and safety matters;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Strive for zero accidents and injuries.</w:t>
      </w:r>
    </w:p>
    <w:p>
      <w:pPr>
        <w:spacing w:after="0" w:line="11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have implemented several management systems to plan and respond to workplace safety and training as well as incidents such as pandemics, wildfires, earthquakes, cyber threats and extreme weather, among others. The goal is to safeguard our employees’ health and safety during local, national, or global incidents. Locally, workplace hazards are identified by onsite inspections and from near-miss investigations. More broadly, the team collaborates to anticipate and plan for external events such as pandemic or for extreme weather or other external events that could impact our operations. Proactive identification of hazards keeps us one step ahead of our constantly changing workplace conditions.</w:t>
      </w:r>
    </w:p>
    <w:p>
      <w:pPr>
        <w:spacing w:after="0" w:line="6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During the COVID-19 pandemic, SJW Group’s primary focus has always been to protect the health and safety of employees, customers and the community from the spread of the disease in the workplace, while continuing to deliver reliable, clean and safe drinking water and service. Beginning in March 2020, with additional COVID-19 protections in place, we paused all non-essential services for two months; transitioned our office employees to company-wide remote work; and dispatched field service employees from their homes to minimize transmission of the virus. As the pandemic and knowledge of the virus evolved, our safety, human resources and operations teams implemented additional guidance protocols with a focus on cleaning and disinfection of facilities, vehicles, and tools; implementing engineering and administrative controls such as social distancing; and wearing face coverings to limit the transmission of the virus. In response to various stay-at-home government orders, we implemented policies and procedures to provide the flexibility to employees who are able to work from home and support remote-working by upgrading technology infrastructure, enhancing IT capabilities and implementing processes to facilitate online and remote communications. In an effort to ensure the safety and protection of our workplace and those customers and vendors with whom we serve and work, SJW Group announced a universal vaccination requirement for all employees by January 17, 2022 for three of our operating utilities and by February 14, 2022 at SJWC. On January 22, 2022, SJWC received a letter from the National Labor Relations Board (“NLRB”) stating that it would investigate the allegations from the Utility Workers Union of America Local 259 (“Local 259”) that SJWC failed to bargain in good faith by imposing a COVID vaccine mandate and threatening to terminate noncompliant employees and for, otherwise, failing to bargain over its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1" w:name="page12"/>
    <w:bookmarkEnd w:id="11"/>
    <w:p>
      <w:pPr>
        <w:jc w:val="both"/>
        <w:ind w:right="100"/>
        <w:spacing w:after="0" w:line="259" w:lineRule="auto"/>
        <w:rPr>
          <w:sz w:val="20"/>
          <w:szCs w:val="20"/>
          <w:color w:val="auto"/>
        </w:rPr>
      </w:pPr>
      <w:r>
        <w:rPr>
          <w:rFonts w:ascii="Arial" w:cs="Arial" w:eastAsia="Arial" w:hAnsi="Arial"/>
          <w:sz w:val="18"/>
          <w:szCs w:val="18"/>
          <w:color w:val="auto"/>
        </w:rPr>
        <w:t>decision to impose the mandate. The NLRB issued a decision to defer the unfair labor practice charge which was appealed by Local 259. In final response, the NLRB General Counsel denied the appeal with the decision to defer the unfair labor practice charge to arbitration. We continue to actively monitor all evolving federal, state and local guidance from public health authorities to ensure that our measures are in compliance with such rules and regulations and are effective in the continually changing pandemic environment.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Engagement and Satisfaction</w:t>
      </w:r>
    </w:p>
    <w:p>
      <w:pPr>
        <w:spacing w:after="0" w:line="117"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SJW Group has invested significantly in employee engagement and satisfaction in alignment with its values and five building blocks of Community, Customers, Employees, Environment and Shareholders. Employees across SJW Group identified and adopted four sets of core values to guide their work and interactions: integrity and trust, compassion and service, straight talk and transparency, and respect and teamwork. Our leadership employs a servant leadership model where all leaders are encouraged and expected to provide service to their people ensuring that they continue to grow and thrive in their profession, knowledge, and general well-being. Regular “Straight Talk” meetings, employee town halls and quarterly “Leadership on Tap” gatherings are held to continue to build and support our culture and values. Additionally, the Company provides ongoing opportunities for employee recognition from peers and leaders and also administers an employee engagement and satisfaction survey twice per year.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Diversity and Inclusion</w:t>
      </w:r>
    </w:p>
    <w:p>
      <w:pPr>
        <w:spacing w:after="0" w:line="117"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SJW Group believes that a workplace supporting diversity and inclusion not only promotes equity, teamwork, productivity and collaboration among employees, but also enables us to provide the best services to our customers, communities, and partners and enhance value for our stockholders. We are committed to fostering and maintaining a culture of diversity and inclusion, and we have been tracking our workforce demographics to identify employee teams, geographies, or seniority levels where hiring of minorities or specific demographic representation needs to be addressed. In 2021, CEO Eric Thornburg signed on to the CEO Action for Diversity &amp; Inclusion™ CEO pledge, which outlines a specific set of actions the signatory CEOs will take to cultivate a trusting environment where all ideas are welcomed and employees feel comfortable and empowered to have discussions about diversity and inclusion. The Company’s Diversity, Equity and Inclusion Council (the “Council”) is comprised of employee volunteers from all four subsidiaries representing the communities we serve. The Council has implemented several impactful initiatives in 2022, including ongoing education and communications utilizing numerous platforms, providing unconscious bias training, and creating opportunities for all employees to celebrate and support cultural days of personal significance in their communities.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2022, our workforce comprised of:</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Percentage of</w:t>
            </w:r>
          </w:p>
        </w:tc>
      </w:tr>
      <w:tr>
        <w:trPr>
          <w:trHeight w:val="243"/>
        </w:trPr>
        <w:tc>
          <w:tcPr>
            <w:tcW w:w="9560" w:type="dxa"/>
            <w:vAlign w:val="bottom"/>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Workforce</w:t>
            </w:r>
          </w:p>
        </w:tc>
      </w:tr>
      <w:tr>
        <w:trPr>
          <w:trHeight w:val="210"/>
        </w:trPr>
        <w:tc>
          <w:tcPr>
            <w:tcW w:w="9560" w:type="dxa"/>
            <w:vAlign w:val="bottom"/>
          </w:tcPr>
          <w:p>
            <w:pPr>
              <w:ind w:left="20"/>
              <w:spacing w:after="0"/>
              <w:rPr>
                <w:sz w:val="20"/>
                <w:szCs w:val="20"/>
                <w:color w:val="auto"/>
              </w:rPr>
            </w:pPr>
            <w:r>
              <w:rPr>
                <w:rFonts w:ascii="Arial" w:cs="Arial" w:eastAsia="Arial" w:hAnsi="Arial"/>
                <w:sz w:val="18"/>
                <w:szCs w:val="18"/>
                <w:color w:val="auto"/>
              </w:rPr>
              <w:t>Gender:</w:t>
            </w:r>
          </w:p>
        </w:tc>
        <w:tc>
          <w:tcPr>
            <w:tcW w:w="1680" w:type="dxa"/>
            <w:vAlign w:val="bottom"/>
          </w:tcPr>
          <w:p>
            <w:pPr>
              <w:spacing w:after="0"/>
              <w:rPr>
                <w:sz w:val="18"/>
                <w:szCs w:val="18"/>
                <w:color w:val="auto"/>
              </w:rPr>
            </w:pPr>
          </w:p>
        </w:tc>
      </w:tr>
      <w:tr>
        <w:trPr>
          <w:trHeight w:val="230"/>
        </w:trPr>
        <w:tc>
          <w:tcPr>
            <w:tcW w:w="9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Female</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30"/>
        </w:trPr>
        <w:tc>
          <w:tcPr>
            <w:tcW w:w="9560" w:type="dxa"/>
            <w:vAlign w:val="bottom"/>
          </w:tcPr>
          <w:p>
            <w:pPr>
              <w:ind w:left="140"/>
              <w:spacing w:after="0"/>
              <w:rPr>
                <w:sz w:val="20"/>
                <w:szCs w:val="20"/>
                <w:color w:val="auto"/>
              </w:rPr>
            </w:pPr>
            <w:r>
              <w:rPr>
                <w:rFonts w:ascii="Arial" w:cs="Arial" w:eastAsia="Arial" w:hAnsi="Arial"/>
                <w:sz w:val="18"/>
                <w:szCs w:val="18"/>
                <w:color w:val="auto"/>
              </w:rPr>
              <w:t>Male</w:t>
            </w:r>
          </w:p>
        </w:tc>
        <w:tc>
          <w:tcPr>
            <w:tcW w:w="1680" w:type="dxa"/>
            <w:vAlign w:val="bottom"/>
          </w:tcPr>
          <w:p>
            <w:pPr>
              <w:jc w:val="right"/>
              <w:spacing w:after="0"/>
              <w:rPr>
                <w:sz w:val="20"/>
                <w:szCs w:val="20"/>
                <w:color w:val="auto"/>
              </w:rPr>
            </w:pPr>
            <w:r>
              <w:rPr>
                <w:rFonts w:ascii="Arial" w:cs="Arial" w:eastAsia="Arial" w:hAnsi="Arial"/>
                <w:sz w:val="18"/>
                <w:szCs w:val="18"/>
                <w:color w:val="auto"/>
              </w:rPr>
              <w:t>71 %</w:t>
            </w:r>
          </w:p>
        </w:tc>
      </w:tr>
      <w:tr>
        <w:trPr>
          <w:trHeight w:val="229"/>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Ethnicity:</w:t>
            </w:r>
          </w:p>
        </w:tc>
        <w:tc>
          <w:tcPr>
            <w:tcW w:w="1680" w:type="dxa"/>
            <w:vAlign w:val="bottom"/>
            <w:shd w:val="clear" w:color="auto" w:fill="CCEEFF"/>
          </w:tcPr>
          <w:p>
            <w:pPr>
              <w:spacing w:after="0"/>
              <w:rPr>
                <w:sz w:val="19"/>
                <w:szCs w:val="19"/>
                <w:color w:val="auto"/>
              </w:rPr>
            </w:pPr>
          </w:p>
        </w:tc>
      </w:tr>
      <w:tr>
        <w:trPr>
          <w:trHeight w:val="230"/>
        </w:trPr>
        <w:tc>
          <w:tcPr>
            <w:tcW w:w="9560" w:type="dxa"/>
            <w:vAlign w:val="bottom"/>
          </w:tcPr>
          <w:p>
            <w:pPr>
              <w:ind w:left="140"/>
              <w:spacing w:after="0"/>
              <w:rPr>
                <w:sz w:val="20"/>
                <w:szCs w:val="20"/>
                <w:color w:val="auto"/>
              </w:rPr>
            </w:pPr>
            <w:r>
              <w:rPr>
                <w:rFonts w:ascii="Arial" w:cs="Arial" w:eastAsia="Arial" w:hAnsi="Arial"/>
                <w:sz w:val="18"/>
                <w:szCs w:val="18"/>
                <w:color w:val="auto"/>
              </w:rPr>
              <w:t>Hispanic or Latino</w:t>
            </w:r>
          </w:p>
        </w:tc>
        <w:tc>
          <w:tcPr>
            <w:tcW w:w="168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30"/>
        </w:trPr>
        <w:tc>
          <w:tcPr>
            <w:tcW w:w="9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 Hispanic or Latino</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r>
      <w:tr>
        <w:trPr>
          <w:trHeight w:val="230"/>
        </w:trPr>
        <w:tc>
          <w:tcPr>
            <w:tcW w:w="9560" w:type="dxa"/>
            <w:vAlign w:val="bottom"/>
          </w:tcPr>
          <w:p>
            <w:pPr>
              <w:ind w:left="20"/>
              <w:spacing w:after="0"/>
              <w:rPr>
                <w:sz w:val="20"/>
                <w:szCs w:val="20"/>
                <w:color w:val="auto"/>
              </w:rPr>
            </w:pPr>
            <w:r>
              <w:rPr>
                <w:rFonts w:ascii="Arial" w:cs="Arial" w:eastAsia="Arial" w:hAnsi="Arial"/>
                <w:sz w:val="18"/>
                <w:szCs w:val="18"/>
                <w:color w:val="auto"/>
              </w:rPr>
              <w:t>Race:</w:t>
            </w:r>
          </w:p>
        </w:tc>
        <w:tc>
          <w:tcPr>
            <w:tcW w:w="1680" w:type="dxa"/>
            <w:vAlign w:val="bottom"/>
          </w:tcPr>
          <w:p>
            <w:pPr>
              <w:spacing w:after="0"/>
              <w:rPr>
                <w:sz w:val="19"/>
                <w:szCs w:val="19"/>
                <w:color w:val="auto"/>
              </w:rPr>
            </w:pPr>
          </w:p>
        </w:tc>
      </w:tr>
      <w:tr>
        <w:trPr>
          <w:trHeight w:val="230"/>
        </w:trPr>
        <w:tc>
          <w:tcPr>
            <w:tcW w:w="9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White</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r>
      <w:tr>
        <w:trPr>
          <w:trHeight w:val="229"/>
        </w:trPr>
        <w:tc>
          <w:tcPr>
            <w:tcW w:w="9560" w:type="dxa"/>
            <w:vAlign w:val="bottom"/>
          </w:tcPr>
          <w:p>
            <w:pPr>
              <w:ind w:left="140"/>
              <w:spacing w:after="0"/>
              <w:rPr>
                <w:sz w:val="20"/>
                <w:szCs w:val="20"/>
                <w:color w:val="auto"/>
              </w:rPr>
            </w:pPr>
            <w:r>
              <w:rPr>
                <w:rFonts w:ascii="Arial" w:cs="Arial" w:eastAsia="Arial" w:hAnsi="Arial"/>
                <w:sz w:val="18"/>
                <w:szCs w:val="18"/>
                <w:color w:val="auto"/>
              </w:rPr>
              <w:t>Asian</w:t>
            </w:r>
          </w:p>
        </w:tc>
        <w:tc>
          <w:tcPr>
            <w:tcW w:w="168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30"/>
        </w:trPr>
        <w:tc>
          <w:tcPr>
            <w:tcW w:w="9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 or More Races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9560" w:type="dxa"/>
            <w:vAlign w:val="bottom"/>
          </w:tcPr>
          <w:p>
            <w:pPr>
              <w:ind w:left="140"/>
              <w:spacing w:after="0"/>
              <w:rPr>
                <w:sz w:val="20"/>
                <w:szCs w:val="20"/>
                <w:color w:val="auto"/>
              </w:rPr>
            </w:pPr>
            <w:r>
              <w:rPr>
                <w:rFonts w:ascii="Arial" w:cs="Arial" w:eastAsia="Arial" w:hAnsi="Arial"/>
                <w:sz w:val="18"/>
                <w:szCs w:val="18"/>
                <w:color w:val="auto"/>
              </w:rPr>
              <w:t>Black or African American</w:t>
            </w:r>
          </w:p>
        </w:tc>
        <w:tc>
          <w:tcPr>
            <w:tcW w:w="168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9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American Indian or Alaska Native</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29"/>
        </w:trPr>
        <w:tc>
          <w:tcPr>
            <w:tcW w:w="9560" w:type="dxa"/>
            <w:vAlign w:val="bottom"/>
          </w:tcPr>
          <w:p>
            <w:pPr>
              <w:ind w:left="140"/>
              <w:spacing w:after="0"/>
              <w:rPr>
                <w:sz w:val="20"/>
                <w:szCs w:val="20"/>
                <w:color w:val="auto"/>
              </w:rPr>
            </w:pPr>
            <w:r>
              <w:rPr>
                <w:rFonts w:ascii="Arial" w:cs="Arial" w:eastAsia="Arial" w:hAnsi="Arial"/>
                <w:sz w:val="18"/>
                <w:szCs w:val="18"/>
                <w:color w:val="auto"/>
              </w:rPr>
              <w:t>Native Hawaiian or Other Pacific Islander</w:t>
            </w:r>
          </w:p>
        </w:tc>
        <w:tc>
          <w:tcPr>
            <w:tcW w:w="168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9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Other/Not Reported</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bl>
    <w:p>
      <w:pPr>
        <w:spacing w:after="0" w:line="18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work to ensure training and development opportunities are available so that all employees can establish and succeed in meaningful careers at SJW Group. In addition, we currently comply with California’s board diversity legislation requiring a minimum number of female directors and directors from underrepresented communities on our board of directors.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Community Involvement</w:t>
      </w:r>
    </w:p>
    <w:p>
      <w:pPr>
        <w:spacing w:after="0" w:line="117"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In support of our mission as trusted, passionate and socially responsible professionals, we are dedicated to the people and the environment of the communities where we live, work, and serve. SJW Group provides various opportunities for our employees to participate in outreach programs from free virtual education programs for adults, employee-led courses for elementary school aged children, winter coat donation drives, environmental cleanups, community events, and grant programs supporting schools and fire departments. In addition, each of our subsidiaries supports their communities through charitable donations or sponsorships with a focus on the communities served. SJWC and Connecticut Water also have matching donations for certain programs to further promote our employees’ involvement in their communities. In California, the SJWC Employees Community Fund is a 501(c)(3) charitable organization that uses funds from employee contributions and company matches to provide grants to non-profit organizations supported by our employees.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Wages and Competitive Benefits</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SJW Group’s future success is largely dependent upon our ability to attract and retain highly-skilled and qualified employees. Our California and Connecticut subsidiaries operate in particularly competitive labor markets, we believe our compensation package and benefit programs allow us to recruit and retain talented and qualified personnel. Our compensation and benefits programs include:</w:t>
      </w:r>
    </w:p>
    <w:p>
      <w:pPr>
        <w:spacing w:after="0" w:line="76" w:lineRule="exact"/>
        <w:rPr>
          <w:sz w:val="20"/>
          <w:szCs w:val="20"/>
          <w:color w:val="auto"/>
        </w:rPr>
      </w:pPr>
    </w:p>
    <w:p>
      <w:pPr>
        <w:ind w:left="660" w:right="9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Fair employee wages as benchmarked to the markets that our employees live and work in that are consistent with employee roles and responsibilities, skill levels, experience, and knowledge;</w:t>
      </w:r>
    </w:p>
    <w:p>
      <w:pPr>
        <w:spacing w:after="0" w:line="62" w:lineRule="exact"/>
        <w:rPr>
          <w:rFonts w:ascii="Arial" w:cs="Arial" w:eastAsia="Arial" w:hAnsi="Arial"/>
          <w:sz w:val="18"/>
          <w:szCs w:val="18"/>
          <w:color w:val="auto"/>
        </w:rPr>
      </w:pPr>
    </w:p>
    <w:p>
      <w:pPr>
        <w:ind w:left="660" w:right="2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Engagement of nationally, recognized outside compensation and benefits consulting firms to independently evaluate the appropriateness and effectiveness of compensation for our executive and other officers and to provide benchmarks for executive compensation as compared to peer companies;</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Short-term incentive compensation for management level staff aligning with company financial and operational goals targeted to our stakeholders: customers, communities, employees and stockholders;</w:t>
      </w:r>
    </w:p>
    <w:p>
      <w:pPr>
        <w:spacing w:after="0" w:line="62"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Alignment with stockholder value by utilizing equity awards linked to investment performance over time, as well as certain absolute financial results;</w:t>
      </w:r>
    </w:p>
    <w:p>
      <w:pPr>
        <w:spacing w:after="0" w:line="62"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comprehensive annual employee performance review process pursuant to which we determine and communicate to employees annual merit increases, promotions and other changes to responsibilities and duties; and</w:t>
      </w:r>
    </w:p>
    <w:p>
      <w:pPr>
        <w:spacing w:after="0" w:line="62"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Eligibility for all employees to participate in health insurance, dental, vision, cafeteria plans, life and disability/accident coverage, retirement plans and/or salary deferral plans, an Employee Stock Purchase Plan, paid and unpaid leaves, a commuter assistance program, professional education and training, and tuition assistance.</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name, age, offices held and business experience for each of our executive officers, as of February 24, 2023:</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2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8560" w:type="dxa"/>
            <w:vAlign w:val="bottom"/>
          </w:tcPr>
          <w:p>
            <w:pPr>
              <w:ind w:left="3640"/>
              <w:spacing w:after="0"/>
              <w:rPr>
                <w:sz w:val="20"/>
                <w:szCs w:val="20"/>
                <w:color w:val="auto"/>
              </w:rPr>
            </w:pPr>
            <w:r>
              <w:rPr>
                <w:rFonts w:ascii="Arial" w:cs="Arial" w:eastAsia="Arial" w:hAnsi="Arial"/>
                <w:sz w:val="14"/>
                <w:szCs w:val="14"/>
                <w:b w:val="1"/>
                <w:bCs w:val="1"/>
                <w:color w:val="auto"/>
              </w:rPr>
              <w:t>Offices and Experience</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560" w:type="dxa"/>
            <w:vAlign w:val="bottom"/>
            <w:vMerge w:val="restart"/>
          </w:tcPr>
          <w:p>
            <w:pPr>
              <w:ind w:left="140"/>
              <w:spacing w:after="0"/>
              <w:rPr>
                <w:sz w:val="20"/>
                <w:szCs w:val="20"/>
                <w:color w:val="auto"/>
              </w:rPr>
            </w:pPr>
            <w:r>
              <w:rPr>
                <w:rFonts w:ascii="Arial" w:cs="Arial" w:eastAsia="Arial" w:hAnsi="Arial"/>
                <w:sz w:val="18"/>
                <w:szCs w:val="18"/>
                <w:b w:val="1"/>
                <w:bCs w:val="1"/>
                <w:color w:val="auto"/>
                <w:w w:val="91"/>
              </w:rPr>
              <w:t xml:space="preserve">SJW Group— Vice President, General Counsel and Corporate Secretary. </w:t>
            </w:r>
            <w:r>
              <w:rPr>
                <w:rFonts w:ascii="Arial" w:cs="Arial" w:eastAsia="Arial" w:hAnsi="Arial"/>
                <w:sz w:val="18"/>
                <w:szCs w:val="18"/>
                <w:color w:val="auto"/>
                <w:w w:val="91"/>
              </w:rPr>
              <w:t>Mr. Brown serves as Vice President,</w:t>
            </w:r>
          </w:p>
        </w:tc>
        <w:tc>
          <w:tcPr>
            <w:tcW w:w="0" w:type="dxa"/>
            <w:vAlign w:val="bottom"/>
          </w:tcPr>
          <w:p>
            <w:pPr>
              <w:spacing w:after="0" w:line="20" w:lineRule="exact"/>
              <w:rPr>
                <w:sz w:val="1"/>
                <w:szCs w:val="1"/>
                <w:color w:val="auto"/>
              </w:rPr>
            </w:pPr>
          </w:p>
        </w:tc>
      </w:tr>
      <w:tr>
        <w:trPr>
          <w:trHeight w:val="209"/>
        </w:trPr>
        <w:tc>
          <w:tcPr>
            <w:tcW w:w="2280" w:type="dxa"/>
            <w:vAlign w:val="bottom"/>
            <w:gridSpan w:val="2"/>
          </w:tcPr>
          <w:p>
            <w:pPr>
              <w:spacing w:after="0"/>
              <w:rPr>
                <w:sz w:val="20"/>
                <w:szCs w:val="20"/>
                <w:color w:val="auto"/>
              </w:rPr>
            </w:pPr>
            <w:r>
              <w:rPr>
                <w:rFonts w:ascii="Arial" w:cs="Arial" w:eastAsia="Arial" w:hAnsi="Arial"/>
                <w:sz w:val="18"/>
                <w:szCs w:val="18"/>
                <w:color w:val="auto"/>
              </w:rPr>
              <w:t>Willie Brown</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55</w:t>
            </w:r>
          </w:p>
        </w:tc>
        <w:tc>
          <w:tcPr>
            <w:tcW w:w="120" w:type="dxa"/>
            <w:vAlign w:val="bottom"/>
          </w:tcPr>
          <w:p>
            <w:pPr>
              <w:spacing w:after="0"/>
              <w:rPr>
                <w:sz w:val="18"/>
                <w:szCs w:val="18"/>
                <w:color w:val="auto"/>
              </w:rPr>
            </w:pPr>
          </w:p>
        </w:tc>
        <w:tc>
          <w:tcPr>
            <w:tcW w:w="8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60" w:type="dxa"/>
            <w:vAlign w:val="bottom"/>
          </w:tcPr>
          <w:p>
            <w:pPr>
              <w:ind w:left="140"/>
              <w:spacing w:after="0" w:line="189" w:lineRule="exact"/>
              <w:rPr>
                <w:sz w:val="20"/>
                <w:szCs w:val="20"/>
                <w:color w:val="auto"/>
              </w:rPr>
            </w:pPr>
            <w:r>
              <w:rPr>
                <w:rFonts w:ascii="Arial" w:cs="Arial" w:eastAsia="Arial" w:hAnsi="Arial"/>
                <w:sz w:val="18"/>
                <w:szCs w:val="18"/>
                <w:color w:val="auto"/>
                <w:w w:val="95"/>
              </w:rPr>
              <w:t>General Counsel and Corporate Secretary of SJW Group and SJWC since June 1, 2021. Mr. Brown served as</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Arial" w:cs="Arial" w:eastAsia="Arial" w:hAnsi="Arial"/>
                <w:sz w:val="18"/>
                <w:szCs w:val="18"/>
                <w:color w:val="auto"/>
                <w:w w:val="93"/>
              </w:rPr>
              <w:t>Corporate Secretary and Assistant General Counsel of SJW Group and SJWC since January 1, 2020. Since April</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Arial" w:cs="Arial" w:eastAsia="Arial" w:hAnsi="Arial"/>
                <w:sz w:val="18"/>
                <w:szCs w:val="18"/>
                <w:color w:val="auto"/>
                <w:w w:val="92"/>
              </w:rPr>
              <w:t>2018, Mr. Brown has served as counsel and Corporate Secretary of various subsidiaries of the Corporation. Since</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60" w:type="dxa"/>
            <w:vAlign w:val="bottom"/>
          </w:tcPr>
          <w:p>
            <w:pPr>
              <w:ind w:left="140"/>
              <w:spacing w:after="0" w:line="189" w:lineRule="exact"/>
              <w:rPr>
                <w:sz w:val="20"/>
                <w:szCs w:val="20"/>
                <w:color w:val="auto"/>
              </w:rPr>
            </w:pPr>
            <w:r>
              <w:rPr>
                <w:rFonts w:ascii="Arial" w:cs="Arial" w:eastAsia="Arial" w:hAnsi="Arial"/>
                <w:sz w:val="18"/>
                <w:szCs w:val="18"/>
                <w:color w:val="auto"/>
                <w:w w:val="95"/>
              </w:rPr>
              <w:t>joining SJWC in 2008, Mr. Brown has held various legal positions of increasing scope and responsibly. Prior to</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Arial" w:cs="Arial" w:eastAsia="Arial" w:hAnsi="Arial"/>
                <w:sz w:val="18"/>
                <w:szCs w:val="18"/>
                <w:color w:val="auto"/>
                <w:w w:val="96"/>
              </w:rPr>
              <w:t>joining SJWC, Mr. Brown was an associate at two Silicon Valley law firms and is a member of the State Bar of</w:t>
            </w: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560" w:type="dxa"/>
            <w:vAlign w:val="bottom"/>
          </w:tcPr>
          <w:p>
            <w:pPr>
              <w:ind w:left="14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180"/>
        </w:trPr>
        <w:tc>
          <w:tcPr>
            <w:tcW w:w="2280" w:type="dxa"/>
            <w:vAlign w:val="bottom"/>
            <w:gridSpan w:val="2"/>
          </w:tcPr>
          <w:p>
            <w:pPr>
              <w:spacing w:after="0" w:line="181" w:lineRule="exact"/>
              <w:rPr>
                <w:sz w:val="20"/>
                <w:szCs w:val="20"/>
                <w:color w:val="auto"/>
              </w:rPr>
            </w:pPr>
            <w:r>
              <w:rPr>
                <w:rFonts w:ascii="Arial" w:cs="Arial" w:eastAsia="Arial" w:hAnsi="Arial"/>
                <w:sz w:val="18"/>
                <w:szCs w:val="18"/>
                <w:color w:val="auto"/>
              </w:rPr>
              <w:t>Andrew R. Gere</w:t>
            </w:r>
          </w:p>
        </w:tc>
        <w:tc>
          <w:tcPr>
            <w:tcW w:w="240" w:type="dxa"/>
            <w:vAlign w:val="bottom"/>
          </w:tcPr>
          <w:p>
            <w:pPr>
              <w:ind w:left="20"/>
              <w:spacing w:after="0" w:line="181" w:lineRule="exact"/>
              <w:rPr>
                <w:sz w:val="20"/>
                <w:szCs w:val="20"/>
                <w:color w:val="auto"/>
              </w:rPr>
            </w:pPr>
            <w:r>
              <w:rPr>
                <w:rFonts w:ascii="Arial" w:cs="Arial" w:eastAsia="Arial" w:hAnsi="Arial"/>
                <w:sz w:val="18"/>
                <w:szCs w:val="18"/>
                <w:color w:val="auto"/>
                <w:w w:val="99"/>
              </w:rPr>
              <w:t>56</w:t>
            </w:r>
          </w:p>
        </w:tc>
        <w:tc>
          <w:tcPr>
            <w:tcW w:w="120" w:type="dxa"/>
            <w:vAlign w:val="bottom"/>
          </w:tcPr>
          <w:p>
            <w:pPr>
              <w:spacing w:after="0"/>
              <w:rPr>
                <w:sz w:val="15"/>
                <w:szCs w:val="15"/>
                <w:color w:val="auto"/>
              </w:rPr>
            </w:pPr>
          </w:p>
        </w:tc>
        <w:tc>
          <w:tcPr>
            <w:tcW w:w="8560" w:type="dxa"/>
            <w:vAlign w:val="bottom"/>
          </w:tcPr>
          <w:p>
            <w:pPr>
              <w:ind w:left="140"/>
              <w:spacing w:after="0" w:line="181" w:lineRule="exact"/>
              <w:rPr>
                <w:sz w:val="20"/>
                <w:szCs w:val="20"/>
                <w:color w:val="auto"/>
              </w:rPr>
            </w:pPr>
            <w:r>
              <w:rPr>
                <w:rFonts w:ascii="Arial" w:cs="Arial" w:eastAsia="Arial" w:hAnsi="Arial"/>
                <w:sz w:val="18"/>
                <w:szCs w:val="18"/>
                <w:b w:val="1"/>
                <w:bCs w:val="1"/>
                <w:color w:val="auto"/>
                <w:w w:val="91"/>
              </w:rPr>
              <w:t xml:space="preserve">SJWC—President. </w:t>
            </w:r>
            <w:r>
              <w:rPr>
                <w:rFonts w:ascii="Arial" w:cs="Arial" w:eastAsia="Arial" w:hAnsi="Arial"/>
                <w:sz w:val="18"/>
                <w:szCs w:val="18"/>
                <w:color w:val="auto"/>
                <w:w w:val="91"/>
              </w:rPr>
              <w:t>Mr. Gere serves as President since April 2016 and was Chief Operating Officer from April 2015</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60" w:type="dxa"/>
            <w:vAlign w:val="bottom"/>
          </w:tcPr>
          <w:p>
            <w:pPr>
              <w:ind w:left="140"/>
              <w:spacing w:after="0" w:line="189" w:lineRule="exact"/>
              <w:rPr>
                <w:sz w:val="20"/>
                <w:szCs w:val="20"/>
                <w:color w:val="auto"/>
              </w:rPr>
            </w:pPr>
            <w:r>
              <w:rPr>
                <w:rFonts w:ascii="Arial" w:cs="Arial" w:eastAsia="Arial" w:hAnsi="Arial"/>
                <w:sz w:val="18"/>
                <w:szCs w:val="18"/>
                <w:color w:val="auto"/>
                <w:w w:val="93"/>
              </w:rPr>
              <w:t>to December 2022. From 2013 to April 2015, Mr. Gere was Vice President of Operations. From 2008 to 2013, Mr.</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Arial" w:cs="Arial" w:eastAsia="Arial" w:hAnsi="Arial"/>
                <w:sz w:val="18"/>
                <w:szCs w:val="18"/>
                <w:color w:val="auto"/>
                <w:w w:val="92"/>
              </w:rPr>
              <w:t>Gere was Chief of Operations. From 2006 to 2008, Mr. Gere was Director of Maintenance. From 2005 to 2006, Mr.</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Arial" w:cs="Arial" w:eastAsia="Arial" w:hAnsi="Arial"/>
                <w:sz w:val="18"/>
                <w:szCs w:val="18"/>
                <w:color w:val="auto"/>
                <w:w w:val="92"/>
              </w:rPr>
              <w:t>Gere was Director of Operations and Water Quality. From 2003 to 2005, Mr. Gere was Manager of Operations and</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60" w:type="dxa"/>
            <w:vAlign w:val="bottom"/>
          </w:tcPr>
          <w:p>
            <w:pPr>
              <w:ind w:left="140"/>
              <w:spacing w:after="0" w:line="189" w:lineRule="exact"/>
              <w:rPr>
                <w:sz w:val="20"/>
                <w:szCs w:val="20"/>
                <w:color w:val="auto"/>
              </w:rPr>
            </w:pPr>
            <w:r>
              <w:rPr>
                <w:rFonts w:ascii="Arial" w:cs="Arial" w:eastAsia="Arial" w:hAnsi="Arial"/>
                <w:sz w:val="18"/>
                <w:szCs w:val="18"/>
                <w:color w:val="auto"/>
                <w:w w:val="89"/>
              </w:rPr>
              <w:t>Water Quality. Mr. Gere has been with SJWC since 1995. From October 2019 to December 2020, Mr. Gere served as</w:t>
            </w:r>
          </w:p>
        </w:tc>
        <w:tc>
          <w:tcPr>
            <w:tcW w:w="0" w:type="dxa"/>
            <w:vAlign w:val="bottom"/>
          </w:tcPr>
          <w:p>
            <w:pPr>
              <w:spacing w:after="0"/>
              <w:rPr>
                <w:sz w:val="1"/>
                <w:szCs w:val="1"/>
                <w:color w:val="auto"/>
              </w:rPr>
            </w:pPr>
          </w:p>
        </w:tc>
      </w:tr>
      <w:tr>
        <w:trPr>
          <w:trHeight w:val="226"/>
        </w:trPr>
        <w:tc>
          <w:tcPr>
            <w:tcW w:w="3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560" w:type="dxa"/>
            <w:vAlign w:val="bottom"/>
          </w:tcPr>
          <w:p>
            <w:pPr>
              <w:ind w:left="140"/>
              <w:spacing w:after="0"/>
              <w:rPr>
                <w:sz w:val="20"/>
                <w:szCs w:val="20"/>
                <w:color w:val="auto"/>
              </w:rPr>
            </w:pPr>
            <w:r>
              <w:rPr>
                <w:rFonts w:ascii="Arial" w:cs="Arial" w:eastAsia="Arial" w:hAnsi="Arial"/>
                <w:sz w:val="18"/>
                <w:szCs w:val="18"/>
                <w:color w:val="auto"/>
              </w:rPr>
              <w:t>Chairman of the National Association of Water Companies.</w:t>
            </w:r>
          </w:p>
        </w:tc>
        <w:tc>
          <w:tcPr>
            <w:tcW w:w="0" w:type="dxa"/>
            <w:vAlign w:val="bottom"/>
          </w:tcPr>
          <w:p>
            <w:pPr>
              <w:spacing w:after="0"/>
              <w:rPr>
                <w:sz w:val="1"/>
                <w:szCs w:val="1"/>
                <w:color w:val="auto"/>
              </w:rPr>
            </w:pPr>
          </w:p>
        </w:tc>
      </w:tr>
      <w:tr>
        <w:trPr>
          <w:trHeight w:val="180"/>
        </w:trPr>
        <w:tc>
          <w:tcPr>
            <w:tcW w:w="2280" w:type="dxa"/>
            <w:vAlign w:val="bottom"/>
            <w:gridSpan w:val="2"/>
          </w:tcPr>
          <w:p>
            <w:pPr>
              <w:spacing w:after="0" w:line="181" w:lineRule="exact"/>
              <w:rPr>
                <w:sz w:val="20"/>
                <w:szCs w:val="20"/>
                <w:color w:val="auto"/>
              </w:rPr>
            </w:pPr>
            <w:r>
              <w:rPr>
                <w:rFonts w:ascii="Arial" w:cs="Arial" w:eastAsia="Arial" w:hAnsi="Arial"/>
                <w:sz w:val="18"/>
                <w:szCs w:val="18"/>
                <w:color w:val="auto"/>
              </w:rPr>
              <w:t>Bruce A. Hauk</w:t>
            </w:r>
          </w:p>
        </w:tc>
        <w:tc>
          <w:tcPr>
            <w:tcW w:w="240" w:type="dxa"/>
            <w:vAlign w:val="bottom"/>
          </w:tcPr>
          <w:p>
            <w:pPr>
              <w:ind w:left="20"/>
              <w:spacing w:after="0" w:line="181" w:lineRule="exact"/>
              <w:rPr>
                <w:sz w:val="20"/>
                <w:szCs w:val="20"/>
                <w:color w:val="auto"/>
              </w:rPr>
            </w:pPr>
            <w:r>
              <w:rPr>
                <w:rFonts w:ascii="Arial" w:cs="Arial" w:eastAsia="Arial" w:hAnsi="Arial"/>
                <w:sz w:val="18"/>
                <w:szCs w:val="18"/>
                <w:color w:val="auto"/>
                <w:w w:val="99"/>
              </w:rPr>
              <w:t>52</w:t>
            </w:r>
          </w:p>
        </w:tc>
        <w:tc>
          <w:tcPr>
            <w:tcW w:w="120" w:type="dxa"/>
            <w:vAlign w:val="bottom"/>
          </w:tcPr>
          <w:p>
            <w:pPr>
              <w:spacing w:after="0"/>
              <w:rPr>
                <w:sz w:val="15"/>
                <w:szCs w:val="15"/>
                <w:color w:val="auto"/>
              </w:rPr>
            </w:pPr>
          </w:p>
        </w:tc>
        <w:tc>
          <w:tcPr>
            <w:tcW w:w="8560" w:type="dxa"/>
            <w:vAlign w:val="bottom"/>
          </w:tcPr>
          <w:p>
            <w:pPr>
              <w:ind w:left="140"/>
              <w:spacing w:after="0" w:line="181" w:lineRule="exact"/>
              <w:rPr>
                <w:sz w:val="20"/>
                <w:szCs w:val="20"/>
                <w:color w:val="auto"/>
              </w:rPr>
            </w:pPr>
            <w:r>
              <w:rPr>
                <w:rFonts w:ascii="Arial" w:cs="Arial" w:eastAsia="Arial" w:hAnsi="Arial"/>
                <w:sz w:val="18"/>
                <w:szCs w:val="18"/>
                <w:b w:val="1"/>
                <w:bCs w:val="1"/>
                <w:color w:val="auto"/>
                <w:w w:val="95"/>
              </w:rPr>
              <w:t xml:space="preserve">SJW Group—Chief Operating Officer. </w:t>
            </w:r>
            <w:r>
              <w:rPr>
                <w:rFonts w:ascii="Arial" w:cs="Arial" w:eastAsia="Arial" w:hAnsi="Arial"/>
                <w:sz w:val="18"/>
                <w:szCs w:val="18"/>
                <w:color w:val="auto"/>
                <w:w w:val="95"/>
              </w:rPr>
              <w:t>Mr. Hauk serves as the Chief Operating Officer of SJW Group, SJWC,</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60" w:type="dxa"/>
            <w:vAlign w:val="bottom"/>
          </w:tcPr>
          <w:p>
            <w:pPr>
              <w:ind w:left="140"/>
              <w:spacing w:after="0" w:line="189" w:lineRule="exact"/>
              <w:rPr>
                <w:sz w:val="20"/>
                <w:szCs w:val="20"/>
                <w:color w:val="auto"/>
              </w:rPr>
            </w:pPr>
            <w:r>
              <w:rPr>
                <w:rFonts w:ascii="Arial" w:cs="Arial" w:eastAsia="Arial" w:hAnsi="Arial"/>
                <w:sz w:val="18"/>
                <w:szCs w:val="18"/>
                <w:color w:val="auto"/>
                <w:w w:val="94"/>
              </w:rPr>
              <w:t>CTWS, and SJWTX since January 2023 and was the Chief Corporate Development and Strategy Officer of SJW</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Arial" w:cs="Arial" w:eastAsia="Arial" w:hAnsi="Arial"/>
                <w:sz w:val="18"/>
                <w:szCs w:val="18"/>
                <w:color w:val="auto"/>
                <w:w w:val="93"/>
              </w:rPr>
              <w:t>Group, SJWC, CTWS, and SJWTX from August 2022 to December 2022. Prior to joining the Company, Mr. Hauk</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Arial" w:cs="Arial" w:eastAsia="Arial" w:hAnsi="Arial"/>
                <w:sz w:val="18"/>
                <w:szCs w:val="18"/>
                <w:color w:val="auto"/>
                <w:w w:val="94"/>
              </w:rPr>
              <w:t>was the President of NextEra Water from May 2021 to August 2022. Prior to joining NextEra, Mr. Hauk served in</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60" w:type="dxa"/>
            <w:vAlign w:val="bottom"/>
          </w:tcPr>
          <w:p>
            <w:pPr>
              <w:ind w:left="140"/>
              <w:spacing w:after="0" w:line="189" w:lineRule="exact"/>
              <w:rPr>
                <w:sz w:val="20"/>
                <w:szCs w:val="20"/>
                <w:color w:val="auto"/>
              </w:rPr>
            </w:pPr>
            <w:r>
              <w:rPr>
                <w:rFonts w:ascii="Arial" w:cs="Arial" w:eastAsia="Arial" w:hAnsi="Arial"/>
                <w:sz w:val="18"/>
                <w:szCs w:val="18"/>
                <w:color w:val="auto"/>
                <w:w w:val="91"/>
              </w:rPr>
              <w:t>several roles at American Water Works Company, Inc. from May 2011 to March 2021, lastly serving as President of</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Arial" w:cs="Arial" w:eastAsia="Arial" w:hAnsi="Arial"/>
                <w:sz w:val="18"/>
                <w:szCs w:val="18"/>
                <w:color w:val="auto"/>
                <w:w w:val="95"/>
              </w:rPr>
              <w:t>Regulated Operations and Military Services Group and then as Deputy Chief Operating Officer. Previously, Mr.</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Arial" w:cs="Arial" w:eastAsia="Arial" w:hAnsi="Arial"/>
                <w:sz w:val="18"/>
                <w:szCs w:val="18"/>
                <w:color w:val="auto"/>
              </w:rPr>
              <w:t>Hauk served as Deputy Mayor/Chief Administrative Officer for the City of Westfield, Indiana and as Town</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560" w:type="dxa"/>
            <w:vAlign w:val="bottom"/>
          </w:tcPr>
          <w:p>
            <w:pPr>
              <w:ind w:left="140"/>
              <w:spacing w:after="0"/>
              <w:rPr>
                <w:sz w:val="20"/>
                <w:szCs w:val="20"/>
                <w:color w:val="auto"/>
              </w:rPr>
            </w:pPr>
            <w:r>
              <w:rPr>
                <w:rFonts w:ascii="Arial" w:cs="Arial" w:eastAsia="Arial" w:hAnsi="Arial"/>
                <w:sz w:val="18"/>
                <w:szCs w:val="18"/>
                <w:color w:val="auto"/>
              </w:rPr>
              <w:t>Manager/Director of Public Works for the City of Westfield, Indiana.</w:t>
            </w:r>
          </w:p>
        </w:tc>
        <w:tc>
          <w:tcPr>
            <w:tcW w:w="0" w:type="dxa"/>
            <w:vAlign w:val="bottom"/>
          </w:tcPr>
          <w:p>
            <w:pPr>
              <w:spacing w:after="0"/>
              <w:rPr>
                <w:sz w:val="1"/>
                <w:szCs w:val="1"/>
                <w:color w:val="auto"/>
              </w:rPr>
            </w:pPr>
          </w:p>
        </w:tc>
      </w:tr>
      <w:tr>
        <w:trPr>
          <w:trHeight w:val="188"/>
        </w:trPr>
        <w:tc>
          <w:tcPr>
            <w:tcW w:w="2280" w:type="dxa"/>
            <w:vAlign w:val="bottom"/>
            <w:gridSpan w:val="2"/>
          </w:tcPr>
          <w:p>
            <w:pPr>
              <w:spacing w:after="0" w:line="189" w:lineRule="exact"/>
              <w:rPr>
                <w:sz w:val="20"/>
                <w:szCs w:val="20"/>
                <w:color w:val="auto"/>
              </w:rPr>
            </w:pPr>
            <w:r>
              <w:rPr>
                <w:rFonts w:ascii="Arial" w:cs="Arial" w:eastAsia="Arial" w:hAnsi="Arial"/>
                <w:sz w:val="18"/>
                <w:szCs w:val="18"/>
                <w:color w:val="auto"/>
              </w:rPr>
              <w:t>Kristen A. Johnson</w:t>
            </w:r>
          </w:p>
        </w:tc>
        <w:tc>
          <w:tcPr>
            <w:tcW w:w="240" w:type="dxa"/>
            <w:vAlign w:val="bottom"/>
          </w:tcPr>
          <w:p>
            <w:pPr>
              <w:ind w:left="20"/>
              <w:spacing w:after="0" w:line="189" w:lineRule="exact"/>
              <w:rPr>
                <w:sz w:val="20"/>
                <w:szCs w:val="20"/>
                <w:color w:val="auto"/>
              </w:rPr>
            </w:pPr>
            <w:r>
              <w:rPr>
                <w:rFonts w:ascii="Arial" w:cs="Arial" w:eastAsia="Arial" w:hAnsi="Arial"/>
                <w:sz w:val="18"/>
                <w:szCs w:val="18"/>
                <w:color w:val="auto"/>
                <w:w w:val="99"/>
              </w:rPr>
              <w:t>57</w:t>
            </w:r>
          </w:p>
        </w:tc>
        <w:tc>
          <w:tcPr>
            <w:tcW w:w="120" w:type="dxa"/>
            <w:vAlign w:val="bottom"/>
          </w:tcPr>
          <w:p>
            <w:pPr>
              <w:spacing w:after="0"/>
              <w:rPr>
                <w:sz w:val="16"/>
                <w:szCs w:val="16"/>
                <w:color w:val="auto"/>
              </w:rPr>
            </w:pPr>
          </w:p>
        </w:tc>
        <w:tc>
          <w:tcPr>
            <w:tcW w:w="8560" w:type="dxa"/>
            <w:vAlign w:val="bottom"/>
          </w:tcPr>
          <w:p>
            <w:pPr>
              <w:ind w:left="140"/>
              <w:spacing w:after="0" w:line="189" w:lineRule="exact"/>
              <w:rPr>
                <w:sz w:val="20"/>
                <w:szCs w:val="20"/>
                <w:color w:val="auto"/>
              </w:rPr>
            </w:pPr>
            <w:r>
              <w:rPr>
                <w:rFonts w:ascii="Arial" w:cs="Arial" w:eastAsia="Arial" w:hAnsi="Arial"/>
                <w:sz w:val="18"/>
                <w:szCs w:val="18"/>
                <w:b w:val="1"/>
                <w:bCs w:val="1"/>
                <w:color w:val="auto"/>
                <w:w w:val="96"/>
              </w:rPr>
              <w:t xml:space="preserve">SJW Group—Senior Vice President and Chief Administrative Officer. </w:t>
            </w:r>
            <w:r>
              <w:rPr>
                <w:rFonts w:ascii="Arial" w:cs="Arial" w:eastAsia="Arial" w:hAnsi="Arial"/>
                <w:sz w:val="18"/>
                <w:szCs w:val="18"/>
                <w:color w:val="auto"/>
                <w:w w:val="96"/>
              </w:rPr>
              <w:t>Ms. Johnson serves as Senior Vice</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60" w:type="dxa"/>
            <w:vAlign w:val="bottom"/>
          </w:tcPr>
          <w:p>
            <w:pPr>
              <w:ind w:left="140"/>
              <w:spacing w:after="0" w:line="189" w:lineRule="exact"/>
              <w:rPr>
                <w:sz w:val="20"/>
                <w:szCs w:val="20"/>
                <w:color w:val="auto"/>
              </w:rPr>
            </w:pPr>
            <w:r>
              <w:rPr>
                <w:rFonts w:ascii="Arial" w:cs="Arial" w:eastAsia="Arial" w:hAnsi="Arial"/>
                <w:sz w:val="18"/>
                <w:szCs w:val="18"/>
                <w:color w:val="auto"/>
                <w:w w:val="97"/>
              </w:rPr>
              <w:t>President since November 2022 and Chief Administrative Officer of SJW Group and Senior Vice President of</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Arial" w:cs="Arial" w:eastAsia="Arial" w:hAnsi="Arial"/>
                <w:sz w:val="18"/>
                <w:szCs w:val="18"/>
                <w:color w:val="auto"/>
                <w:w w:val="92"/>
              </w:rPr>
              <w:t>Administration for CTWS and its subsidiaries since November 2019. Previously, Ms. Johnson served as Director of</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Arial" w:cs="Arial" w:eastAsia="Arial" w:hAnsi="Arial"/>
                <w:sz w:val="18"/>
                <w:szCs w:val="18"/>
                <w:color w:val="auto"/>
                <w:w w:val="91"/>
              </w:rPr>
              <w:t>Human Resources, Vice President of Human Resources and Vice President and Corporate Secretary of CTWS and</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60" w:type="dxa"/>
            <w:vAlign w:val="bottom"/>
          </w:tcPr>
          <w:p>
            <w:pPr>
              <w:ind w:left="140"/>
              <w:spacing w:after="0" w:line="189" w:lineRule="exact"/>
              <w:rPr>
                <w:sz w:val="20"/>
                <w:szCs w:val="20"/>
                <w:color w:val="auto"/>
              </w:rPr>
            </w:pPr>
            <w:r>
              <w:rPr>
                <w:rFonts w:ascii="Arial" w:cs="Arial" w:eastAsia="Arial" w:hAnsi="Arial"/>
                <w:sz w:val="18"/>
                <w:szCs w:val="18"/>
                <w:color w:val="auto"/>
                <w:w w:val="90"/>
              </w:rPr>
              <w:t>its subsidiaries from 2007, 2008, and 2010, respectively. She served as the Corporate Secretary of The Maine Water</w:t>
            </w: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560" w:type="dxa"/>
            <w:vAlign w:val="bottom"/>
          </w:tcPr>
          <w:p>
            <w:pPr>
              <w:ind w:left="140"/>
              <w:spacing w:after="0"/>
              <w:rPr>
                <w:sz w:val="20"/>
                <w:szCs w:val="20"/>
                <w:color w:val="auto"/>
              </w:rPr>
            </w:pPr>
            <w:r>
              <w:rPr>
                <w:rFonts w:ascii="Arial" w:cs="Arial" w:eastAsia="Arial" w:hAnsi="Arial"/>
                <w:sz w:val="18"/>
                <w:szCs w:val="18"/>
                <w:color w:val="auto"/>
              </w:rPr>
              <w:t>Company until July 2020.</w:t>
            </w:r>
          </w:p>
        </w:tc>
        <w:tc>
          <w:tcPr>
            <w:tcW w:w="0" w:type="dxa"/>
            <w:vAlign w:val="bottom"/>
          </w:tcPr>
          <w:p>
            <w:pPr>
              <w:spacing w:after="0"/>
              <w:rPr>
                <w:sz w:val="1"/>
                <w:szCs w:val="1"/>
                <w:color w:val="auto"/>
              </w:rPr>
            </w:pPr>
          </w:p>
        </w:tc>
      </w:tr>
      <w:tr>
        <w:trPr>
          <w:trHeight w:val="180"/>
        </w:trPr>
        <w:tc>
          <w:tcPr>
            <w:tcW w:w="2280" w:type="dxa"/>
            <w:vAlign w:val="bottom"/>
            <w:gridSpan w:val="2"/>
          </w:tcPr>
          <w:p>
            <w:pPr>
              <w:spacing w:after="0" w:line="181" w:lineRule="exact"/>
              <w:rPr>
                <w:sz w:val="20"/>
                <w:szCs w:val="20"/>
                <w:color w:val="auto"/>
              </w:rPr>
            </w:pPr>
            <w:r>
              <w:rPr>
                <w:rFonts w:ascii="Arial" w:cs="Arial" w:eastAsia="Arial" w:hAnsi="Arial"/>
                <w:sz w:val="18"/>
                <w:szCs w:val="18"/>
                <w:color w:val="auto"/>
              </w:rPr>
              <w:t>Craig J. Patla</w:t>
            </w:r>
          </w:p>
        </w:tc>
        <w:tc>
          <w:tcPr>
            <w:tcW w:w="240" w:type="dxa"/>
            <w:vAlign w:val="bottom"/>
          </w:tcPr>
          <w:p>
            <w:pPr>
              <w:ind w:left="20"/>
              <w:spacing w:after="0" w:line="181" w:lineRule="exact"/>
              <w:rPr>
                <w:sz w:val="20"/>
                <w:szCs w:val="20"/>
                <w:color w:val="auto"/>
              </w:rPr>
            </w:pPr>
            <w:r>
              <w:rPr>
                <w:rFonts w:ascii="Arial" w:cs="Arial" w:eastAsia="Arial" w:hAnsi="Arial"/>
                <w:sz w:val="18"/>
                <w:szCs w:val="18"/>
                <w:color w:val="auto"/>
                <w:w w:val="99"/>
              </w:rPr>
              <w:t>55</w:t>
            </w:r>
          </w:p>
        </w:tc>
        <w:tc>
          <w:tcPr>
            <w:tcW w:w="120" w:type="dxa"/>
            <w:vAlign w:val="bottom"/>
          </w:tcPr>
          <w:p>
            <w:pPr>
              <w:spacing w:after="0"/>
              <w:rPr>
                <w:sz w:val="15"/>
                <w:szCs w:val="15"/>
                <w:color w:val="auto"/>
              </w:rPr>
            </w:pPr>
          </w:p>
        </w:tc>
        <w:tc>
          <w:tcPr>
            <w:tcW w:w="8560" w:type="dxa"/>
            <w:vAlign w:val="bottom"/>
          </w:tcPr>
          <w:p>
            <w:pPr>
              <w:ind w:left="140"/>
              <w:spacing w:after="0" w:line="181" w:lineRule="exact"/>
              <w:rPr>
                <w:sz w:val="20"/>
                <w:szCs w:val="20"/>
                <w:color w:val="auto"/>
              </w:rPr>
            </w:pPr>
            <w:r>
              <w:rPr>
                <w:rFonts w:ascii="Arial" w:cs="Arial" w:eastAsia="Arial" w:hAnsi="Arial"/>
                <w:sz w:val="18"/>
                <w:szCs w:val="18"/>
                <w:b w:val="1"/>
                <w:bCs w:val="1"/>
                <w:color w:val="auto"/>
                <w:w w:val="90"/>
              </w:rPr>
              <w:t xml:space="preserve">CTWS—President. </w:t>
            </w:r>
            <w:r>
              <w:rPr>
                <w:rFonts w:ascii="Arial" w:cs="Arial" w:eastAsia="Arial" w:hAnsi="Arial"/>
                <w:sz w:val="18"/>
                <w:szCs w:val="18"/>
                <w:color w:val="auto"/>
                <w:w w:val="90"/>
              </w:rPr>
              <w:t>Mr. Patla serves as President of CTWS and its subsidiaries, except The Maine Water Company,</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60" w:type="dxa"/>
            <w:vAlign w:val="bottom"/>
          </w:tcPr>
          <w:p>
            <w:pPr>
              <w:ind w:left="140"/>
              <w:spacing w:after="0" w:line="189" w:lineRule="exact"/>
              <w:rPr>
                <w:sz w:val="20"/>
                <w:szCs w:val="20"/>
                <w:color w:val="auto"/>
              </w:rPr>
            </w:pPr>
            <w:r>
              <w:rPr>
                <w:rFonts w:ascii="Arial" w:cs="Arial" w:eastAsia="Arial" w:hAnsi="Arial"/>
                <w:sz w:val="18"/>
                <w:szCs w:val="18"/>
                <w:color w:val="auto"/>
                <w:w w:val="93"/>
              </w:rPr>
              <w:t>since January 2023. From April 2014 to December 2022, Mr. Patla was Vice President of Service Delivery. From</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Arial" w:cs="Arial" w:eastAsia="Arial" w:hAnsi="Arial"/>
                <w:sz w:val="18"/>
                <w:szCs w:val="18"/>
                <w:color w:val="auto"/>
                <w:w w:val="94"/>
              </w:rPr>
              <w:t>2011 to 2014, Mr. Patla was Director of Service Delivery. From 2008 to 2011, Mr. Patla was Manager of Service</w:t>
            </w: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560" w:type="dxa"/>
            <w:vAlign w:val="bottom"/>
          </w:tcPr>
          <w:p>
            <w:pPr>
              <w:ind w:left="140"/>
              <w:spacing w:after="0"/>
              <w:rPr>
                <w:sz w:val="20"/>
                <w:szCs w:val="20"/>
                <w:color w:val="auto"/>
              </w:rPr>
            </w:pPr>
            <w:r>
              <w:rPr>
                <w:rFonts w:ascii="Arial" w:cs="Arial" w:eastAsia="Arial" w:hAnsi="Arial"/>
                <w:sz w:val="18"/>
                <w:szCs w:val="18"/>
                <w:color w:val="auto"/>
                <w:w w:val="96"/>
              </w:rPr>
              <w:t>Delivery. From 2004 to 2008, Mr. Patla was Region Manager. Mr. Patla joined CTWS in 1990 as an engineer.</w:t>
            </w:r>
          </w:p>
        </w:tc>
        <w:tc>
          <w:tcPr>
            <w:tcW w:w="0" w:type="dxa"/>
            <w:vAlign w:val="bottom"/>
          </w:tcPr>
          <w:p>
            <w:pPr>
              <w:spacing w:after="0"/>
              <w:rPr>
                <w:sz w:val="1"/>
                <w:szCs w:val="1"/>
                <w:color w:val="auto"/>
              </w:rPr>
            </w:pPr>
          </w:p>
        </w:tc>
      </w:tr>
      <w:tr>
        <w:trPr>
          <w:trHeight w:val="180"/>
        </w:trPr>
        <w:tc>
          <w:tcPr>
            <w:tcW w:w="2280" w:type="dxa"/>
            <w:vAlign w:val="bottom"/>
            <w:gridSpan w:val="2"/>
          </w:tcPr>
          <w:p>
            <w:pPr>
              <w:spacing w:after="0" w:line="181" w:lineRule="exact"/>
              <w:rPr>
                <w:sz w:val="20"/>
                <w:szCs w:val="20"/>
                <w:color w:val="auto"/>
              </w:rPr>
            </w:pPr>
            <w:r>
              <w:rPr>
                <w:rFonts w:ascii="Arial" w:cs="Arial" w:eastAsia="Arial" w:hAnsi="Arial"/>
                <w:sz w:val="18"/>
                <w:szCs w:val="18"/>
                <w:color w:val="auto"/>
              </w:rPr>
              <w:t>Eric W. Thornburg</w:t>
            </w:r>
          </w:p>
        </w:tc>
        <w:tc>
          <w:tcPr>
            <w:tcW w:w="240" w:type="dxa"/>
            <w:vAlign w:val="bottom"/>
          </w:tcPr>
          <w:p>
            <w:pPr>
              <w:ind w:left="20"/>
              <w:spacing w:after="0" w:line="181" w:lineRule="exact"/>
              <w:rPr>
                <w:sz w:val="20"/>
                <w:szCs w:val="20"/>
                <w:color w:val="auto"/>
              </w:rPr>
            </w:pPr>
            <w:r>
              <w:rPr>
                <w:rFonts w:ascii="Arial" w:cs="Arial" w:eastAsia="Arial" w:hAnsi="Arial"/>
                <w:sz w:val="18"/>
                <w:szCs w:val="18"/>
                <w:color w:val="auto"/>
                <w:w w:val="99"/>
              </w:rPr>
              <w:t>62</w:t>
            </w:r>
          </w:p>
        </w:tc>
        <w:tc>
          <w:tcPr>
            <w:tcW w:w="120" w:type="dxa"/>
            <w:vAlign w:val="bottom"/>
          </w:tcPr>
          <w:p>
            <w:pPr>
              <w:spacing w:after="0"/>
              <w:rPr>
                <w:sz w:val="15"/>
                <w:szCs w:val="15"/>
                <w:color w:val="auto"/>
              </w:rPr>
            </w:pPr>
          </w:p>
        </w:tc>
        <w:tc>
          <w:tcPr>
            <w:tcW w:w="8560" w:type="dxa"/>
            <w:vAlign w:val="bottom"/>
          </w:tcPr>
          <w:p>
            <w:pPr>
              <w:ind w:left="140"/>
              <w:spacing w:after="0" w:line="181" w:lineRule="exact"/>
              <w:rPr>
                <w:sz w:val="20"/>
                <w:szCs w:val="20"/>
                <w:color w:val="auto"/>
              </w:rPr>
            </w:pPr>
            <w:r>
              <w:rPr>
                <w:rFonts w:ascii="Arial" w:cs="Arial" w:eastAsia="Arial" w:hAnsi="Arial"/>
                <w:sz w:val="18"/>
                <w:szCs w:val="18"/>
                <w:b w:val="1"/>
                <w:bCs w:val="1"/>
                <w:color w:val="auto"/>
                <w:w w:val="90"/>
              </w:rPr>
              <w:t xml:space="preserve">SJW Group—President, Chief Executive Officer and Chair of the Board. </w:t>
            </w:r>
            <w:r>
              <w:rPr>
                <w:rFonts w:ascii="Arial" w:cs="Arial" w:eastAsia="Arial" w:hAnsi="Arial"/>
                <w:sz w:val="18"/>
                <w:szCs w:val="18"/>
                <w:color w:val="auto"/>
                <w:w w:val="90"/>
              </w:rPr>
              <w:t>Mr. Thornburg serves as President and</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60" w:type="dxa"/>
            <w:vAlign w:val="bottom"/>
          </w:tcPr>
          <w:p>
            <w:pPr>
              <w:ind w:left="140"/>
              <w:spacing w:after="0" w:line="189" w:lineRule="exact"/>
              <w:rPr>
                <w:sz w:val="20"/>
                <w:szCs w:val="20"/>
                <w:color w:val="auto"/>
              </w:rPr>
            </w:pPr>
            <w:r>
              <w:rPr>
                <w:rFonts w:ascii="Arial" w:cs="Arial" w:eastAsia="Arial" w:hAnsi="Arial"/>
                <w:sz w:val="18"/>
                <w:szCs w:val="18"/>
                <w:color w:val="auto"/>
                <w:w w:val="92"/>
              </w:rPr>
              <w:t>Chief Executive Officer of SJW Group and SJW Land Company and Chief Executive Officer of SJWC and SJWTX</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Arial" w:cs="Arial" w:eastAsia="Arial" w:hAnsi="Arial"/>
                <w:sz w:val="18"/>
                <w:szCs w:val="18"/>
                <w:color w:val="auto"/>
                <w:w w:val="93"/>
              </w:rPr>
              <w:t>since November 6, 2017. He has served as the Chair of the Board of Directors of SJW Group, SJWC, SJW Land</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Arial" w:cs="Arial" w:eastAsia="Arial" w:hAnsi="Arial"/>
                <w:sz w:val="18"/>
                <w:szCs w:val="18"/>
                <w:color w:val="auto"/>
                <w:w w:val="96"/>
              </w:rPr>
              <w:t>Company and SJWTX since April 25, 2018 and Chair of the Board of Directors of SJWNE LLC, CTWS and its</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60" w:type="dxa"/>
            <w:vAlign w:val="bottom"/>
          </w:tcPr>
          <w:p>
            <w:pPr>
              <w:ind w:left="140"/>
              <w:spacing w:after="0" w:line="189" w:lineRule="exact"/>
              <w:rPr>
                <w:sz w:val="20"/>
                <w:szCs w:val="20"/>
                <w:color w:val="auto"/>
              </w:rPr>
            </w:pPr>
            <w:r>
              <w:rPr>
                <w:rFonts w:ascii="Arial" w:cs="Arial" w:eastAsia="Arial" w:hAnsi="Arial"/>
                <w:sz w:val="18"/>
                <w:szCs w:val="18"/>
                <w:color w:val="auto"/>
                <w:w w:val="96"/>
              </w:rPr>
              <w:t>subsidiaries since October 9, 2019. Prior to joining SJW Group, Mr. Thornburg served as President and Chief</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Arial" w:cs="Arial" w:eastAsia="Arial" w:hAnsi="Arial"/>
                <w:sz w:val="18"/>
                <w:szCs w:val="18"/>
                <w:color w:val="auto"/>
                <w:w w:val="96"/>
              </w:rPr>
              <w:t>Executive Officer of CTWS since 2006, and Chair of the Board of CTWS since 2007. Mr. Thornburg served as</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Arial" w:cs="Arial" w:eastAsia="Arial" w:hAnsi="Arial"/>
                <w:sz w:val="18"/>
                <w:szCs w:val="18"/>
                <w:color w:val="auto"/>
                <w:w w:val="96"/>
              </w:rPr>
              <w:t>President of Missouri-American Water, a subsidiary of American Water Works Corporation from 2000 to 2004.</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60" w:type="dxa"/>
            <w:vAlign w:val="bottom"/>
          </w:tcPr>
          <w:p>
            <w:pPr>
              <w:ind w:left="140"/>
              <w:spacing w:after="0" w:line="189" w:lineRule="exact"/>
              <w:rPr>
                <w:sz w:val="20"/>
                <w:szCs w:val="20"/>
                <w:color w:val="auto"/>
              </w:rPr>
            </w:pPr>
            <w:r>
              <w:rPr>
                <w:rFonts w:ascii="Arial" w:cs="Arial" w:eastAsia="Arial" w:hAnsi="Arial"/>
                <w:sz w:val="18"/>
                <w:szCs w:val="18"/>
                <w:color w:val="auto"/>
                <w:w w:val="92"/>
              </w:rPr>
              <w:t>From July 2004 to January 2006, he served as Central Region Vice President-External Affairs for American Water</w:t>
            </w: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560" w:type="dxa"/>
            <w:vAlign w:val="bottom"/>
          </w:tcPr>
          <w:p>
            <w:pPr>
              <w:ind w:left="140"/>
              <w:spacing w:after="0"/>
              <w:rPr>
                <w:sz w:val="20"/>
                <w:szCs w:val="20"/>
                <w:color w:val="auto"/>
              </w:rPr>
            </w:pPr>
            <w:r>
              <w:rPr>
                <w:rFonts w:ascii="Arial" w:cs="Arial" w:eastAsia="Arial" w:hAnsi="Arial"/>
                <w:sz w:val="18"/>
                <w:szCs w:val="18"/>
                <w:color w:val="auto"/>
              </w:rPr>
              <w:t>Works Corporation.</w:t>
            </w:r>
          </w:p>
        </w:tc>
        <w:tc>
          <w:tcPr>
            <w:tcW w:w="0" w:type="dxa"/>
            <w:vAlign w:val="bottom"/>
          </w:tcPr>
          <w:p>
            <w:pPr>
              <w:spacing w:after="0"/>
              <w:rPr>
                <w:sz w:val="1"/>
                <w:szCs w:val="1"/>
                <w:color w:val="auto"/>
              </w:rPr>
            </w:pPr>
          </w:p>
        </w:tc>
      </w:tr>
      <w:tr>
        <w:trPr>
          <w:trHeight w:val="180"/>
        </w:trPr>
        <w:tc>
          <w:tcPr>
            <w:tcW w:w="2280" w:type="dxa"/>
            <w:vAlign w:val="bottom"/>
            <w:gridSpan w:val="2"/>
          </w:tcPr>
          <w:p>
            <w:pPr>
              <w:spacing w:after="0" w:line="181" w:lineRule="exact"/>
              <w:rPr>
                <w:sz w:val="20"/>
                <w:szCs w:val="20"/>
                <w:color w:val="auto"/>
              </w:rPr>
            </w:pPr>
            <w:r>
              <w:rPr>
                <w:rFonts w:ascii="Arial" w:cs="Arial" w:eastAsia="Arial" w:hAnsi="Arial"/>
                <w:sz w:val="18"/>
                <w:szCs w:val="18"/>
                <w:color w:val="auto"/>
              </w:rPr>
              <w:t>Andrew F. Walters</w:t>
            </w:r>
          </w:p>
        </w:tc>
        <w:tc>
          <w:tcPr>
            <w:tcW w:w="240" w:type="dxa"/>
            <w:vAlign w:val="bottom"/>
          </w:tcPr>
          <w:p>
            <w:pPr>
              <w:ind w:left="20"/>
              <w:spacing w:after="0" w:line="181" w:lineRule="exact"/>
              <w:rPr>
                <w:sz w:val="20"/>
                <w:szCs w:val="20"/>
                <w:color w:val="auto"/>
              </w:rPr>
            </w:pPr>
            <w:r>
              <w:rPr>
                <w:rFonts w:ascii="Arial" w:cs="Arial" w:eastAsia="Arial" w:hAnsi="Arial"/>
                <w:sz w:val="18"/>
                <w:szCs w:val="18"/>
                <w:color w:val="auto"/>
                <w:w w:val="99"/>
              </w:rPr>
              <w:t>52</w:t>
            </w:r>
          </w:p>
        </w:tc>
        <w:tc>
          <w:tcPr>
            <w:tcW w:w="120" w:type="dxa"/>
            <w:vAlign w:val="bottom"/>
          </w:tcPr>
          <w:p>
            <w:pPr>
              <w:spacing w:after="0"/>
              <w:rPr>
                <w:sz w:val="15"/>
                <w:szCs w:val="15"/>
                <w:color w:val="auto"/>
              </w:rPr>
            </w:pPr>
          </w:p>
        </w:tc>
        <w:tc>
          <w:tcPr>
            <w:tcW w:w="8560" w:type="dxa"/>
            <w:vAlign w:val="bottom"/>
          </w:tcPr>
          <w:p>
            <w:pPr>
              <w:ind w:left="140"/>
              <w:spacing w:after="0" w:line="181" w:lineRule="exact"/>
              <w:rPr>
                <w:sz w:val="20"/>
                <w:szCs w:val="20"/>
                <w:color w:val="auto"/>
              </w:rPr>
            </w:pPr>
            <w:r>
              <w:rPr>
                <w:rFonts w:ascii="Arial" w:cs="Arial" w:eastAsia="Arial" w:hAnsi="Arial"/>
                <w:sz w:val="18"/>
                <w:szCs w:val="18"/>
                <w:b w:val="1"/>
                <w:bCs w:val="1"/>
                <w:color w:val="auto"/>
                <w:w w:val="91"/>
              </w:rPr>
              <w:t xml:space="preserve">SJW Group—Chief Financial Officer and Treasurer. </w:t>
            </w:r>
            <w:r>
              <w:rPr>
                <w:rFonts w:ascii="Arial" w:cs="Arial" w:eastAsia="Arial" w:hAnsi="Arial"/>
                <w:sz w:val="18"/>
                <w:szCs w:val="18"/>
                <w:color w:val="auto"/>
                <w:w w:val="91"/>
              </w:rPr>
              <w:t>Mr. Walters serves as Chief Financial Officer and Treasurer</w:t>
            </w:r>
          </w:p>
        </w:tc>
        <w:tc>
          <w:tcPr>
            <w:tcW w:w="0" w:type="dxa"/>
            <w:vAlign w:val="bottom"/>
          </w:tcPr>
          <w:p>
            <w:pPr>
              <w:spacing w:after="0"/>
              <w:rPr>
                <w:sz w:val="1"/>
                <w:szCs w:val="1"/>
                <w:color w:val="auto"/>
              </w:rPr>
            </w:pPr>
          </w:p>
        </w:tc>
      </w:tr>
      <w:tr>
        <w:trPr>
          <w:trHeight w:val="204"/>
        </w:trPr>
        <w:tc>
          <w:tcPr>
            <w:tcW w:w="3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560" w:type="dxa"/>
            <w:vAlign w:val="bottom"/>
          </w:tcPr>
          <w:p>
            <w:pPr>
              <w:ind w:left="140"/>
              <w:spacing w:after="0" w:line="204" w:lineRule="exact"/>
              <w:rPr>
                <w:sz w:val="20"/>
                <w:szCs w:val="20"/>
                <w:color w:val="auto"/>
              </w:rPr>
            </w:pPr>
            <w:r>
              <w:rPr>
                <w:rFonts w:ascii="Arial" w:cs="Arial" w:eastAsia="Arial" w:hAnsi="Arial"/>
                <w:sz w:val="18"/>
                <w:szCs w:val="18"/>
                <w:color w:val="auto"/>
                <w:w w:val="89"/>
              </w:rPr>
              <w:t>of SJW Group, SJWC, SJW Land Company, and SJWTX since January 2022. Mr. Walters served as Chief Corporate</w:t>
            </w:r>
          </w:p>
        </w:tc>
        <w:tc>
          <w:tcPr>
            <w:tcW w:w="0" w:type="dxa"/>
            <w:vAlign w:val="bottom"/>
          </w:tcPr>
          <w:p>
            <w:pPr>
              <w:spacing w:after="0"/>
              <w:rPr>
                <w:sz w:val="1"/>
                <w:szCs w:val="1"/>
                <w:color w:val="auto"/>
              </w:rPr>
            </w:pPr>
          </w:p>
        </w:tc>
      </w:tr>
    </w:tbl>
    <w:p>
      <w:pPr>
        <w:ind w:left="2800" w:right="40"/>
        <w:spacing w:after="0" w:line="234" w:lineRule="auto"/>
        <w:rPr>
          <w:sz w:val="20"/>
          <w:szCs w:val="20"/>
          <w:color w:val="auto"/>
        </w:rPr>
      </w:pPr>
      <w:r>
        <w:rPr>
          <w:rFonts w:ascii="Arial" w:cs="Arial" w:eastAsia="Arial" w:hAnsi="Arial"/>
          <w:sz w:val="16"/>
          <w:szCs w:val="16"/>
          <w:color w:val="auto"/>
        </w:rPr>
        <w:t>Development Officer and Integration Executive of SJW Group from November 2019 until January 2022 and previously served as Chief Administrative Officer of SJWC since January 31, 2014. Mr. Walters is also currently the Vice President of Business Planning of CWC and CTWS as of November 7, 2019. Prior to joining SJWC in 2014,</w:t>
      </w:r>
    </w:p>
    <w:p>
      <w:pPr>
        <w:spacing w:after="0" w:line="2" w:lineRule="exact"/>
        <w:rPr>
          <w:sz w:val="20"/>
          <w:szCs w:val="20"/>
          <w:color w:val="auto"/>
        </w:rPr>
      </w:pPr>
    </w:p>
    <w:p>
      <w:pPr>
        <w:ind w:left="2800" w:right="120"/>
        <w:spacing w:after="0" w:line="234" w:lineRule="auto"/>
        <w:rPr>
          <w:sz w:val="20"/>
          <w:szCs w:val="20"/>
          <w:color w:val="auto"/>
        </w:rPr>
      </w:pPr>
      <w:r>
        <w:rPr>
          <w:rFonts w:ascii="Arial" w:cs="Arial" w:eastAsia="Arial" w:hAnsi="Arial"/>
          <w:sz w:val="16"/>
          <w:szCs w:val="16"/>
          <w:color w:val="auto"/>
        </w:rPr>
        <w:t>Mr. Walters was a managing director and a senior acquisitions officer in the Infrastructure Investments Group of JP Morgan Asset Management from January 2009 to June 2013. Prior to this, Mr. Walters served in the Investment Banking Division of Citigroup as managing director and head of infrastructure for the Americas and in other roles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focused on mergers and acquisitions and capital raising for clients, since 1993.</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Principal Accounting Officer of the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name, age, offices held and business experience for our principal accounting officer, as of February 24, 2023:</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2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8540" w:type="dxa"/>
            <w:vAlign w:val="bottom"/>
          </w:tcPr>
          <w:p>
            <w:pPr>
              <w:ind w:left="3640"/>
              <w:spacing w:after="0"/>
              <w:rPr>
                <w:sz w:val="20"/>
                <w:szCs w:val="20"/>
                <w:color w:val="auto"/>
              </w:rPr>
            </w:pPr>
            <w:r>
              <w:rPr>
                <w:rFonts w:ascii="Arial" w:cs="Arial" w:eastAsia="Arial" w:hAnsi="Arial"/>
                <w:sz w:val="14"/>
                <w:szCs w:val="14"/>
                <w:b w:val="1"/>
                <w:bCs w:val="1"/>
                <w:color w:val="auto"/>
              </w:rPr>
              <w:t>Offices and Experience</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540" w:type="dxa"/>
            <w:vAlign w:val="bottom"/>
            <w:vMerge w:val="restart"/>
          </w:tcPr>
          <w:p>
            <w:pPr>
              <w:ind w:left="140"/>
              <w:spacing w:after="0"/>
              <w:rPr>
                <w:sz w:val="20"/>
                <w:szCs w:val="20"/>
                <w:color w:val="auto"/>
              </w:rPr>
            </w:pPr>
            <w:r>
              <w:rPr>
                <w:rFonts w:ascii="Arial" w:cs="Arial" w:eastAsia="Arial" w:hAnsi="Arial"/>
                <w:sz w:val="18"/>
                <w:szCs w:val="18"/>
                <w:b w:val="1"/>
                <w:bCs w:val="1"/>
                <w:color w:val="auto"/>
                <w:w w:val="93"/>
              </w:rPr>
              <w:t xml:space="preserve">SJW Group—Senior Vice President of Finance, Principal Accounting Officer. </w:t>
            </w:r>
            <w:r>
              <w:rPr>
                <w:rFonts w:ascii="Arial" w:cs="Arial" w:eastAsia="Arial" w:hAnsi="Arial"/>
                <w:sz w:val="18"/>
                <w:szCs w:val="18"/>
                <w:color w:val="auto"/>
                <w:w w:val="93"/>
              </w:rPr>
              <w:t>Mr. Zerhouni serves as Senior</w:t>
            </w:r>
          </w:p>
        </w:tc>
        <w:tc>
          <w:tcPr>
            <w:tcW w:w="0" w:type="dxa"/>
            <w:vAlign w:val="bottom"/>
          </w:tcPr>
          <w:p>
            <w:pPr>
              <w:spacing w:after="0" w:line="20" w:lineRule="exact"/>
              <w:rPr>
                <w:sz w:val="1"/>
                <w:szCs w:val="1"/>
                <w:color w:val="auto"/>
              </w:rPr>
            </w:pPr>
          </w:p>
        </w:tc>
      </w:tr>
      <w:tr>
        <w:trPr>
          <w:trHeight w:val="210"/>
        </w:trPr>
        <w:tc>
          <w:tcPr>
            <w:tcW w:w="2280" w:type="dxa"/>
            <w:vAlign w:val="bottom"/>
            <w:gridSpan w:val="2"/>
          </w:tcPr>
          <w:p>
            <w:pPr>
              <w:spacing w:after="0"/>
              <w:rPr>
                <w:sz w:val="20"/>
                <w:szCs w:val="20"/>
                <w:color w:val="auto"/>
              </w:rPr>
            </w:pPr>
            <w:r>
              <w:rPr>
                <w:rFonts w:ascii="Arial" w:cs="Arial" w:eastAsia="Arial" w:hAnsi="Arial"/>
                <w:sz w:val="18"/>
                <w:szCs w:val="18"/>
                <w:color w:val="auto"/>
              </w:rPr>
              <w:t>Mohammed G. Zerhouni</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47</w:t>
            </w:r>
          </w:p>
        </w:tc>
        <w:tc>
          <w:tcPr>
            <w:tcW w:w="120" w:type="dxa"/>
            <w:vAlign w:val="bottom"/>
          </w:tcPr>
          <w:p>
            <w:pPr>
              <w:spacing w:after="0"/>
              <w:rPr>
                <w:sz w:val="18"/>
                <w:szCs w:val="18"/>
                <w:color w:val="auto"/>
              </w:rPr>
            </w:pPr>
          </w:p>
        </w:tc>
        <w:tc>
          <w:tcPr>
            <w:tcW w:w="8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40" w:type="dxa"/>
            <w:vAlign w:val="bottom"/>
          </w:tcPr>
          <w:p>
            <w:pPr>
              <w:ind w:left="140"/>
              <w:spacing w:after="0" w:line="189" w:lineRule="exact"/>
              <w:rPr>
                <w:sz w:val="20"/>
                <w:szCs w:val="20"/>
                <w:color w:val="auto"/>
              </w:rPr>
            </w:pPr>
            <w:r>
              <w:rPr>
                <w:rFonts w:ascii="Arial" w:cs="Arial" w:eastAsia="Arial" w:hAnsi="Arial"/>
                <w:sz w:val="18"/>
                <w:szCs w:val="18"/>
                <w:color w:val="auto"/>
                <w:w w:val="93"/>
              </w:rPr>
              <w:t>Vice President of Finance, Principal Accounting Officer of SJW Group, SJWC, SJWTX and CTWS since January</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40" w:type="dxa"/>
            <w:vAlign w:val="bottom"/>
          </w:tcPr>
          <w:p>
            <w:pPr>
              <w:ind w:left="140"/>
              <w:spacing w:after="0" w:line="176" w:lineRule="exact"/>
              <w:rPr>
                <w:sz w:val="20"/>
                <w:szCs w:val="20"/>
                <w:color w:val="auto"/>
              </w:rPr>
            </w:pPr>
            <w:r>
              <w:rPr>
                <w:rFonts w:ascii="Arial" w:cs="Arial" w:eastAsia="Arial" w:hAnsi="Arial"/>
                <w:sz w:val="18"/>
                <w:szCs w:val="18"/>
                <w:color w:val="auto"/>
                <w:w w:val="99"/>
              </w:rPr>
              <w:t>2023. Prior to joining SJW Group Mr. Zerhouni was the Chief Financial Officer of Veolia Utility Parent, Inc.</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40" w:type="dxa"/>
            <w:vAlign w:val="bottom"/>
          </w:tcPr>
          <w:p>
            <w:pPr>
              <w:ind w:left="140"/>
              <w:spacing w:after="0" w:line="176" w:lineRule="exact"/>
              <w:rPr>
                <w:sz w:val="20"/>
                <w:szCs w:val="20"/>
                <w:color w:val="auto"/>
              </w:rPr>
            </w:pPr>
            <w:r>
              <w:rPr>
                <w:rFonts w:ascii="Arial" w:cs="Arial" w:eastAsia="Arial" w:hAnsi="Arial"/>
                <w:sz w:val="18"/>
                <w:szCs w:val="18"/>
                <w:color w:val="auto"/>
                <w:w w:val="92"/>
              </w:rPr>
              <w:t>(“VUP”) from October 2022 to January 2023 which is part of the North American business of Veolia Group, a rate-</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40" w:type="dxa"/>
            <w:vAlign w:val="bottom"/>
          </w:tcPr>
          <w:p>
            <w:pPr>
              <w:ind w:left="140"/>
              <w:spacing w:after="0" w:line="189" w:lineRule="exact"/>
              <w:rPr>
                <w:sz w:val="20"/>
                <w:szCs w:val="20"/>
                <w:color w:val="auto"/>
              </w:rPr>
            </w:pPr>
            <w:r>
              <w:rPr>
                <w:rFonts w:ascii="Arial" w:cs="Arial" w:eastAsia="Arial" w:hAnsi="Arial"/>
                <w:sz w:val="18"/>
                <w:szCs w:val="18"/>
                <w:color w:val="auto"/>
                <w:w w:val="97"/>
              </w:rPr>
              <w:t>regulated water and wastewater company. Previously, Mr. Zerhouni was Vice President/Controller and Chief</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40" w:type="dxa"/>
            <w:vAlign w:val="bottom"/>
          </w:tcPr>
          <w:p>
            <w:pPr>
              <w:ind w:left="140"/>
              <w:spacing w:after="0" w:line="176" w:lineRule="exact"/>
              <w:rPr>
                <w:sz w:val="20"/>
                <w:szCs w:val="20"/>
                <w:color w:val="auto"/>
              </w:rPr>
            </w:pPr>
            <w:r>
              <w:rPr>
                <w:rFonts w:ascii="Arial" w:cs="Arial" w:eastAsia="Arial" w:hAnsi="Arial"/>
                <w:sz w:val="18"/>
                <w:szCs w:val="18"/>
                <w:color w:val="auto"/>
                <w:w w:val="97"/>
              </w:rPr>
              <w:t>Accounting Officer of VUP from December 2018 to September 2022. Mr. Zerhouni served in various roles of</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40" w:type="dxa"/>
            <w:vAlign w:val="bottom"/>
          </w:tcPr>
          <w:p>
            <w:pPr>
              <w:ind w:left="140"/>
              <w:spacing w:after="0" w:line="176" w:lineRule="exact"/>
              <w:rPr>
                <w:sz w:val="20"/>
                <w:szCs w:val="20"/>
                <w:color w:val="auto"/>
              </w:rPr>
            </w:pPr>
            <w:r>
              <w:rPr>
                <w:rFonts w:ascii="Arial" w:cs="Arial" w:eastAsia="Arial" w:hAnsi="Arial"/>
                <w:sz w:val="18"/>
                <w:szCs w:val="18"/>
                <w:color w:val="auto"/>
                <w:w w:val="90"/>
              </w:rPr>
              <w:t>increasing responsibility up to Senior Manager in the audit practice of PricewaterhouseCoopers LLP from December</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540" w:type="dxa"/>
            <w:vAlign w:val="bottom"/>
          </w:tcPr>
          <w:p>
            <w:pPr>
              <w:ind w:left="140"/>
              <w:spacing w:after="0"/>
              <w:rPr>
                <w:sz w:val="20"/>
                <w:szCs w:val="20"/>
                <w:color w:val="auto"/>
              </w:rPr>
            </w:pPr>
            <w:r>
              <w:rPr>
                <w:rFonts w:ascii="Arial" w:cs="Arial" w:eastAsia="Arial" w:hAnsi="Arial"/>
                <w:sz w:val="18"/>
                <w:szCs w:val="18"/>
                <w:color w:val="auto"/>
              </w:rPr>
              <w:t>2004 to December 2018. Mr. Zerhouni is a certified public accountant.</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SJW Group’s Annual Reports on Form 10-K, Quarterly Reports on Form 10-Q and Current Reports on Form 8-K, and amendments to these reports, are made available free of charge through SJW Group’s website at </w:t>
      </w:r>
      <w:r>
        <w:rPr>
          <w:rFonts w:ascii="Arial" w:cs="Arial" w:eastAsia="Arial" w:hAnsi="Arial"/>
          <w:sz w:val="18"/>
          <w:szCs w:val="18"/>
          <w:i w:val="1"/>
          <w:iCs w:val="1"/>
          <w:color w:val="auto"/>
        </w:rPr>
        <w:t>http://www.sjwgroup.com</w:t>
      </w:r>
      <w:r>
        <w:rPr>
          <w:rFonts w:ascii="Arial" w:cs="Arial" w:eastAsia="Arial" w:hAnsi="Arial"/>
          <w:sz w:val="18"/>
          <w:szCs w:val="18"/>
          <w:color w:val="auto"/>
        </w:rPr>
        <w:t>, as soon as reasonably practicable, after SJW Group electronically files such material with, or furnishes such materials to, the SEC. The content of SJW Group’s website is not incorporated by reference to or part of this report.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You may obtain electronic copies of our reports filed with the SEC on the SEC website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Investors should carefully consider the following risk factors and warnings before making an investment decision. The risks described below are not the only ones facing SJW Group and its subsidiaries. Additional risks that SJW Group and its subsidiaries does not yet know of or that it currently thinks are immaterial may also impair its business operations. If any of the following risks actually occur, SJW Group and its subsidiaries’ business, operating results or financial condition could be materially affected. In such case, the trading price of SJW Group’s common stock could decline and you may lose part or all of your investment. Investors should also refer to the other information set forth in this Annual Report on Form 10-K, including the consolidated financial statements and the notes thereto.</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Regulatory and Legal Matters</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Our business is regulated and may be adversely affected by changes to the regulatory environment.</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Our Water Utility Services are regulated public utilities. The operating revenue of SJWC, Connecticut Water, SJWTX and Maine Water is generated primarily from the sale of water at rates authorized by </w:t>
      </w:r>
      <w:r>
        <w:rPr>
          <w:rFonts w:ascii="Arial" w:cs="Arial" w:eastAsia="Arial" w:hAnsi="Arial"/>
          <w:sz w:val="19"/>
          <w:szCs w:val="19"/>
          <w:color w:val="auto"/>
        </w:rPr>
        <w:t>t</w:t>
      </w:r>
      <w:r>
        <w:rPr>
          <w:rFonts w:ascii="Arial" w:cs="Arial" w:eastAsia="Arial" w:hAnsi="Arial"/>
          <w:sz w:val="18"/>
          <w:szCs w:val="18"/>
          <w:color w:val="auto"/>
        </w:rPr>
        <w:t>he CPUC, PURA, PUCT and MPUC (the “Regulators”). The Regulators set rates that are intended to provide revenues sufficient to recover normal operating expenses, provide funds for replacement of water infrastructure and produce a fair and reasonable return on stockholder common equity. Please refer to Part I, Item 1, “Regulation and Rates” for a discussion of the most recent regulatory proceedings affecting the rates of our regulated operations. Consequently, our revenue and operating results depend substantially upon the rates the Regulators authorize.</w:t>
      </w:r>
    </w:p>
    <w:p>
      <w:pPr>
        <w:spacing w:after="0" w:line="78"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In our applications for rate approvals, we rely upon estimates and forecasts to propose rates for approval by the Regulators. No assurance can be given that our estimates and forecasts will be accurate or that the Regulators will agree with our estimates and forecasts and approve our proposed rates. To the extent our authorized rates may be too low, revenues may be insufficient to cover Water Utility Services’ operating expenses, capital requirements and SJW Group’s historical dividend rate. In addition, delays in approving rate increases may negatively affect our operating results and operating cash flows.</w:t>
      </w:r>
    </w:p>
    <w:p>
      <w:pPr>
        <w:spacing w:after="0" w:line="4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addition, policies and regulations promulgated by the Regulators govern the recovery of capital expenditures, the treatment of gains from the sale of real utility property, the offset of production and operating costs, the recovery of the cost of debt, the optimal equity structure, and the financial and operational flexibility to engage in non-tariffed operations. If the regulators implement policies and regulations that will not allow SJWC, Connecticut Water, SJWTX and Maine Water to accomplish some or all of the items listed above, Water Utility Services’ future operating results may be adversely affected. Further, from time to time, the commissioners at the Regulators may change. Such changes could lead to changes in policies and regulations and there can be no assurance that the resulting changes in policies and regulation, if any, will not adversely affect our operating results or financial condition.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5" w:name="page16"/>
    <w:bookmarkEnd w:id="15"/>
    <w:p>
      <w:pPr>
        <w:ind w:right="20"/>
        <w:spacing w:after="0" w:line="293" w:lineRule="auto"/>
        <w:rPr>
          <w:sz w:val="20"/>
          <w:szCs w:val="20"/>
          <w:color w:val="auto"/>
        </w:rPr>
      </w:pPr>
      <w:r>
        <w:rPr>
          <w:rFonts w:ascii="Arial" w:cs="Arial" w:eastAsia="Arial" w:hAnsi="Arial"/>
          <w:sz w:val="16"/>
          <w:szCs w:val="16"/>
          <w:color w:val="auto"/>
        </w:rPr>
        <w:t>If the CPUC disagrees with our calculation of SJWC’s memorandum and balancing accounts, we may be required to make adjustments that could adversely affect our results of operations. Under a 2007 Connecticut law, PURA authorizes regulated water companies to use a rate adjustment mechanism, known as WICA, for eligible projects completed and in service for the benefit of the customers. Maine legislature enacted a law that allows Maine Water expedited recovery of investments in water systems infrastructure replacement, both treatment and distribution, through WISC, similar to WICA in Connecticut. There is no guarantee that these regulatory authorities will approve our applications to recover all or a portion of our capital expenditure or infrastructure investment through such rate adjustment mechanisms, and their failure to do so will adversely affect our financial conditions and results of operations.</w:t>
      </w:r>
    </w:p>
    <w:p>
      <w:pPr>
        <w:spacing w:after="0" w:line="93" w:lineRule="exact"/>
        <w:rPr>
          <w:sz w:val="20"/>
          <w:szCs w:val="20"/>
          <w:color w:val="auto"/>
        </w:rPr>
      </w:pPr>
    </w:p>
    <w:p>
      <w:pPr>
        <w:ind w:right="520" w:firstLine="567"/>
        <w:spacing w:after="0" w:line="282" w:lineRule="auto"/>
        <w:rPr>
          <w:sz w:val="20"/>
          <w:szCs w:val="20"/>
          <w:color w:val="auto"/>
        </w:rPr>
      </w:pPr>
      <w:r>
        <w:rPr>
          <w:rFonts w:ascii="Arial" w:cs="Arial" w:eastAsia="Arial" w:hAnsi="Arial"/>
          <w:sz w:val="18"/>
          <w:szCs w:val="18"/>
          <w:b w:val="1"/>
          <w:bCs w:val="1"/>
          <w:color w:val="auto"/>
        </w:rPr>
        <w:t>Recovery of regulatory assets is subject to adjustment by regulatory agencies and could impact the operating results of Water Utility Services.</w:t>
      </w:r>
    </w:p>
    <w:p>
      <w:pPr>
        <w:spacing w:after="0" w:line="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Generally accepted accounting principles for water utilities include the recognition of regulatory assets and liabilities as permitted by FASB ASC Topic 980 —“Regulated Operations.” In accordance with ASC Topic 980, Water Utility Services record deferred costs and credits on the balance sheet as regulatory assets and liabilities when it is probable that these costs and credits will be recovered or refunded in the ratemaking process in a period different from when the costs and credits were incurred. Please refer to </w:t>
      </w:r>
      <w:r>
        <w:rPr>
          <w:rFonts w:ascii="Arial" w:cs="Arial" w:eastAsia="Arial" w:hAnsi="Arial"/>
          <w:sz w:val="18"/>
          <w:szCs w:val="18"/>
          <w:u w:val="single" w:color="auto"/>
          <w:color w:val="0000FF"/>
        </w:rPr>
        <w:t>Note 3</w:t>
      </w:r>
      <w:r>
        <w:rPr>
          <w:rFonts w:ascii="Arial" w:cs="Arial" w:eastAsia="Arial" w:hAnsi="Arial"/>
          <w:sz w:val="18"/>
          <w:szCs w:val="18"/>
          <w:color w:val="auto"/>
        </w:rPr>
        <w:t xml:space="preserve"> of the “Notes to Consolidated Financial Statements” for a summary of net regulatory assets. If the assessment of the probability of recovery in the ratemaking process is incorrect and the applicable ratemaking body determines that a deferred cost is not recoverable through future rate increases, the regulatory assets would need to be adjusted, which could have an adverse effect on our results of operations and financial condition.</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Streamflow regulations in Connecticut could potentially impact our ability to serve our customers.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December 2011, regulations concerning the flow of water in Connecticut’s rivers and streams were adopted. As promulgated, the regulations require that certain downstream releases be made from seven of Connecticut Water’s eighteen active reservoirs no later than ten years following the adoption of stream classifications by the Department of Energy and Environmental Protection (“DEEP”). Currently, downstream releases are made at two locations. The next streamflow releases will be initiated by October 2024 and will affect two additional reservoirs. No groundwater supply wells are affected by the regulations.</w:t>
      </w:r>
    </w:p>
    <w:p>
      <w:pPr>
        <w:spacing w:after="0" w:line="8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DEEP has finalized stream classifications in all areas of Connecticut where Connecticut Water maintains and operates sources of supply. The Company remains engaged in the process in order to minimize impact to our available water supply. Although modified from prior versions, the regulations still have the potential to lower our safe yield, raise our capital and operating expenses and adversely affect our revenues and earnings. Although costs associated with the regulations may be recovered in the form of higher rates and Connecticut law allows for a WICA surcharge to recover capital improvement costs necessary to achieve compliance with the regulations, there can be no assurance PURA would approve rate increases to enable us to recover all such costs and surcharges.</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Water Utility Services is subject to litigation risks concerning water quality and contamination.</w:t>
      </w:r>
    </w:p>
    <w:p>
      <w:pPr>
        <w:spacing w:after="0" w:line="12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Although Water Utility Services is not a party to any environmental and product-related lawsuits, there is no guarantee that such lawsuits will not occur in the future. Any environmental or product-related lawsuit may require us to incur significant legal costs and we may not be able to recover the legal costs from ratepayers or other third parties. Although Water Utility Services has liability insurance coverage for bodily injury and property damage, pollution liability is excluded from this coverage and our excess liability coverage. Pollution liability coverage is in place for the majority of the SJW Group locations and operations, but is subject to exclusions and limitations. In addition, any complaints or lawsuits against us based on water quality and contamination may receive negative publicity that can damage our reputation and adversely affect our business and trading price of our common stock.</w:t>
      </w:r>
    </w:p>
    <w:p>
      <w:pPr>
        <w:spacing w:after="0" w:line="79" w:lineRule="exact"/>
        <w:rPr>
          <w:sz w:val="20"/>
          <w:szCs w:val="20"/>
          <w:color w:val="auto"/>
        </w:rPr>
      </w:pPr>
    </w:p>
    <w:p>
      <w:pPr>
        <w:ind w:right="540" w:firstLine="567"/>
        <w:spacing w:after="0" w:line="282" w:lineRule="auto"/>
        <w:rPr>
          <w:sz w:val="20"/>
          <w:szCs w:val="20"/>
          <w:color w:val="auto"/>
        </w:rPr>
      </w:pPr>
      <w:r>
        <w:rPr>
          <w:rFonts w:ascii="Arial" w:cs="Arial" w:eastAsia="Arial" w:hAnsi="Arial"/>
          <w:sz w:val="18"/>
          <w:szCs w:val="18"/>
          <w:b w:val="1"/>
          <w:bCs w:val="1"/>
          <w:color w:val="auto"/>
        </w:rPr>
        <w:t>Water Utility Services is subject to possible litigation or regulatory enforcement action concerning water discharges to Waters of the United States (“WOTUS”).</w:t>
      </w:r>
    </w:p>
    <w:p>
      <w:pPr>
        <w:spacing w:after="0" w:line="58"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Regulatory actions and fines related to discharges of water to WOTUS against other water utilities have increased in frequency in recent years. If Water Utility Services is subject to a litigation or regulatory enforcement action, it might incur significant costs in fines and restoration efforts, and it is uncertain whether Water Utility Services would be able to recover some or all of such costs from ratepayers or other third parties. In addition, any litigation or regulatory enforcement action against us regarding a water discharge and/or resulting environmental impact may receive negative publicity that can damage our reputation and adversely affect our business and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6" w:name="page17"/>
    <w:bookmarkEnd w:id="16"/>
    <w:p>
      <w:pPr>
        <w:ind w:left="580"/>
        <w:spacing w:after="0"/>
        <w:rPr>
          <w:sz w:val="20"/>
          <w:szCs w:val="20"/>
          <w:color w:val="auto"/>
        </w:rPr>
      </w:pPr>
      <w:r>
        <w:rPr>
          <w:rFonts w:ascii="Arial" w:cs="Arial" w:eastAsia="Arial" w:hAnsi="Arial"/>
          <w:sz w:val="17"/>
          <w:szCs w:val="17"/>
          <w:b w:val="1"/>
          <w:bCs w:val="1"/>
          <w:color w:val="auto"/>
        </w:rPr>
        <w:t>New or more stringent environmental regulations could increase Water Utility Services’ operating costs and affect its business.</w:t>
      </w:r>
    </w:p>
    <w:p>
      <w:pPr>
        <w:spacing w:after="0" w:line="1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Water Utility Services are subject to water quality and pollution control regulations issued by the EPA and environmental laws and regulations administered by the respective states and local regulatory agencies.</w:t>
      </w:r>
    </w:p>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New or more stringent environmental and water quality regulations could increase Water Utility Services’ water quality compliance costs, hamper Water Utility Services’ available water supplies, and increase future capital expenditures.</w:t>
      </w:r>
    </w:p>
    <w:p>
      <w:pPr>
        <w:spacing w:after="0" w:line="62"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Under the federal Safe Drinking Water Act, Water Utility Services is subject to regulation by the EPA relating to the quality of water it sells and treatment techniques it uses to make the water potable. The EPA promulgates, from time to time, nationally applicable standards, including maximum contaminant levels for drinking water. Additional or more stringent requirements may be adopted by each state. There can be no assurance that Water Utility Services will be able to continue to comply with all water quality requirements.</w:t>
      </w:r>
    </w:p>
    <w:p>
      <w:pPr>
        <w:spacing w:after="0" w:line="7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Water Utility Services has implemented monitoring activities and installed specific water treatment improvements in order to comply with existing maximum contaminant levels and plan for compliance with future drinking water regulations. However, the EPA and the respective state agencies have continuing authority to issue additional regulations under the Safe Drinking Water Act. New or more stringent environmental standards could be imposed that will raise Water Utility Services’ operating costs and capital expenditures, including requirements for increased monitoring, additional treatment of underground water supplies, fluoridation of all supplies, more stringent performance standards for treatment plants, additional procedures to further reduce levels of disinfection by-products, and more comprehensive measures to monitor, reduce or eliminate known or newly identified contaminants such as polyfluoroalkyl substances. There are currently limited regulatory mechanisms and procedures available to us for the recovery of such costs and there can be no assurance that such costs will be fully recovered and failure to do so may adversely affect our operating results.</w:t>
      </w:r>
    </w:p>
    <w:p>
      <w:pPr>
        <w:spacing w:after="0" w:line="80" w:lineRule="exact"/>
        <w:rPr>
          <w:sz w:val="20"/>
          <w:szCs w:val="20"/>
          <w:color w:val="auto"/>
        </w:rPr>
      </w:pPr>
    </w:p>
    <w:p>
      <w:pPr>
        <w:jc w:val="both"/>
        <w:ind w:right="180" w:firstLine="567"/>
        <w:spacing w:after="0" w:line="266" w:lineRule="auto"/>
        <w:rPr>
          <w:sz w:val="20"/>
          <w:szCs w:val="20"/>
          <w:color w:val="auto"/>
        </w:rPr>
      </w:pPr>
      <w:r>
        <w:rPr>
          <w:rFonts w:ascii="Arial" w:cs="Arial" w:eastAsia="Arial" w:hAnsi="Arial"/>
          <w:sz w:val="18"/>
          <w:szCs w:val="18"/>
          <w:b w:val="1"/>
          <w:bCs w:val="1"/>
          <w:color w:val="auto"/>
        </w:rPr>
        <w:t>The impact of climate change and climate change laws and regulations have been passed and are being proposed that require compliance with greenhouse gas emissions standards, as well as other climate change initiatives, which could increase Water Utility Services’ operating costs and affect our business.</w:t>
      </w:r>
    </w:p>
    <w:p>
      <w:pPr>
        <w:spacing w:after="0" w:line="7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Climate change is receiving ever increasing attention worldwide. Many scientists, legislators, and others attribute global warming to increased levels of greenhouse gases, including carbon dioxide. Climate change laws and regulations enacted and proposed limit greenhouse gases emissions from covered entities and require additional monitoring/reporting. We produce a corporate social responsibility report, which provides an overview of our energy usage and greenhouse emissions. At this time, the existing greenhouse gases laws and regulations are not expected to materially harm Water Utility Services’ operations or capital expenditures. While regulation on climate change could change in light of the current federal administration’s agenda, the uncertainty of future climate change regulatory requirements still remains. We cannot predict the potential impact of future laws and regulations on our business, financial condition, or results of operations. Although these future expenditures and costs for regulatory compliance may be recovered in the form of higher rates, there can be no assurance that the various state utility commissions that govern our business would approve rate increases to enable us to recover such expenditures and costs.</w:t>
      </w:r>
    </w:p>
    <w:p>
      <w:pPr>
        <w:spacing w:after="0" w:line="7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Climate change may also impact water supply. For example, severity of drought conditions may impact the availability of water to all Water Utility Services and rising sea levels may impact the availability of groundwater to Water Utility Services.</w:t>
      </w:r>
    </w:p>
    <w:p>
      <w:pPr>
        <w:spacing w:after="0" w:line="99" w:lineRule="exact"/>
        <w:rPr>
          <w:sz w:val="20"/>
          <w:szCs w:val="20"/>
          <w:color w:val="auto"/>
        </w:rPr>
      </w:pPr>
    </w:p>
    <w:p>
      <w:pPr>
        <w:ind w:right="260" w:firstLine="567"/>
        <w:spacing w:after="0" w:line="282" w:lineRule="auto"/>
        <w:rPr>
          <w:sz w:val="20"/>
          <w:szCs w:val="20"/>
          <w:color w:val="auto"/>
        </w:rPr>
      </w:pPr>
      <w:r>
        <w:rPr>
          <w:rFonts w:ascii="Arial" w:cs="Arial" w:eastAsia="Arial" w:hAnsi="Arial"/>
          <w:sz w:val="18"/>
          <w:szCs w:val="18"/>
          <w:b w:val="1"/>
          <w:bCs w:val="1"/>
          <w:color w:val="auto"/>
        </w:rPr>
        <w:t>We may be at risk for litigation under the principle of inverse condemnation for activities in the normal course of business which have a damaging effect on private property.</w:t>
      </w:r>
    </w:p>
    <w:p>
      <w:pPr>
        <w:spacing w:after="0" w:line="5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Under the California legal doctrine of inverse condemnation, a public utility taking or damaging private property can be responsible to the property owners for compensation, even when damage occurs through no fault or negligence of the utility company and regardless of whether the damage could be foreseen. Based upon existing California case law, SJWC could be sued under the doctrine of inverse condemnation and held liable if its facilities, operations or property, such as mains, fire hydrants, power lines and other equipment, or wildfires in our Santa Cruz mountain watershed result in damage to private property.</w:t>
      </w:r>
    </w:p>
    <w:p>
      <w:pPr>
        <w:spacing w:after="0" w:line="8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court finding of inverse condemnation does not obligate the CPUC to allow SJWC to recover damage awards or pass on costs to ratepayers. Insurance coverage for inverse condemnation may not be available or may not be sufficient. SJWC</w:t>
      </w:r>
      <w:r>
        <w:rPr>
          <w:rFonts w:ascii="Arial" w:cs="Arial" w:eastAsia="Arial" w:hAnsi="Arial"/>
          <w:sz w:val="18"/>
          <w:szCs w:val="18"/>
          <w:b w:val="1"/>
          <w:bCs w:val="1"/>
          <w:color w:val="auto"/>
        </w:rPr>
        <w:t>’</w:t>
      </w:r>
      <w:r>
        <w:rPr>
          <w:rFonts w:ascii="Arial" w:cs="Arial" w:eastAsia="Arial" w:hAnsi="Arial"/>
          <w:sz w:val="18"/>
          <w:szCs w:val="18"/>
          <w:color w:val="auto"/>
        </w:rPr>
        <w:t>s liquidity, earnings, and operations may be adversely affected if we are unable to recover the costs of paying claims for damages caused by the operation and maintenance of our property from customers or through insurance.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7" w:name="page18"/>
    <w:bookmarkEnd w:id="17"/>
    <w:p>
      <w:pPr>
        <w:ind w:left="580"/>
        <w:spacing w:after="0"/>
        <w:rPr>
          <w:sz w:val="20"/>
          <w:szCs w:val="20"/>
          <w:color w:val="auto"/>
        </w:rPr>
      </w:pPr>
      <w:r>
        <w:rPr>
          <w:rFonts w:ascii="Arial" w:cs="Arial" w:eastAsia="Arial" w:hAnsi="Arial"/>
          <w:sz w:val="18"/>
          <w:szCs w:val="18"/>
          <w:b w:val="1"/>
          <w:bCs w:val="1"/>
          <w:color w:val="auto"/>
        </w:rPr>
        <w:t>Our water utility property and systems are subject to condemnation and other proceedings through eminent domain.</w:t>
      </w:r>
    </w:p>
    <w:p>
      <w:pPr>
        <w:spacing w:after="0" w:line="121"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State laws in jurisdictions where we operate, including California, Connecticut, Texas and Maine, allow municipalities, water districts and other public agencies to own and operate water systems. These agencies are empowered to condemn water systems or real property owned by privately owned public utilities in certain circumstances and in compliance with state and federal laws. In general, if a public agency exercises its eminent domain power to take possession of private property, the government is required to pay just compensation to owners of such property. In the event of eminent domain or condemnation proceedings against our water utility property or systems, we may incur substantial attorney’s fees, consultant and expert fees and other costs in considering a challenge to such proceeding and/or its valuation for just compensation, as well as fees and costs in any subsequent litigation if necessary. If the public agency prevailed and acquired our utility property, we would no longer have access to the condemned property or water system, neither would we be entitled to any portion of revenue generated from the use of such asset going forward. Furthermore, if public agencies succeed in acquiring our assets, there is a risk that we will not receive adequate compensation for the assets taken or be able to recover all charges associated with the condemnation of such assets, which may adversely affect our business operations and financial conditions.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Business Operations</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Fluctuations in customer demand for water due to seasonality, restrictions of use, weather, and lifestyle can adversely affect operating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w:t>
      </w:r>
    </w:p>
    <w:p>
      <w:pPr>
        <w:spacing w:after="0" w:line="89" w:lineRule="exact"/>
        <w:rPr>
          <w:sz w:val="20"/>
          <w:szCs w:val="20"/>
          <w:color w:val="auto"/>
        </w:rPr>
      </w:pPr>
    </w:p>
    <w:p>
      <w:pPr>
        <w:jc w:val="both"/>
        <w:ind w:right="160"/>
        <w:spacing w:after="0" w:line="287" w:lineRule="auto"/>
        <w:rPr>
          <w:sz w:val="20"/>
          <w:szCs w:val="20"/>
          <w:color w:val="auto"/>
        </w:rPr>
      </w:pPr>
      <w:r>
        <w:rPr>
          <w:rFonts w:ascii="Arial" w:cs="Arial" w:eastAsia="Arial" w:hAnsi="Arial"/>
          <w:sz w:val="16"/>
          <w:szCs w:val="16"/>
          <w:color w:val="auto"/>
        </w:rPr>
        <w:t>Water Utility Services are seasonal, thus quarterly fluctuation in results of operations may be significant. Rainfall and other weather conditions also affect Water Utility Services. Water consumption typically increases during the third quarter of each year when weather tends to be warm and dry. In periods of drought, if customers are encouraged or required to conserve water due to a shortage of water supply or restriction of use, revenue tends to be lower.</w:t>
      </w:r>
    </w:p>
    <w:p>
      <w:pPr>
        <w:spacing w:after="0" w:line="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Similarly, in unusually wet periods, water supply tends to be higher and customer demand tends to be lower, again resulting in lower revenues. Furthermore, certain lifestyle choices made by customers can affect demand for water. For example, a significant portion of residential water use is for outside irrigation of lawns and landscaping. If there is a decreased desire by customers to maintain landscaping for their homes or restrictions are placed on outside irrigation, residential water demand would decrease, which would result in lower revenues.</w:t>
      </w:r>
    </w:p>
    <w:p>
      <w:pPr>
        <w:spacing w:after="0" w:line="6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Conservation efforts and construction codes, which require the use of low-flow plumbing fixtures, could diminish water consumption and result in reduced revenue. In addition, in time of drought, water conservation may become a regulatory requirement that impacts the water usage of our customers. On July 8, 2021, Governor Gavin Newsom issued a proclamation declaring a drought emergency in fifty California Counties, including Santa Clara County. SJWC has activated our Water Shortage Contingency Plan to achieve the 15% conservation target. On July 9, 2021 Valley Water, the water supply agency for Santa Clara County, declared a water shortage emergency and requested its retailers enact conservation measures to achieve a mandatory 15% reduction compared to 2019 water consumption. SJWC has activated our Water Shortage Contingency Plan to achieve the 15% conservation target.</w:t>
      </w:r>
    </w:p>
    <w:p>
      <w:pPr>
        <w:spacing w:after="0" w:line="5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January 4, 2022, the State Water Resource Control Board (“State Water Board”) adopted emergency water use regulations that prohibit certain outdoor wasteful water practices. SJWC’s drought response through our Water Shortage Contingency Plan includes the same restrictions on wasteful water practices. On June 10, 2022, the State Water Board’s Second Water Conservation Emergency Declaration of 2022 became effective. This declaration prohibits the use of potable water for irrigation of non-functional turf at commercial, industrial, and institutional properties. SJWC is currently collaborating with our wholesaler and utility peers to engage and inform customers. Both water conservation emergency declarations will remain in effect for one year.</w:t>
      </w:r>
    </w:p>
    <w:p>
      <w:pPr>
        <w:spacing w:after="0" w:line="8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implementation of mandatory or voluntary conservation measures during the current drought has resulted and is expected to result in lower water usage by our customers which may adversely affect our results of operation. If the current conservation measures continue, or if new measures are imposed in response to drought conditions in the future, we may experience fluctuations in the timing of or a reduction in customer revenue.</w:t>
      </w:r>
    </w:p>
    <w:p>
      <w:pPr>
        <w:spacing w:after="0" w:line="5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Furthermore, the CPUC may approve memorandum accounts, such as a WCMA, to allow companies to recover revenue reductions due to water conservation activities and certain conservation related costs. However, collection of such memorandum accounts is subject to a review and approval process by CPUC, which can be lengthy, and there is no assurance that we will be able to recover in a timely manner all or some of the revenue and costs recorded in the memorandum accounts. When drought conditions ease and the California State Water Board and Valley Water no longer mandate water conservation, the company may no longer be allowed to recover revenue lost due to continued conservation activities under the WCMA account and would therefore be exposed to differences between actual and authorized usage. This could result in lower revenues.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8" w:name="page19"/>
    <w:bookmarkEnd w:id="18"/>
    <w:p>
      <w:pPr>
        <w:ind w:right="60"/>
        <w:spacing w:after="0" w:line="289" w:lineRule="auto"/>
        <w:rPr>
          <w:sz w:val="20"/>
          <w:szCs w:val="20"/>
          <w:color w:val="auto"/>
        </w:rPr>
      </w:pPr>
      <w:r>
        <w:rPr>
          <w:rFonts w:ascii="Arial" w:cs="Arial" w:eastAsia="Arial" w:hAnsi="Arial"/>
          <w:sz w:val="16"/>
          <w:szCs w:val="16"/>
          <w:color w:val="auto"/>
        </w:rPr>
        <w:t>Similar to SJWC, Connecticut Water and Maine Water have also been impacted by increased water conservation, as well as the use of more efficient household fixtures and appliances among residential users. There has been a trend of declining per customer residential water usage in Connecticut and Maine over the last several years. CTWS’s regulated businesses at Maine Water are heavily dependent on revenue generated from rates it charges to its residential customers for the volume of water they use. The rates Connecticut Water and Maine Water charge for its water is regulated by PURA in Connecticut and MPUC in Maine, and CTWS’s water services subsidiaries may not unilaterally adjust their rates to reflect changes in demand. A declining volume of residential water usage may have a negative impact on our operating revenues in the future if regulators do not reflect usage declines in the rate setting design process. Although the legislatures in Maine and Connecticut have provided legislation for water utilities to implement revenue adjustment mechanisms to allow for recovery of authorized rates where conservation has occurred and consumption has declined and such a mechanism has been approved by PURA and implemented for Connecticut Water, this mechanism has yet to be implemented at Maine Water.</w:t>
      </w:r>
    </w:p>
    <w:p>
      <w:pPr>
        <w:spacing w:after="0" w:line="95" w:lineRule="exact"/>
        <w:rPr>
          <w:sz w:val="20"/>
          <w:szCs w:val="20"/>
          <w:color w:val="auto"/>
        </w:rPr>
      </w:pPr>
    </w:p>
    <w:p>
      <w:pPr>
        <w:ind w:right="600" w:firstLine="567"/>
        <w:spacing w:after="0" w:line="282" w:lineRule="auto"/>
        <w:rPr>
          <w:sz w:val="20"/>
          <w:szCs w:val="20"/>
          <w:color w:val="auto"/>
        </w:rPr>
      </w:pPr>
      <w:r>
        <w:rPr>
          <w:rFonts w:ascii="Arial" w:cs="Arial" w:eastAsia="Arial" w:hAnsi="Arial"/>
          <w:sz w:val="18"/>
          <w:szCs w:val="18"/>
          <w:b w:val="1"/>
          <w:bCs w:val="1"/>
          <w:color w:val="auto"/>
        </w:rPr>
        <w:t>A contamination event or other decline in source water quality could affect the water supply of Water Utility Services and therefore adversely affect our business and operating results.</w:t>
      </w:r>
    </w:p>
    <w:p>
      <w:pPr>
        <w:spacing w:after="0" w:line="58"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Water Utility Services is required under drinking water regulations to comply with water quality requirements. Through water quality compliance programs, Water Utility Services monitors for contamination and pollution of its sources of water. In addition, a watershed management program provides a proactive approach to minimize potential contamination activities. There can be no assurance that Water Utility Services will continue to comply fully with all applicable water quality requirements or detect contamination timely or at all. In addition, our facilities and infrastructure, including water towers, reservoirs and wells, may be subject to vandalism, break-ins or attacks, which may cause contamination or damage to our water supply. While we have</w:t>
      </w:r>
    </w:p>
    <w:p>
      <w:pPr>
        <w:spacing w:after="0" w:line="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taken measures to maintain physical security of our facilities, there is no guarantee that such measures will be effective to prevent such events. In the event a contamination is detected, Water Utility Services must either commence treatment to remove the contaminant or procure water from an alternative source. Either of these results may be costly, may increase future capital expenditures and there can be no assurance that the regulators would approve a rate increase to enable us to recover the costs arising from such remedies. In addition, we could be held liable for consequences arising from hazardous substances or contamination in our water supplies or other environmental damages and our reputation may be harmed by the public disclosures or media reports of these events. Our insurance policies may not cover or may not be sufficient to cover the costs of these claims.</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Operating under contract water and waste systems subject us to risks.</w:t>
      </w:r>
    </w:p>
    <w:p>
      <w:pPr>
        <w:spacing w:after="0" w:line="10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Water Utility Services operates a number of water and wastewater systems under operation and maintenance contracts. Pursuant to these contracts, such systems are operated according to the standards set forth in the applicable contract, and it is generally the responsibility of the owner of the system to undertake capital improvements over which we may not have control. We may not be able to convince the owner to make needed improvements in order to maintain compliance with applicable regulations. Although violations and fines incurred by water and wastewater systems may be the responsibility of the owner of the system under these contracts, such non-compliance events may reflect poorly on us as the operator of the system and harm our reputation, and in some cases, may result in liability to the same extent as if we were the owner.</w:t>
      </w:r>
    </w:p>
    <w:p>
      <w:pPr>
        <w:spacing w:after="0" w:line="79" w:lineRule="exact"/>
        <w:rPr>
          <w:sz w:val="20"/>
          <w:szCs w:val="20"/>
          <w:color w:val="auto"/>
        </w:rPr>
      </w:pPr>
    </w:p>
    <w:p>
      <w:pPr>
        <w:jc w:val="both"/>
        <w:ind w:right="400" w:firstLine="567"/>
        <w:spacing w:after="0" w:line="242" w:lineRule="auto"/>
        <w:rPr>
          <w:sz w:val="20"/>
          <w:szCs w:val="20"/>
          <w:color w:val="auto"/>
        </w:rPr>
      </w:pPr>
      <w:r>
        <w:rPr>
          <w:rFonts w:ascii="Arial" w:cs="Arial" w:eastAsia="Arial" w:hAnsi="Arial"/>
          <w:sz w:val="18"/>
          <w:szCs w:val="18"/>
          <w:b w:val="1"/>
          <w:bCs w:val="1"/>
          <w:color w:val="auto"/>
        </w:rPr>
        <w:t>Water Utility Services rely on information technology and systems that are key to business operations. A system malfunction, security breach, cyber-attacks or other disruptions could compromise our information and expose us to liability, which could adversely affect business operations.</w:t>
      </w:r>
    </w:p>
    <w:p>
      <w:pPr>
        <w:spacing w:after="0" w:line="8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Information technology is key to the operation of the Water Utility Services, including but not limited to payroll, general ledger activities, outsourced bill preparation and remittance processing, providing customer service and the use of Supervisory Control and Data Acquisition systems to operate our distribution system. Among other things, system malfunctions, computer viruses and security breaches could prevent us from operating or monitoring our facilities, billing and collecting cash accurately and timely analysis of financial results. In addition, we collect, process, and store sensitive data from our customers and employees, including personally identifiable information, on our networks. Despite our security measures, our information technology and infrastructure may be vulnerable to attacks by hackers or breached due to employee error, malfeasance or other disruptions. Any such breach could compromise our networks and the information stored there could be accessed without our authorization, publicly disclosed, lost or stolen which could result in legal claims or proceedings, violation of privacy laws or damage to our reputation and customer relationships. Our profitability and cash flow could be affected negatively in the event these systems do not operate effectively or are breached. In addition, we may not be able to develop or acquire information technology that is competitive and responsive to the needs of our business, and we may lack sufficient resources to make the necessary upgrades or replacements of our outdated existing technology to allow us to continue to operate at our current level of efficiency.</w:t>
      </w:r>
    </w:p>
    <w:p>
      <w:pPr>
        <w:spacing w:after="0" w:line="64"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In addition, we must comply with privacy rights regulations such as The California Consumer Privacy Act (“CCPA”), a state statute that became effective January 1, 2020, which enhances the privacy rights and consumer protections for California residents. Among other things, the CCPA establishes statutory damages for victims of data security breaches, and provides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9" w:name="page20"/>
    <w:bookmarkEnd w:id="19"/>
    <w:p>
      <w:pPr>
        <w:spacing w:after="0" w:line="272" w:lineRule="auto"/>
        <w:rPr>
          <w:sz w:val="20"/>
          <w:szCs w:val="20"/>
          <w:color w:val="auto"/>
        </w:rPr>
      </w:pPr>
      <w:r>
        <w:rPr>
          <w:rFonts w:ascii="Arial" w:cs="Arial" w:eastAsia="Arial" w:hAnsi="Arial"/>
          <w:sz w:val="17"/>
          <w:szCs w:val="17"/>
          <w:color w:val="auto"/>
        </w:rPr>
        <w:t>additional rights for consumers to obtain their data from any business that has their personally identifying information. On January 1, 2023 the California Privacy Rights Act (“CPRA”) took effect. The CPRA amended the CCPA to create new rights for consumers and impose additional obligations on businesses. We will also be subject to Connecticut’s Act Concerning Personal Data Privacy and Online Monitoring (the “Connecticut Privacy Act”), a similar law that takes effect July 1, 2023. Implementing regulations have not yet been finalized under the CPRA and no regulations are expected pursuant to the Connecticut Privacy Act, creating a significant amount of uncertainty. Despite our efforts to comply with these laws, we may fail to do so which may lead to investigations, claims, and proceedings by governmental entities and private parties, damages for breach, and cause us to incur other significant costs, penalties, and other liabilities, as well as harm to our reputation.</w:t>
      </w:r>
    </w:p>
    <w:p>
      <w:pPr>
        <w:spacing w:after="0" w:line="92" w:lineRule="exact"/>
        <w:rPr>
          <w:sz w:val="20"/>
          <w:szCs w:val="20"/>
          <w:color w:val="auto"/>
        </w:rPr>
      </w:pPr>
    </w:p>
    <w:p>
      <w:pPr>
        <w:ind w:right="80" w:firstLine="567"/>
        <w:spacing w:after="0" w:line="250" w:lineRule="auto"/>
        <w:rPr>
          <w:sz w:val="20"/>
          <w:szCs w:val="20"/>
          <w:color w:val="auto"/>
        </w:rPr>
      </w:pPr>
      <w:r>
        <w:rPr>
          <w:rFonts w:ascii="Arial" w:cs="Arial" w:eastAsia="Arial" w:hAnsi="Arial"/>
          <w:sz w:val="18"/>
          <w:szCs w:val="18"/>
          <w:b w:val="1"/>
          <w:bCs w:val="1"/>
          <w:color w:val="auto"/>
        </w:rPr>
        <w:t>A failure of our reservoirs, storage tanks, mains or distribution networks could result in losses and damages that may adversely affect our financial condition and reputation.</w:t>
      </w:r>
    </w:p>
    <w:p>
      <w:pPr>
        <w:spacing w:after="0" w:line="7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distribute water through an extensive network of mains and store water in reservoirs and storage tanks located across our service areas. The Water Utility Services’ distribution systems were constructed during the period from the early 1900’s through today. A failure of major mains, reservoirs, or tanks could result in injuries and damage to residential and/or commercial property for which we may be responsible, in whole or in part. The failure of major mains, reservoirs or tanks may also result in the need to shut down some facilities or parts of our water distribution network in order to conduct repairs. Such failures and shutdowns may limit our ability to supply water in sufficient quantities to our customers and to meet the water delivery requirements prescribed by governmental regulators, which could adversely affect our financial condition, results of operations, cash flow, liquidity and reputation. We also own and operate numerous dams in California, Connecticut and Maine, and a failure of such dams could result in losses and damages that may adversely affect our financial condition and reputation. Any business interruption or other losses might not be covered by existing insurance policies or be recoverable in rates, and such losses may make it difficult for us to secure insurance in the future at acceptable rates. Our insurance policies may not cover or may not be sufficient to cover the costs of these claims.</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Our business and financial performance may be adversely affected by high inflation.</w:t>
      </w:r>
    </w:p>
    <w:p>
      <w:pPr>
        <w:spacing w:after="0" w:line="10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Inflation has the potential to adversely affect our liquidity, business, financial condition and results of operations by increasing our overall cost structure, particularly if we are unable to achieve increases in the rates we charge our customers. There is no guarantee that any future rate increase requests will be approved and granted in a timely manner and/or will be sufficient to cover costs for the impact of high inflation. The existence of inflation in the economy has resulted in, and may continue to result in, higher interest rates and capital costs, shipping costs, supply shortages, increased costs of labor and other similar effects. As a result of inflation, we have experienced and may continue to experience, cost increases. Although we may take measures to mitigate the impact of this inflation, if these measures are not effective, our business, financial condition, results of operations and liquidity could be materially adversely affected. Even if such measures are effective, there could be a difference between the timing of when these beneficial actions impact our results of operations and when the cost of inflation is incurred.</w:t>
      </w:r>
    </w:p>
    <w:p>
      <w:pPr>
        <w:spacing w:after="0" w:line="10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SJW Land Company and Chester Realty, Inc. have real estate holdings that are subject to various business and investment risks.</w:t>
      </w:r>
    </w:p>
    <w:p>
      <w:pPr>
        <w:spacing w:after="0" w:line="13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SJW Land Company owns real estate in California and Tennessee, and Chester Realty, Inc. owns real estate in Connecticut. The risks of investing directly in real estate vary depending on the investment strategy and investment objective and include the following:</w:t>
      </w:r>
    </w:p>
    <w:p>
      <w:pPr>
        <w:spacing w:after="0" w:line="62" w:lineRule="exact"/>
        <w:rPr>
          <w:sz w:val="20"/>
          <w:szCs w:val="20"/>
          <w:color w:val="auto"/>
        </w:rPr>
      </w:pPr>
    </w:p>
    <w:p>
      <w:pPr>
        <w:ind w:left="1300" w:right="280" w:hanging="1049"/>
        <w:spacing w:after="0" w:line="273" w:lineRule="auto"/>
        <w:tabs>
          <w:tab w:leader="none" w:pos="1295" w:val="left"/>
        </w:tabs>
        <w:numPr>
          <w:ilvl w:val="0"/>
          <w:numId w:val="9"/>
        </w:numPr>
        <w:rPr>
          <w:rFonts w:ascii="Arial" w:cs="Arial" w:eastAsia="Arial" w:hAnsi="Arial"/>
          <w:sz w:val="17"/>
          <w:szCs w:val="17"/>
          <w:color w:val="auto"/>
        </w:rPr>
      </w:pPr>
      <w:r>
        <w:rPr>
          <w:rFonts w:ascii="Arial" w:cs="Arial" w:eastAsia="Arial" w:hAnsi="Arial"/>
          <w:sz w:val="17"/>
          <w:szCs w:val="17"/>
          <w:color w:val="auto"/>
        </w:rPr>
        <w:t>Market and general economic risks—real estate investment is tied to overall domestic economic growth and, therefore, carries market risk which cannot be eliminated by diversification. Generally, all property types benefit from national economic growth, though the benefits range according to local factors, such as local supply and demand and job creation. Because real estate leases are typically staggered and last for multiple years, there is generally a delayed effect in the performance of real estate in relation to the overall economy. This delayed effect can insulate or deteriorate the financial impact to SJW Land Company and Chester Realty, Inc. in a downturn or an improved economic environment.</w:t>
      </w:r>
    </w:p>
    <w:p>
      <w:pPr>
        <w:spacing w:after="0" w:line="69" w:lineRule="exact"/>
        <w:rPr>
          <w:rFonts w:ascii="Arial" w:cs="Arial" w:eastAsia="Arial" w:hAnsi="Arial"/>
          <w:sz w:val="17"/>
          <w:szCs w:val="17"/>
          <w:color w:val="auto"/>
        </w:rPr>
      </w:pPr>
    </w:p>
    <w:p>
      <w:pPr>
        <w:ind w:left="1300" w:right="40" w:hanging="1049"/>
        <w:spacing w:after="0" w:line="277"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color w:val="auto"/>
        </w:rPr>
        <w:t>Vacancy rates can climb and market rents can be impacted and weakened by general economic forces, therefore affecting income to SJW Land Company and Chester Realty, Inc.</w:t>
      </w:r>
    </w:p>
    <w:p>
      <w:pPr>
        <w:spacing w:after="0" w:line="62" w:lineRule="exact"/>
        <w:rPr>
          <w:rFonts w:ascii="Arial" w:cs="Arial" w:eastAsia="Arial" w:hAnsi="Arial"/>
          <w:sz w:val="18"/>
          <w:szCs w:val="18"/>
          <w:color w:val="auto"/>
        </w:rPr>
      </w:pPr>
    </w:p>
    <w:p>
      <w:pPr>
        <w:ind w:left="1300" w:right="260" w:hanging="1049"/>
        <w:spacing w:after="0" w:line="277"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in the value of a real estate property or increase in vacancy could result in reduced future cash flows to amounts below the property’s current carrying value and could result in an impairment charge.</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value of real estate can decrease materially due to a deflationary market, decline in rental income, market cycle of supply and demand, long lag time in real estate development, legislative and governmental actions, environmental concerns, increases in rates of returns demanded by investors, and fluctuation of interest rates, eroding any unrealized capital appreciation and, potentially, invested capital.</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4" w:right="379" w:bottom="1440" w:gutter="0" w:footer="0" w:header="0"/>
        </w:sectPr>
      </w:pPr>
    </w:p>
    <w:bookmarkStart w:id="20" w:name="page21"/>
    <w:bookmarkEnd w:id="20"/>
    <w:p>
      <w:pPr>
        <w:ind w:right="80"/>
        <w:spacing w:after="0" w:line="257" w:lineRule="auto"/>
        <w:rPr>
          <w:sz w:val="20"/>
          <w:szCs w:val="20"/>
          <w:color w:val="auto"/>
        </w:rPr>
      </w:pPr>
      <w:r>
        <w:rPr>
          <w:rFonts w:ascii="Arial" w:cs="Arial" w:eastAsia="Arial" w:hAnsi="Arial"/>
          <w:sz w:val="18"/>
          <w:szCs w:val="18"/>
          <w:color w:val="auto"/>
        </w:rPr>
        <w:t>The success of SJW Land Company and Chester Realty, Inc.’s real estate investment strategy depend largely on ongoing local, state and federal land use development activities and regulations, future economic conditions, the development and fluctuations in the sale of the undeveloped properties, the ability to identify the developer/potential buyer of the available-for-sale real estate, the timing of the transaction, favorable tax law, and the ability to maintain and manage portfolio properties. There is no guarantee that we will be able to execute the strategy successfully and failure to do so may adversely affect our operating results and financial condition.</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Work stoppages and other labor relations matters could adversely affect our business and operating results.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of December 31, 2022, 215 of our 757 total employees were union members. Most of our unionized employees are represented by the OWUA, except certain employees in the engineering department who are represented by the OE. Only employees at SJWC are union members. The current three-year bargaining agreements expired on December 31, 2022 and a tentative agreement has been negotiated and will begin in 2023 for the upcoming period, 2023 through 2025. Acceptance of the OE and the OWUA bargaining agreements are anticipated in the first quarter of 2023.</w:t>
      </w:r>
    </w:p>
    <w:p>
      <w:pPr>
        <w:spacing w:after="0" w:line="63"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We may experience difficulties and delays in the collective bargaining process to reach suitable agreements with union employees, particularly in light of increasing healthcare and pension costs. In addition, changes in applicable law and regulations could have an adverse effect on management’s negotiating position with the unions. Labor actions, work stoppages or the threat of work stoppages, and our failure to obtain favorable labor contract terms during future negotiations may adversely affect our business, financial condition, results of operations, cash flows and liquidity.</w:t>
      </w:r>
    </w:p>
    <w:p>
      <w:pPr>
        <w:spacing w:after="0" w:line="72" w:lineRule="exact"/>
        <w:rPr>
          <w:sz w:val="20"/>
          <w:szCs w:val="20"/>
          <w:color w:val="auto"/>
        </w:rPr>
      </w:pPr>
    </w:p>
    <w:p>
      <w:pPr>
        <w:ind w:right="200" w:firstLine="567"/>
        <w:spacing w:after="0" w:line="282" w:lineRule="auto"/>
        <w:rPr>
          <w:sz w:val="20"/>
          <w:szCs w:val="20"/>
          <w:color w:val="auto"/>
        </w:rPr>
      </w:pPr>
      <w:r>
        <w:rPr>
          <w:rFonts w:ascii="Arial" w:cs="Arial" w:eastAsia="Arial" w:hAnsi="Arial"/>
          <w:sz w:val="18"/>
          <w:szCs w:val="18"/>
          <w:b w:val="1"/>
          <w:bCs w:val="1"/>
          <w:color w:val="auto"/>
        </w:rPr>
        <w:t>If we fail to maintain safe work sites, we can be exposed to not only people impacts but also to financial losses such as penalties and other liabilities.</w:t>
      </w:r>
    </w:p>
    <w:p>
      <w:pPr>
        <w:spacing w:after="0" w:line="5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Our safety record is critical to our reputation because our business operation involves inherently dangerous activities. We maintain health and safety standards to protect our employees, customers, vendors and the public. Although we intend to adhere to such health and safety standards and aim for zero injuries, it is difficult to avoid accidents at all times.</w:t>
      </w:r>
    </w:p>
    <w:p>
      <w:pPr>
        <w:spacing w:after="0" w:line="7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business sites, including construction and maintenance sites, often place our employees and others in close proximity with large pieces of heavy equipment, moving vehicles, pressurized water, underground trenches and vaults, chemicals and other regulated materials. On many sites we are responsible for safety and, accordingly, must implement safety procedures. If we fail to implement such procedures or if the procedures we implement are ineffective or are not followed by our employees or others, or if accidents occur outside of our control, our employees and others may be injured or die. Unsafe work sites also have the potential to increase employee turnover and raise our operating costs. Any of the foregoing could result in financial losses, which could have a material adverse impact on our business, financial condition, results of operations and cash flows.</w:t>
      </w:r>
    </w:p>
    <w:p>
      <w:pPr>
        <w:spacing w:after="0" w:line="7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addition, our operations can involve the handling and storage of hazardous chemicals, which, if improperly handled, stored or disposed of, could subject us to penalties or other liabilities. We are also subject to regulations dealing with occupational health and safety. Although we maintain functional employee groups whose primary purpose is to ensure we implement effective health, safety, and environment work procedures throughout our organization, including construction sites and maintenance sites, the failure to comply with such regulations or procedures could subject us to a liability.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Finances and Corporate Matters</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We may not have sufficient cash flow or capital resources to fund capital expenditures of our water utility business.</w:t>
      </w:r>
    </w:p>
    <w:p>
      <w:pPr>
        <w:spacing w:after="0" w:line="10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water utility business is capital-intensive. Expenditure levels for renewal and modernization of the system will grow at an increasing rate as components reach the end of their useful lives. SJW Group’ subsidiaries fund capital expenditures through a variety of sources, including cash received from operations, funds received from developers as contributions or advances, borrowings through lines of credit and debt financings, as well as equity financings by SJW Group. We cannot provide any assurance that the historical sources of funds for capital expenditures will continue to be adequate or that the cost of funds will remain at levels permitting us to earn a reasonable rate of return. A significant change in any of the funding sources could impair the ability of Water Utility Services to fund its capital expenditures, which could impact our ability to grow our utility asset base and earnings. Any increase in the cost of capital through higher interest rates or otherwise could adversely affect our results of operations.</w:t>
      </w:r>
    </w:p>
    <w:p>
      <w:pPr>
        <w:spacing w:after="0" w:line="6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ability to raise capital through equity or debt may be affected by the economy and condition of the debt and equity markets. Disruptions in the capital and credit markets or deterioration in the strength of financial institutions could adversely affect SJW Group’s ability to draw on its lines of credit, issue long-term debt or sell its equity. In addition, government policies, the state of the credit markets and other factors could result in increased interest rates, which would increase SJW Group’s cost of capital. Furthermore, equity financings may result in dilution to our existing stockholders and debt financings may contain covenants that restrict the actions of SJW Group and its subsidiaries.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1" w:name="page22"/>
    <w:bookmarkEnd w:id="21"/>
    <w:p>
      <w:pPr>
        <w:ind w:right="960" w:firstLine="486"/>
        <w:spacing w:after="0" w:line="282" w:lineRule="auto"/>
        <w:rPr>
          <w:sz w:val="20"/>
          <w:szCs w:val="20"/>
          <w:color w:val="auto"/>
        </w:rPr>
      </w:pPr>
      <w:r>
        <w:rPr>
          <w:rFonts w:ascii="Arial" w:cs="Arial" w:eastAsia="Arial" w:hAnsi="Arial"/>
          <w:sz w:val="18"/>
          <w:szCs w:val="18"/>
          <w:b w:val="1"/>
          <w:bCs w:val="1"/>
          <w:color w:val="auto"/>
        </w:rPr>
        <w:t>We have incurred substantial additional indebtedness that may reduce our business and operational flexibility and increase our borrowing costs.</w:t>
      </w:r>
    </w:p>
    <w:p>
      <w:pPr>
        <w:spacing w:after="0" w:line="58"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auto"/>
        </w:rPr>
        <w:t>We have incurred substantial indebtedness resulting in higher debt-to-equity ratio, which may have the effect, among other things, of: reducing our flexibility to respond to changing business, industry and economic conditions; increasing borrowing costs; placing us at a competitive disadvantage relative to other companies in our industry with less debt; potentially having an adverse effect on our issuer and issue ratings; requiring additional cash flow to be used to service debt instead of for other purposes; and potentially impairing our ability to obtain other financing.</w:t>
      </w:r>
    </w:p>
    <w:p>
      <w:pPr>
        <w:spacing w:after="0" w:line="4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addition, the terms and conditions of such indebtedness, including financial covenants and restrictive covenants, may reduce our business flexibility and adversely affect our business, financial condition, results of operations and prospects. The agreements governing the indebtedness contain covenants that impose significant operating and financial limitations and restrictions on us, including restrictions on the ability to enter particular transactions and engage in other activities that we may believe will be advisable or necessary for our business. In addition, failure to comply with any of the covenants in our existing or future debt agreements could result in a default under those agreements and under other existing agreements containing cross-default provisions. A default would permit lenders to accelerate the maturity of indebtedness under these agreements and to foreclose upon any collateral securing such indebtedness. Under certain circumstances, we may not have sufficient funds or other resources to satisfy all of our obligations under our indebtedness, including principal and interest payments, which, if not cured, may cause an event of default.</w:t>
      </w:r>
    </w:p>
    <w:p>
      <w:pPr>
        <w:spacing w:after="0" w:line="70"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The senior note borrowings of SJW Group, SJWC and SJWTX include certain financial covenants regarding a maximum debt to equity ratio and an interest coverage requirement. In the event the relevant borrower exceeds the maximum debt to equity ratio or interest coverage requirement, we may be restricted from issuing future debt. In addition, the pollution control revenue bonds issued on behalf of SJWC contain affirmative and negative covenants customary for a loan agreement relating to revenue bonds, including, among other things, certain disclosure obligations, the tax exempt status of the interest on the bonds, and limitations and prohibitions on the transfer of projects funded by the loan proceeds and assignment of the loan agreement.</w:t>
      </w:r>
    </w:p>
    <w:p>
      <w:pPr>
        <w:spacing w:after="0" w:line="5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CTWS and its subsidiaries are required to comply with certain covenants in connection with their various long term loan agreements. The most restrictive of these covenants are the requirements to maintain a consolidated debt to capitalization ratio of not more than 60%. Additionally, Maine Water has restrictions on cash dividends paid based on restricted net assets. In the event that we violate any of these covenants, an event of default may occur and all amounts due under such loans, senior notes or bonds may come due, which would have an adverse effect on our business operations and financial conditions.</w:t>
      </w:r>
    </w:p>
    <w:p>
      <w:pPr>
        <w:spacing w:after="0" w:line="103" w:lineRule="exact"/>
        <w:rPr>
          <w:sz w:val="20"/>
          <w:szCs w:val="20"/>
          <w:color w:val="auto"/>
        </w:rPr>
      </w:pPr>
    </w:p>
    <w:p>
      <w:pPr>
        <w:ind w:right="320" w:firstLine="567"/>
        <w:spacing w:after="0" w:line="266" w:lineRule="auto"/>
        <w:rPr>
          <w:sz w:val="20"/>
          <w:szCs w:val="20"/>
          <w:color w:val="auto"/>
        </w:rPr>
      </w:pPr>
      <w:r>
        <w:rPr>
          <w:rFonts w:ascii="Arial" w:cs="Arial" w:eastAsia="Arial" w:hAnsi="Arial"/>
          <w:sz w:val="18"/>
          <w:szCs w:val="18"/>
          <w:b w:val="1"/>
          <w:bCs w:val="1"/>
          <w:color w:val="auto"/>
        </w:rPr>
        <w:t>SJW Group has committed to certain “ring-fencing” measures which will enhance CTWS’s separateness from SJW Group, which may limit SJW Group’s ability to influence the management and policies of CTWS (beyond the limitations included in other existing governance mechanisms).</w:t>
      </w:r>
    </w:p>
    <w:p>
      <w:pPr>
        <w:spacing w:after="0" w:line="7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Pursuant to the agreements related to the acquisition of CTWS and commitments made by SJW Group as part of the application for PURA and MPUC approval of the acquisition of CTWS, SJW Group has instituted certain “ring-fencing” measures to enhance CTWS’s separateness from SJW Group and to mitigate the risk that CTWS would be negatively impacted in the event of a bankruptcy or other adverse financial developments affecting SJW Group or its non-ring-fenced affiliates. These commitments became effective upon the closing of the acquisition.</w:t>
      </w:r>
    </w:p>
    <w:p>
      <w:pPr>
        <w:spacing w:after="0" w:line="6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order to satisfy the ring-fencing commitments, SJW Group formed SJWNE LLC a wholly-owned special purpose entity (“SPE”) to own the capital stock of CTWS. The SPE, CTWS and its subsidiaries (collectively, the “CTWS Entities”) adopted certain measures designed to enhance their separateness from SJW Group, with the intention of mitigating the effects on the CTWS Entities of any bankruptcy of SJW Group and its affiliates other than the CTWS Entities (collectively, the “Non-CTWS Entities”). As a result of these ring-fencing measures, in certain situations, SJW Group will be restricted in its ability to access assets of the CTWS Entities as dividends or intracompany loans to satisfy the debt or contractual obligations of any Non-CTWS Entity, including any indebtedness or other contractual obligations of SJW Group. In addition, the ring-fencing structure may negatively impact SJW Group’s ability to achieve certain benefits, including synergies and economies of scale to reduce operating costs of the combined entity, that it anticipates will result from the merger. This ring-fencing structure also subjects SJW Group and the CTWS Entities to certain governance, operational and financial restrictions since the closing of the merger. Accordingly, SJW Group may be restricted in its ability to direct the management, policies and operations of the CTWS Entities, including the deployment or disposition of their respective assets, declarations of dividends, strategic planning and other important corporate issues. Further, the CTWS Entities’ directors have considerable autonomy and, as described in our commitments, have a duty to act in the best interest of the CTWS Entities consistent with the ring-fencing structure and applicable law, which may be contrary to SJW Group’s best interests or be in opposition to SJW Group’s preferred strategic direction for the CTWS Entities. To the extent they take actions that are not in SJW Group’s interests, our financial condition, results of operations and prospects may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22" w:name="page23"/>
    <w:bookmarkEnd w:id="22"/>
    <w:p>
      <w:pPr>
        <w:ind w:firstLine="567"/>
        <w:spacing w:after="0" w:line="282" w:lineRule="auto"/>
        <w:rPr>
          <w:sz w:val="20"/>
          <w:szCs w:val="20"/>
          <w:color w:val="auto"/>
        </w:rPr>
      </w:pPr>
      <w:r>
        <w:rPr>
          <w:rFonts w:ascii="Arial" w:cs="Arial" w:eastAsia="Arial" w:hAnsi="Arial"/>
          <w:sz w:val="18"/>
          <w:szCs w:val="18"/>
          <w:b w:val="1"/>
          <w:bCs w:val="1"/>
          <w:color w:val="auto"/>
        </w:rPr>
        <w:t>Our business strategy, which includes acquiring water systems and expanding non-tariffed services, will expose us to new risks which could have a material adverse effect on our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Our business strategy focuses on the following:</w:t>
      </w:r>
    </w:p>
    <w:p>
      <w:pPr>
        <w:spacing w:after="0" w:line="117" w:lineRule="exact"/>
        <w:rPr>
          <w:sz w:val="20"/>
          <w:szCs w:val="20"/>
          <w:color w:val="auto"/>
        </w:rPr>
      </w:pPr>
    </w:p>
    <w:p>
      <w:pPr>
        <w:ind w:left="1300" w:hanging="1049"/>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Regional regulated water utility operations;</w:t>
      </w:r>
    </w:p>
    <w:p>
      <w:pPr>
        <w:spacing w:after="0" w:line="117" w:lineRule="exact"/>
        <w:rPr>
          <w:rFonts w:ascii="Arial" w:cs="Arial" w:eastAsia="Arial" w:hAnsi="Arial"/>
          <w:sz w:val="18"/>
          <w:szCs w:val="18"/>
          <w:color w:val="auto"/>
        </w:rPr>
      </w:pPr>
    </w:p>
    <w:p>
      <w:pPr>
        <w:ind w:left="1300" w:hanging="1049"/>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Regional non-tariffed water utility related services provided in accordance with the guidelines established by the Regulators; and</w:t>
      </w:r>
    </w:p>
    <w:p>
      <w:pPr>
        <w:spacing w:after="0" w:line="128" w:lineRule="exact"/>
        <w:rPr>
          <w:rFonts w:ascii="Arial" w:cs="Arial" w:eastAsia="Arial" w:hAnsi="Arial"/>
          <w:sz w:val="17"/>
          <w:szCs w:val="17"/>
          <w:color w:val="auto"/>
        </w:rPr>
      </w:pPr>
    </w:p>
    <w:p>
      <w:pPr>
        <w:ind w:left="1300" w:hanging="1049"/>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Out-of-region water and utility related services.</w:t>
      </w:r>
    </w:p>
    <w:p>
      <w:pPr>
        <w:spacing w:after="0" w:line="36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part of our pursuit of the above three strategic areas, we consider from time to time opportunities to acquire businesses and assets. However, we cannot be certain we will be successful in identifying and consummating any strategic business combination or acquisitions relating to such opportunities. In addition, the execution of our business strategy will expose us to different risks than those associated with the current utility operations. We expect to incur costs in connection with the execution of this strategy and any integration of an acquired business could involve significant costs, the assumption of certain known and unknown liabilities related to the acquired assets, the diversion of management’s time and resources, the potential for a negative impact on SJW Group’s financial position and operating results, entering markets in which SJW Group has no or limited direct prior experience and the potential loss of key employees of any acquired company. Any strategic combination or acquisition we decide to undertake may also impact our ability to finance our business, affect our compliance with regulatory requirements, and impose additional burdens on our operations. Any businesses we acquire may not achieve sales, customer growth and projected profitability that would justify the investment. Any difficulties we encounter in the integration process, including the integration of controls necessary for internal control and financial reporting, could interfere with our operations, reduce our operating margins and adversely affect our internal controls. SJW Group cannot be certain that any transaction will be successful or that it will not materially harm operating results or our financial condition.</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Adverse investment returns and other factors may increase our pension costs and pension plan funding requirements.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 substantial number of our employees are covered by defined benefit pension plans. Our pension costs and the funded status of the plans are affected by a number of factors including the discount rate, applicable mortality tables, mortality rates of plan participants, investment returns on plan assets, and pension reform legislation. Any change in such factors could result in an increase in future pension costs and an increase in our pension liabilities, requiring an increase in plan contributions which may adversely affect our financial conditions and results of operations.</w:t>
      </w:r>
    </w:p>
    <w:p>
      <w:pPr>
        <w:spacing w:after="0" w:line="100" w:lineRule="exact"/>
        <w:rPr>
          <w:sz w:val="20"/>
          <w:szCs w:val="20"/>
          <w:color w:val="auto"/>
        </w:rPr>
      </w:pPr>
    </w:p>
    <w:p>
      <w:pPr>
        <w:ind w:right="1080" w:firstLine="486"/>
        <w:spacing w:after="0" w:line="282" w:lineRule="auto"/>
        <w:rPr>
          <w:sz w:val="20"/>
          <w:szCs w:val="20"/>
          <w:color w:val="auto"/>
        </w:rPr>
      </w:pPr>
      <w:r>
        <w:rPr>
          <w:rFonts w:ascii="Arial" w:cs="Arial" w:eastAsia="Arial" w:hAnsi="Arial"/>
          <w:sz w:val="18"/>
          <w:szCs w:val="18"/>
          <w:b w:val="1"/>
          <w:bCs w:val="1"/>
          <w:color w:val="auto"/>
        </w:rPr>
        <w:t>SJW Group’s dividend policy is subject to the discretion of our board of directors and may be limited by legal and contractual requirements.</w:t>
      </w:r>
    </w:p>
    <w:p>
      <w:pPr>
        <w:spacing w:after="0" w:line="5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We anticipate to continue to pay a regular quarterly dividend, though any such determination to pay dividends will be at the discretion of our board of directors and will be dependent on then-existing conditions, including our financial condition, earnings, legal requirements, including limitations under Delaware law, restrictions in our credit agreements and other debt instruments that limit our ability to pay dividends to stockholders and other factors the board of directors deems relevant. The board of directors of SJW Group may, in its sole discretion, change the amount or frequency of dividends or discontinue the payment of dividends entirely. In addition, our subsidiaries may be subject to restrictions on their ability to pay dividends to us, including under state law, pursuant to regulatory commitments and under their credit agreements and other debt instruments. In this regard, the CTWS Entities are limited from paying dividends to us in certain circumstances under PURA and MPUC regulatory commitments. Any inability of our subsidiaries to pay us dividends may have a material and adverse effect on our ability to pay dividends to our stockholders.</w:t>
      </w:r>
    </w:p>
    <w:p>
      <w:pPr>
        <w:spacing w:after="0" w:line="107" w:lineRule="exact"/>
        <w:rPr>
          <w:sz w:val="20"/>
          <w:szCs w:val="20"/>
          <w:color w:val="auto"/>
        </w:rPr>
      </w:pPr>
    </w:p>
    <w:p>
      <w:pPr>
        <w:ind w:right="440" w:firstLine="567"/>
        <w:spacing w:after="0" w:line="282" w:lineRule="auto"/>
        <w:rPr>
          <w:sz w:val="20"/>
          <w:szCs w:val="20"/>
          <w:color w:val="auto"/>
        </w:rPr>
      </w:pPr>
      <w:r>
        <w:rPr>
          <w:rFonts w:ascii="Arial" w:cs="Arial" w:eastAsia="Arial" w:hAnsi="Arial"/>
          <w:sz w:val="18"/>
          <w:szCs w:val="18"/>
          <w:b w:val="1"/>
          <w:bCs w:val="1"/>
          <w:color w:val="auto"/>
        </w:rPr>
        <w:t>Our charter documents and Delaware law could prevent a takeover that stockholders consider favorable and could also make it more difficult for stockholders to influence our policies or may reduce the rights of stockholders.</w:t>
      </w:r>
    </w:p>
    <w:p>
      <w:pPr>
        <w:spacing w:after="0" w:line="55"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SJW Group</w:t>
      </w:r>
      <w:r>
        <w:rPr>
          <w:rFonts w:ascii="Arial" w:cs="Arial" w:eastAsia="Arial" w:hAnsi="Arial"/>
          <w:sz w:val="19"/>
          <w:szCs w:val="19"/>
          <w:color w:val="auto"/>
        </w:rPr>
        <w:t>’s</w:t>
      </w:r>
      <w:r>
        <w:rPr>
          <w:rFonts w:ascii="Arial" w:cs="Arial" w:eastAsia="Arial" w:hAnsi="Arial"/>
          <w:sz w:val="18"/>
          <w:szCs w:val="18"/>
          <w:color w:val="auto"/>
        </w:rPr>
        <w:t xml:space="preserve"> Certificate of Incorporation and Bylaws contain provisions that could delay or prevent a change in control of SJW Group. These provisions could also make it more difficult for our stockholders to elect directors and take other corporate actions. These provisions include, but are not limited to, the following:</w:t>
      </w:r>
    </w:p>
    <w:p>
      <w:pPr>
        <w:spacing w:after="0" w:line="74" w:lineRule="exact"/>
        <w:rPr>
          <w:sz w:val="20"/>
          <w:szCs w:val="20"/>
          <w:color w:val="auto"/>
        </w:rPr>
      </w:pPr>
    </w:p>
    <w:p>
      <w:pPr>
        <w:ind w:left="1300" w:hanging="1049"/>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Authorizing Board of Directors to issue “blank check” preferred stock;</w:t>
      </w:r>
    </w:p>
    <w:p>
      <w:pPr>
        <w:spacing w:after="0" w:line="117" w:lineRule="exact"/>
        <w:rPr>
          <w:rFonts w:ascii="Arial" w:cs="Arial" w:eastAsia="Arial" w:hAnsi="Arial"/>
          <w:sz w:val="18"/>
          <w:szCs w:val="18"/>
          <w:color w:val="auto"/>
        </w:rPr>
      </w:pPr>
    </w:p>
    <w:p>
      <w:pPr>
        <w:ind w:left="1300" w:hanging="1049"/>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117" w:lineRule="exact"/>
        <w:rPr>
          <w:rFonts w:ascii="Arial" w:cs="Arial" w:eastAsia="Arial" w:hAnsi="Arial"/>
          <w:sz w:val="18"/>
          <w:szCs w:val="18"/>
          <w:color w:val="auto"/>
        </w:rPr>
      </w:pPr>
    </w:p>
    <w:p>
      <w:pPr>
        <w:ind w:left="1300" w:right="840" w:hanging="1049"/>
        <w:spacing w:after="0" w:line="277"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Limiting the ability of stockholders to call a special meeting of stockholders to only stockholders holding not less than 20% of outstanding voting power; and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3" w:name="page24"/>
    <w:bookmarkEnd w:id="23"/>
    <w:p>
      <w:pPr>
        <w:ind w:left="1300" w:hanging="1049"/>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 of directors and proposals.</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These provisions may frustrate or prevent any attempts by stockholders of SJW Group to replace or remove its current management by making it more difficult for stockholders to replace members of the Board of Directors, which is responsible for appointing the members of management. In addition, the provisions of Section 203 of the Delaware General Corporate Law (“DGCL”) govern SJW Group. These provisions may prohibit large stockholders, in particular those owning 15% or more of our outstanding voting stock, from merging or combining with us for a certain period of time without the consent of the Board of Directors.</w:t>
      </w:r>
    </w:p>
    <w:p>
      <w:pPr>
        <w:spacing w:after="0" w:line="8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Furthermore, SJW Group’s Certificate of Incorporation provides that a state or federal court located within Delaware is the sole and exclusive forum (unless the company consents in writing to the selection of an alternate forum) for (i) any derivative action or proceeding brought on behalf of SJW Group,</w:t>
      </w:r>
    </w:p>
    <w:p>
      <w:pPr>
        <w:ind w:right="100" w:firstLine="8"/>
        <w:spacing w:after="0" w:line="253" w:lineRule="auto"/>
        <w:tabs>
          <w:tab w:leader="none" w:pos="2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director, officer or other employee of SJW Group to the company or its stockholders, (iii) any action asserting a claim arising pursuant to any provision of the DGCL, or (iv) any action asserting a claim governed by the internal affairs doctrine. Such “exclusive forum” provision may limit a stockholder’s ability to bring a claim in a judicial forum that it finds favorable for disputes with SJW Group or its directors, officers or other employees, which may discourage such lawsuits against us and our directors, officers and other employees.</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We may not be able to maintain adequate insurance coverage at reasonable costs, or at all, to cover all losses incurred in our operations</w:t>
      </w:r>
    </w:p>
    <w:p>
      <w:pPr>
        <w:spacing w:after="0" w:line="14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maintain insurance coverage as part of our overall legal and risk management strategy to minimize potential liabilities arising from our operations. Our insurance programs have varying coverage limits, deductibles, exclusions and maximums, and our insurance coverages include, worker’s compensation, employer’s liability, damage to our property, general liability, pollution liability, cybersecurity, and automobile liability. Each policy includes either deductibles or self-insured retentions and policy limits for covered claims. As a result, we may sustain losses that exceed or are excluded from our insurance coverage or for which we are self-insured. The insurance companies may also seek to challenge, reduce or deny any claims we submit, which may prevent us from recovering fully the losses we incurred. In addition, insurance companies may increase premium or deductible or reduce coverage limits based on factors that are beyond our control, including industry trends, financial conditions of insurance companies and catastrophic events such as wildfire, earthquake and pandemic. There can be no assurance that we can secure all necessary or appropriate insurance in the future, or that such insurance can be obtain at reasonable cost, or at all.</w:t>
      </w:r>
    </w:p>
    <w:p>
      <w:pPr>
        <w:spacing w:after="0" w:line="9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General Risk Factors</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We operate in areas subject to natural disasters, and we may be the target of terrorist activities and other physical threats.</w:t>
      </w:r>
    </w:p>
    <w:p>
      <w:pPr>
        <w:spacing w:after="0" w:line="121"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color w:val="auto"/>
        </w:rPr>
        <w:t>We operate in areas that are prone to earthquakes, fires, floods, extreme weathers and other natural disasters. A significant seismic event in northern California, where the majority of our operations are concentrated, or other natural disaster in northern California, Connecticut, Texas or Maine could adversely impact our ability to deliver water to our customers and our costs of operations. A major disaster could damage or destroy our capital assets, harm our reputations and adversely affect our results of operations. The Regulators have historically allowed utilities to establish catastrophic event memorandum accounts as a possible mechanism to recover costs, such as the CEMA memorandum account in California. However, we can give no assurance that our regulators, or any other commission would allow any such cost recovery mechanism in the future.</w:t>
      </w:r>
    </w:p>
    <w:p>
      <w:pPr>
        <w:spacing w:after="0" w:line="56"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In light of the potential threats to the nation’s health and security due to terrorist attacks, we have taken steps to increase security measures at our facilities and heighten employee awareness of threats to our water supply. We have also tightened our security measures regarding the delivery and handling of certain chemicals used in our business. In addition, because our operation requires us to interact extensively with the general public, we may be subject to complaints, threats and potentially violent actions by our customers or the public, which may disrupt our business activities and damage our reputation.</w:t>
      </w:r>
    </w:p>
    <w:p>
      <w:pPr>
        <w:spacing w:after="0" w:line="4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have and will continue to bear increased costs for security precautions to protect our facilities, operations and supplies. These costs may be significant. While some of these costs are likely to be recovered in the form of higher rates, there can be no assurance that the Regulators will approve a rate increase to recover all or part of such costs and, as a result, our operating results and business may be adversely affected. Further, despite these tightened security measures, we may not be in a position to control the outcome of terrorist events should they occur.</w:t>
      </w:r>
    </w:p>
    <w:p>
      <w:pPr>
        <w:spacing w:after="0" w:line="10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Our operations, liquidity, and earnings may be adversely affected by wildfires and risk of fire hazards.</w:t>
      </w:r>
    </w:p>
    <w:p>
      <w:pPr>
        <w:spacing w:after="0" w:line="12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It is possible that wildfires and other fire hazards may occur more frequently, be of longer duration or impact larger areas as a result of drought-damaged plants and trees, lower humidity or higher winds that might be occurring as result of changed weather patterns. The effects of these natural disasters in California’s drought-prone areas, such as the Santa Cruz Mountains,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24" w:name="page25"/>
    <w:bookmarkEnd w:id="24"/>
    <w:p>
      <w:pPr>
        <w:ind w:right="120"/>
        <w:spacing w:after="0" w:line="308" w:lineRule="auto"/>
        <w:rPr>
          <w:sz w:val="20"/>
          <w:szCs w:val="20"/>
          <w:color w:val="auto"/>
        </w:rPr>
      </w:pPr>
      <w:r>
        <w:rPr>
          <w:rFonts w:ascii="Arial" w:cs="Arial" w:eastAsia="Arial" w:hAnsi="Arial"/>
          <w:sz w:val="17"/>
          <w:szCs w:val="17"/>
          <w:color w:val="auto"/>
        </w:rPr>
        <w:t>the watershed where SJWC typically obtains approximately up to 10% of its water supply, may temporarily compromise its surface water supply resulting in disruption in our services and litigation which could adversely affect our business, operating results, and financial condition.</w:t>
      </w:r>
    </w:p>
    <w:p>
      <w:pPr>
        <w:spacing w:after="0" w:line="3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our surface water supply is compromised, we may have to interrupt the use of that water supply until we are able to substitute the flow of water from an alternative water source.</w:t>
      </w:r>
    </w:p>
    <w:p>
      <w:pPr>
        <w:spacing w:after="0" w:line="6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addition, we may incur significant costs in order to treat the impacted source through expansion of our current treatment facilities, or development of new treatment methods. If we are unable to substitute water supply from an alternative water source, or to adequately treat the impacted water source in a cost-effective manner, there may be an adverse effect on our revenues, operating results, and financial condition. The costs we incur to secure an alternative water source or an increase in draws from our underground water system could be significant and may not be recoverable in rates.</w:t>
      </w:r>
    </w:p>
    <w:p>
      <w:pPr>
        <w:spacing w:after="0" w:line="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Wildfires may destroy or cause damage to properties, facilities, equipment and other assets owned and operated by SJWC or result in personal injuries to our employees and personnel, which may cause temporary or permanent disruption to our water services. In such a case, we may be required to incur significant expenses to repair, replace or upgrade our assets, or to defend against costly litigation or disputes with third parties, any of which may adversely affect our business operations or financial conditions.</w:t>
      </w:r>
    </w:p>
    <w:p>
      <w:pPr>
        <w:spacing w:after="0" w:line="79"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While we maintain a business insurance policy, such policy includes limitation and retention that may reduce, or in some cases eliminate, our ability to recover all or a substantial portion of the losses and damages due to wildfire. Our inability to rely fully on insurance coverage may negatively impact our results of operations. Losses by insurance companies resulting from wildfires in California may also cause insurance coverage for wildfire risks to become more expensive or unavailable under reasonable terms, and our insurance may be inadequate to recover all our losses incurred in a wildfire. Furthermore, we might not be allowed to recover in our rates any increased costs of wildfire insurance or the costs of any uninsured wildfire losses.</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The price of our common stock may be volatile and may be affected by market conditions beyond our control.</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trading price of our common stock may fluctuate in the future based on a variety of factors, many of which are beyond our control and unrelated to our financial results. Factors that could cause fluctuations in the trading price of our common stock include volatility of the general stock market or the utility index, regulatory developments, public announcement of material development in strategic transactions general economic conditions and trends, actual or anticipated changes or fluctuations in our results of operations, actual or anticipated changes in the expectations of investors or securities analysts, actual or anticipated developments in our competitors’ businesses or the competitive landscape generally, litigation involving us or our industry, and major catastrophic event(s) or sales of large blocks of our stock. Furthermore, we believe that stockholders invest in public stocks in part because they seek reliable dividend payments. If there is an oversupply of stock of public utilities in the market relative to demand by such investors, the trading price of our common stock may decrease. Additionally, if interest rates rise above the dividend yield offered by our common stock, demand for our stock and its trading price may also decrease.</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We must continue to attract and retain qualified technical and managerial personnel in order to succeed.</w:t>
      </w:r>
    </w:p>
    <w:p>
      <w:pPr>
        <w:spacing w:after="0" w:line="121"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Our future success depends substantially upon our ability to attract and retain highly skilled technical, operational and financial managers. There is a significant competition for such personnel in our industry. Our ability to recruit and retain qualified personnel depends on many factors, including but are not limited to, our ability to provide competitive compensation and benefit packages, availability of talents in our industry, general workforce trends and macroeconomic conditions. The loss of the services of any member of our management team or the inability to hire and retain experienced management personnel could have an adverse effect on our business, as our management team has knowledge of our industry and customers and would be difficult to replace. We try to ensure that we offer competitive compensation and benefits as well as conduct succession planning and provide opportunities for continued development, and we continually strive to recruit and train qualified personnel and retain key employees. There can be no assurance, however, that we will continue to be successful in attracting and retaining the personnel we require to grow and operate profitably.</w:t>
      </w:r>
    </w:p>
    <w:p>
      <w:pPr>
        <w:spacing w:after="0" w:line="29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25" w:name="page26"/>
    <w:bookmarkEnd w:id="25"/>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properties of SJWC consist of a unified water production system located in the County of Santa Clara in the State of California. In general, the property is comprised of franchise rights, water rights, necessary rights-of-way, approximately 6,400 acres of land held in fee (which is primarily non-developable watershed), impounding reservoirs with a capacity of approximately 2.256 billion gallons, 2,491 miles of transmission and distribution mains, distribution storage of approximately 194 million gallons, wells, boosting facilities, diversions, surface water treatment plants, equipment, office buildings and other property necessary to provide water service to its customers.</w:t>
      </w:r>
    </w:p>
    <w:p>
      <w:pPr>
        <w:spacing w:after="0" w:line="8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SJWC maintains all of its properties in good operating condition in accordance with customary practice for a water utility. SJWC’s groundwater pumping stations have a production capacity of approximately 264 million gallons per day and the present capacity for taking purchased water is approximately</w:t>
      </w:r>
    </w:p>
    <w:p>
      <w:pPr>
        <w:ind w:right="80"/>
        <w:spacing w:after="0" w:line="290" w:lineRule="auto"/>
        <w:rPr>
          <w:sz w:val="20"/>
          <w:szCs w:val="20"/>
          <w:color w:val="auto"/>
        </w:rPr>
      </w:pPr>
      <w:r>
        <w:rPr>
          <w:rFonts w:ascii="Arial" w:cs="Arial" w:eastAsia="Arial" w:hAnsi="Arial"/>
          <w:sz w:val="17"/>
          <w:szCs w:val="17"/>
          <w:color w:val="auto"/>
        </w:rPr>
        <w:t>84 million gallons per day. The surface water collection system has a physical delivery capacity of approximately 35 million gallons per day. During 2022, a maximum and average of 120 million gallons and 92 million gallons of water per day, respectively, were delivered to the system.</w:t>
      </w:r>
    </w:p>
    <w:p>
      <w:pPr>
        <w:spacing w:after="0" w:line="53"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properties of CTWS consist of land, easements, rights (including water rights), buildings, reservoirs with a capacity of approximately 9.4 billion gallons, standpipes, dams, wells, supply lines, water treatment plants, pumping plants, 2,317 miles of transmission and distribution mains and other facilities and equipment used for the collection, purification, storage and distribution of water throughout Connecticut and Maine. In certain cases, Connecticut Water and Maine Water are or may be a party to limited contractual arrangements for the provision of water supply from neighboring utilities.</w:t>
      </w:r>
    </w:p>
    <w:p>
      <w:pPr>
        <w:spacing w:after="0" w:line="4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Sources of water supply owned, maintained and operated by CTWS include 25 surface water reservoirs and 108 well fields. In addition, Connecticut Water and Maine Water have agreements with various neighboring water utilities to provide water, at negotiated rates, to our water systems. Collectively, these sources have the capacity to deliver approximately 84 million gallons of potable water daily to the 27 major operating systems. CTWS also owns, maintains and operates 50 small, non-interconnected satellite and consecutive water systems, that combined, have the ability to deliver about 3.5 million gallons of additional water per day to their respective systems. CTWS’s 30 water treatment plants have a combined treatment capacity of approximately 52 million gallons per day. In addition, CTWS owns and operates one wastewater treatment plant with a capacity of 780,000 gallons per day.</w:t>
      </w:r>
    </w:p>
    <w:p>
      <w:pPr>
        <w:spacing w:after="0" w:line="5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SJWTX maintains a service area that covers approximately 268 square miles located in the southern region of the Texas hill country in Bandera, Blanco, Comal, Hays, Kendall, Medina and Travis counties. The majority of the service area surrounds an 8,200 surface acre reservoir, Canyon Lake. SJWTX production wells have the ability to pump a combined 5.8 billion gallons annually. SJWTX has contracts for 2 billion gallons of untreated surface water and 235 million gallons of treated surface water from the GBRA annually, and 81 million gallons of treated surface water from LCRA. SJWTX owns and operates three surface water treatment plants with a combined production capacity of 9 million gallons per day. SJWTX has 764 miles of transmission and distribution mains and maintains 78 storage tanks with a total storage capacity of 12.4 million gallons. SJWTX owns and operates four wastewater treatment plants with a combined capacity of 293,500 gallons per day.</w:t>
      </w:r>
    </w:p>
    <w:p>
      <w:pPr>
        <w:spacing w:after="0" w:line="6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Water Utility Services hold all of its principal properties in fee simple, subject to current tax and assessment liens, rights-of-way, easements, and certain minor defects in title which do not materially affect their use. A substantial portion of treatment, storage and distribution properties owned by Maine Water are subject to liens of mortgage or indentures that secure bonds, notes and other evidences of long-term indebtedness.</w:t>
      </w:r>
    </w:p>
    <w:p>
      <w:pPr>
        <w:spacing w:after="0" w:line="5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December 31, 2022, SJW Land Company and Chester Realty, Inc. own approximately 101 acres of property in the State of California, 55 acres of property in the State of Tennessee and 23 acres of property in State of Connecticut.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SJW Land Company and Chester Realty, Inc. properties described previously:</w:t>
      </w:r>
    </w:p>
    <w:p>
      <w:pPr>
        <w:spacing w:after="0" w:line="126"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 for Year Ended</w:t>
      </w:r>
    </w:p>
    <w:p>
      <w:pPr>
        <w:ind w:left="9200"/>
        <w:spacing w:after="0" w:line="221" w:lineRule="auto"/>
        <w:rPr>
          <w:sz w:val="20"/>
          <w:szCs w:val="20"/>
          <w:color w:val="auto"/>
        </w:rPr>
      </w:pPr>
      <w:r>
        <w:rPr>
          <w:rFonts w:ascii="Arial" w:cs="Arial" w:eastAsia="Arial" w:hAnsi="Arial"/>
          <w:sz w:val="14"/>
          <w:szCs w:val="14"/>
          <w:b w:val="1"/>
          <w:bCs w:val="1"/>
          <w:color w:val="auto"/>
        </w:rPr>
        <w:t>December 31, 2022</w:t>
      </w:r>
    </w:p>
    <w:p>
      <w:pPr>
        <w:ind w:left="9100"/>
        <w:spacing w:after="0"/>
        <w:rPr>
          <w:sz w:val="20"/>
          <w:szCs w:val="20"/>
          <w:color w:val="auto"/>
        </w:rPr>
      </w:pPr>
      <w:r>
        <w:rPr>
          <w:rFonts w:ascii="Arial" w:cs="Arial" w:eastAsia="Arial" w:hAnsi="Arial"/>
          <w:sz w:val="14"/>
          <w:szCs w:val="14"/>
          <w:b w:val="1"/>
          <w:bCs w:val="1"/>
          <w:color w:val="auto"/>
        </w:rPr>
        <w:t>of Real Estate Services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122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1380" w:type="dxa"/>
            <w:vAlign w:val="bottom"/>
            <w:gridSpan w:val="2"/>
          </w:tcPr>
          <w:p>
            <w:pPr>
              <w:ind w:left="380"/>
              <w:spacing w:after="0"/>
              <w:rPr>
                <w:sz w:val="20"/>
                <w:szCs w:val="20"/>
                <w:color w:val="auto"/>
              </w:rPr>
            </w:pPr>
            <w:r>
              <w:rPr>
                <w:rFonts w:ascii="Arial" w:cs="Arial" w:eastAsia="Arial" w:hAnsi="Arial"/>
                <w:sz w:val="14"/>
                <w:szCs w:val="14"/>
                <w:b w:val="1"/>
                <w:bCs w:val="1"/>
                <w:color w:val="auto"/>
              </w:rPr>
              <w:t>Acreage</w:t>
            </w: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Square Footage</w:t>
            </w:r>
          </w:p>
        </w:tc>
        <w:tc>
          <w:tcPr>
            <w:tcW w:w="960" w:type="dxa"/>
            <w:vAlign w:val="bottom"/>
            <w:tcBorders>
              <w:top w:val="single" w:sz="8" w:color="auto"/>
            </w:tcBorders>
          </w:tcPr>
          <w:p>
            <w:pPr>
              <w:ind w:left="420"/>
              <w:spacing w:after="0"/>
              <w:rPr>
                <w:sz w:val="20"/>
                <w:szCs w:val="20"/>
                <w:color w:val="auto"/>
              </w:rPr>
            </w:pPr>
            <w:r>
              <w:rPr>
                <w:rFonts w:ascii="Arial" w:cs="Arial" w:eastAsia="Arial" w:hAnsi="Arial"/>
                <w:sz w:val="14"/>
                <w:szCs w:val="14"/>
                <w:b w:val="1"/>
                <w:bCs w:val="1"/>
                <w:color w:val="auto"/>
                <w:w w:val="89"/>
              </w:rPr>
              <w:t>Revenue</w:t>
            </w:r>
          </w:p>
        </w:tc>
        <w:tc>
          <w:tcPr>
            <w:tcW w:w="4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Expense</w:t>
            </w: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540" w:type="dxa"/>
            <w:vAlign w:val="bottom"/>
            <w:tcBorders>
              <w:top w:val="single" w:sz="8" w:color="auto"/>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Warehouse building</w:t>
            </w:r>
          </w:p>
        </w:tc>
        <w:tc>
          <w:tcPr>
            <w:tcW w:w="26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Knoxville, Tennessee</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361,500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52 %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29"/>
        </w:trPr>
        <w:tc>
          <w:tcPr>
            <w:tcW w:w="2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Commercial building</w:t>
            </w:r>
          </w:p>
        </w:tc>
        <w:tc>
          <w:tcPr>
            <w:tcW w:w="2640" w:type="dxa"/>
            <w:vAlign w:val="bottom"/>
            <w:gridSpan w:val="3"/>
          </w:tcPr>
          <w:p>
            <w:pPr>
              <w:ind w:left="480"/>
              <w:spacing w:after="0"/>
              <w:rPr>
                <w:sz w:val="20"/>
                <w:szCs w:val="20"/>
                <w:color w:val="auto"/>
              </w:rPr>
            </w:pPr>
            <w:r>
              <w:rPr>
                <w:rFonts w:ascii="Arial" w:cs="Arial" w:eastAsia="Arial" w:hAnsi="Arial"/>
                <w:sz w:val="18"/>
                <w:szCs w:val="18"/>
                <w:color w:val="auto"/>
              </w:rPr>
              <w:t>Knoxville, Tennessee</w:t>
            </w:r>
          </w:p>
        </w:tc>
        <w:tc>
          <w:tcPr>
            <w:tcW w:w="12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135,000</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7"/>
              </w:rPr>
              <w:t>47 %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57 %</w:t>
            </w:r>
          </w:p>
        </w:tc>
      </w:tr>
      <w:tr>
        <w:trPr>
          <w:trHeight w:val="230"/>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Undeveloped land and parking lot</w:t>
            </w:r>
          </w:p>
        </w:tc>
        <w:tc>
          <w:tcPr>
            <w:tcW w:w="26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Knoxville, Tennessee</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N/A</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2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Undeveloped land</w:t>
            </w:r>
          </w:p>
        </w:tc>
        <w:tc>
          <w:tcPr>
            <w:tcW w:w="2640" w:type="dxa"/>
            <w:vAlign w:val="bottom"/>
            <w:gridSpan w:val="3"/>
          </w:tcPr>
          <w:p>
            <w:pPr>
              <w:ind w:left="480"/>
              <w:spacing w:after="0"/>
              <w:rPr>
                <w:sz w:val="20"/>
                <w:szCs w:val="20"/>
                <w:color w:val="auto"/>
              </w:rPr>
            </w:pPr>
            <w:r>
              <w:rPr>
                <w:rFonts w:ascii="Arial" w:cs="Arial" w:eastAsia="Arial" w:hAnsi="Arial"/>
                <w:sz w:val="18"/>
                <w:szCs w:val="18"/>
                <w:color w:val="auto"/>
              </w:rPr>
              <w:t>San Jose, CA</w:t>
            </w:r>
          </w:p>
        </w:tc>
        <w:tc>
          <w:tcPr>
            <w:tcW w:w="12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960" w:type="dxa"/>
            <w:vAlign w:val="bottom"/>
          </w:tcPr>
          <w:p>
            <w:pPr>
              <w:spacing w:after="0"/>
              <w:rPr>
                <w:sz w:val="19"/>
                <w:szCs w:val="19"/>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N/A</w:t>
            </w:r>
          </w:p>
        </w:tc>
        <w:tc>
          <w:tcPr>
            <w:tcW w:w="13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building</w:t>
            </w:r>
          </w:p>
        </w:tc>
        <w:tc>
          <w:tcPr>
            <w:tcW w:w="26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Clinton, CT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2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Commercial building</w:t>
            </w:r>
          </w:p>
        </w:tc>
        <w:tc>
          <w:tcPr>
            <w:tcW w:w="2640" w:type="dxa"/>
            <w:vAlign w:val="bottom"/>
            <w:gridSpan w:val="3"/>
          </w:tcPr>
          <w:p>
            <w:pPr>
              <w:ind w:left="480"/>
              <w:spacing w:after="0"/>
              <w:rPr>
                <w:sz w:val="20"/>
                <w:szCs w:val="20"/>
                <w:color w:val="auto"/>
              </w:rPr>
            </w:pPr>
            <w:r>
              <w:rPr>
                <w:rFonts w:ascii="Arial" w:cs="Arial" w:eastAsia="Arial" w:hAnsi="Arial"/>
                <w:sz w:val="18"/>
                <w:szCs w:val="18"/>
                <w:color w:val="auto"/>
              </w:rPr>
              <w:t>Guilford, CT</w:t>
            </w: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 %</w:t>
            </w:r>
          </w:p>
        </w:tc>
        <w:tc>
          <w:tcPr>
            <w:tcW w:w="136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26" w:name="page27"/>
    <w:bookmarkEnd w:id="26"/>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SJW Group and its subsidiaries are subject to ordinary routine litigation incidental to its business. There are no pending legal proceedings to which SJW Group or any of its subsidiaries is a party, or to which any of its properties is the subject, that are expected to have a material effect on SJW Group’s business, financial position, results of operations or cash flows.</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12" w:right="59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580" w:right="1600" w:hanging="566"/>
        <w:spacing w:after="0" w:line="340" w:lineRule="auto"/>
        <w:tabs>
          <w:tab w:leader="none" w:pos="5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 xml:space="preserve">Market for Registrant’s Common Equity, Related Stockholder Matters and Issuer Purchases of Equity Securities </w:t>
      </w:r>
      <w:r>
        <w:rPr>
          <w:rFonts w:ascii="Arial" w:cs="Arial" w:eastAsia="Arial" w:hAnsi="Arial"/>
          <w:sz w:val="18"/>
          <w:szCs w:val="18"/>
          <w:b w:val="1"/>
          <w:bCs w:val="1"/>
          <w:color w:val="auto"/>
        </w:rPr>
        <w:t>Market Information</w:t>
      </w:r>
    </w:p>
    <w:p>
      <w:pPr>
        <w:spacing w:after="0" w:line="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SJW Group’s common stock is traded on the New York Stock Exchange under the symbol “SJW”. As of December 31, 2022, there were 291 record holders of SJW Group’s common stock, excluding those shares held in street or nominee name.</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Five-Year Performance Graph</w:t>
      </w:r>
    </w:p>
    <w:p>
      <w:pPr>
        <w:spacing w:after="0" w:line="121"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The following performance graph compares the changes in the cumulative stockholder return on SJW Group’s common stock with the cumulative total return on a Water Utility Index and the Standard &amp; Poor’s 500 Index during the last five years ended December 31, 2022. The comparison assumes $100 was invested on December 31, 2017 in SJW Group’s common stock and in each of the foregoing indices and assumes reinvestment of dividends.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FIVE YEAR CUMULATIVE TOTAL RETURN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 SJW Group, a Water Utility Index and the S&amp;P 500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51435</wp:posOffset>
            </wp:positionV>
            <wp:extent cx="5863590" cy="28543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63590"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descriptive data of the performance graph is supplied in accordance with Rule 304(d) of Regulation S-T (numbers represent U.S. dollars ($)):</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3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2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12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12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315"/>
              <w:spacing w:after="0"/>
              <w:rPr>
                <w:sz w:val="20"/>
                <w:szCs w:val="20"/>
                <w:color w:val="auto"/>
              </w:rPr>
            </w:pPr>
            <w:r>
              <w:rPr>
                <w:rFonts w:ascii="Arial" w:cs="Arial" w:eastAsia="Arial" w:hAnsi="Arial"/>
                <w:sz w:val="14"/>
                <w:szCs w:val="14"/>
                <w:b w:val="1"/>
                <w:bCs w:val="1"/>
                <w:color w:val="auto"/>
              </w:rPr>
              <w:t>2022</w:t>
            </w:r>
          </w:p>
        </w:tc>
      </w:tr>
      <w:tr>
        <w:trPr>
          <w:trHeight w:val="25"/>
        </w:trPr>
        <w:tc>
          <w:tcPr>
            <w:tcW w:w="4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SJW Group</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116</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115</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Water Utility Index</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103</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144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166</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207</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S&amp;P 500 Index</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126</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bl>
    <w:p>
      <w:pPr>
        <w:spacing w:after="0" w:line="18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Water Utility Index is the 9 water company Water Utility Index (including CTWS up to the time of its merger with SJW Group) prepared by Wells Fargo Securities, LLC. The above performance graph and related information shall not be deemed “soliciting material” or to be “filed” with the SEC, nor shall such information be incorporated by reference into any future filing under the Securities Act of 1933 or Securities Exchange Act of 1934, each as amended, except to the extent that the company specifically incorporates it by reference into such filing.</w:t>
      </w:r>
    </w:p>
    <w:p>
      <w:pPr>
        <w:spacing w:after="0" w:line="30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8" w:name="page29"/>
    <w:bookmarkEnd w:id="28"/>
    <w:p>
      <w:pPr>
        <w:jc w:val="right"/>
        <w:ind w:right="3260"/>
        <w:spacing w:after="0" w:line="282"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(Dollar amounts in thousands, except where otherwise noted)</w:t>
      </w:r>
    </w:p>
    <w:p>
      <w:pPr>
        <w:spacing w:after="0" w:line="58"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“Forward-Looking Statements,” Part 1, Item 1 “Business,” Part I, Item 1A “Risk Factors,” and our consolidated financial statements and notes included under Item 8 of this Annual Report on Form 10-K.</w:t>
      </w:r>
    </w:p>
    <w:p>
      <w:pPr>
        <w:spacing w:after="0" w:line="11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Business Strategy for Water Utility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SJW Group focuses its business initiatives in three strategic areas:</w:t>
      </w:r>
    </w:p>
    <w:p>
      <w:pPr>
        <w:spacing w:after="0" w:line="117" w:lineRule="exact"/>
        <w:rPr>
          <w:sz w:val="20"/>
          <w:szCs w:val="20"/>
          <w:color w:val="auto"/>
        </w:rPr>
      </w:pPr>
    </w:p>
    <w:p>
      <w:pPr>
        <w:ind w:left="1220" w:hanging="645"/>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Investing in regional regulated water utility operations to support the health, safety and quality of life of our customers;</w:t>
      </w:r>
    </w:p>
    <w:p>
      <w:pPr>
        <w:spacing w:after="0" w:line="117" w:lineRule="exact"/>
        <w:rPr>
          <w:rFonts w:ascii="Arial" w:cs="Arial" w:eastAsia="Arial" w:hAnsi="Arial"/>
          <w:sz w:val="18"/>
          <w:szCs w:val="18"/>
          <w:color w:val="auto"/>
        </w:rPr>
      </w:pPr>
    </w:p>
    <w:p>
      <w:pPr>
        <w:ind w:left="1220" w:right="400" w:hanging="645"/>
        <w:spacing w:after="0" w:line="277" w:lineRule="auto"/>
        <w:tabs>
          <w:tab w:leader="none" w:pos="12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Regional non-tariffed water utility related services provided in accordance with the guidelines established by the CPUC in California, PURA in Connecticut, PUCT in Texas, and MPUC in Maine; and</w:t>
      </w:r>
    </w:p>
    <w:p>
      <w:pPr>
        <w:spacing w:after="0" w:line="62" w:lineRule="exact"/>
        <w:rPr>
          <w:rFonts w:ascii="Arial" w:cs="Arial" w:eastAsia="Arial" w:hAnsi="Arial"/>
          <w:sz w:val="18"/>
          <w:szCs w:val="18"/>
          <w:color w:val="auto"/>
        </w:rPr>
      </w:pPr>
    </w:p>
    <w:p>
      <w:pPr>
        <w:ind w:left="1220" w:hanging="645"/>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Out-of-region water and utility related services.</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Regional Regulated Activities</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SJW Group’s regulated utility operation is conducted through SJWC, Connecticut Water, SJWTX and Maine Water. SJW Group plans and applies a diligent and disciplined approach to maintaining and improving its water system infrastructures and also seeks to acquire regulated water systems adjacent to or near its existing service territory. Connecticut Water and SJWTX also provides regulated wastewater services.</w:t>
      </w:r>
    </w:p>
    <w:p>
      <w:pPr>
        <w:spacing w:after="0" w:line="57"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United States water utility industry is largely fragmented and is dominated by municipal-owned water systems. The water industry is regulated, and provides a life-sustaining product. This makes water utilities subject to lower business cycle risks than non-tariffed industries.</w:t>
      </w:r>
    </w:p>
    <w:p>
      <w:pPr>
        <w:spacing w:after="0" w:line="7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Regional Non-tariffed Activities</w:t>
      </w:r>
    </w:p>
    <w:p>
      <w:pPr>
        <w:spacing w:after="0" w:line="117"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 xml:space="preserve">Operating in accordance with guidelines established by the CPUC, SJWC provides non-tariffed services, such as water system operations, maintenance agreements and antenna site leases under agreements with municipalities and other utilities. SJWTX provides non-tariffed wholesale water service to adjacent utilities and non-tariffed wastewater services. CTWS provides non-tariffed services, such as water system operations and maintenance under agreements with municipalities and other utilities. Additionally, CTWS offers </w:t>
      </w:r>
      <w:r>
        <w:rPr>
          <w:rFonts w:ascii="Arial" w:cs="Arial" w:eastAsia="Arial" w:hAnsi="Arial"/>
          <w:sz w:val="17"/>
          <w:szCs w:val="17"/>
          <w:i w:val="1"/>
          <w:iCs w:val="1"/>
          <w:color w:val="auto"/>
        </w:rPr>
        <w:t>Linebacker</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an optional service line protection program covering a limited amount of the cost of repairs for leaking or broken water and wastewater service lines and in-home plumbing to eligible residential customers in Connecticut and water service lines to eligible residential customers in Maine.</w:t>
      </w:r>
    </w:p>
    <w:p>
      <w:pPr>
        <w:spacing w:after="0" w:line="8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SJW Group also seeks appropriate non-tariffed business opportunities that complement its existing operations or that allow it to extend its core competencies beyond existing operations. SJW Group seeks opportunities to fully utilize its capabilities and existing capacity by providing services to other regional water systems, which also will benefit its existing regional customers.</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Out-of-Region Opportunities</w:t>
      </w:r>
    </w:p>
    <w:p>
      <w:pPr>
        <w:spacing w:after="0" w:line="11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SJW Group also from time to time pursues opportunities to participate in out-of-region water and utility related services, particularly regulated water and wastewater businesses. SJW Group evaluates out-of-region and out-of-state opportunities that meet SJW Group’s risk and return profile.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factors SJW Group considers in evaluating such opportunities include:</w:t>
      </w:r>
    </w:p>
    <w:p>
      <w:pPr>
        <w:spacing w:after="0" w:line="117" w:lineRule="exact"/>
        <w:rPr>
          <w:sz w:val="20"/>
          <w:szCs w:val="20"/>
          <w:color w:val="auto"/>
        </w:rPr>
      </w:pPr>
    </w:p>
    <w:p>
      <w:pPr>
        <w:ind w:left="1620" w:hanging="802"/>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profitability;</w:t>
      </w:r>
    </w:p>
    <w:p>
      <w:pPr>
        <w:spacing w:after="0" w:line="117" w:lineRule="exact"/>
        <w:rPr>
          <w:rFonts w:ascii="Arial" w:cs="Arial" w:eastAsia="Arial" w:hAnsi="Arial"/>
          <w:sz w:val="18"/>
          <w:szCs w:val="18"/>
          <w:color w:val="auto"/>
        </w:rPr>
      </w:pPr>
    </w:p>
    <w:p>
      <w:pPr>
        <w:ind w:left="1620" w:hanging="802"/>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environment;</w:t>
      </w:r>
    </w:p>
    <w:p>
      <w:pPr>
        <w:spacing w:after="0" w:line="117" w:lineRule="exact"/>
        <w:rPr>
          <w:rFonts w:ascii="Arial" w:cs="Arial" w:eastAsia="Arial" w:hAnsi="Arial"/>
          <w:sz w:val="18"/>
          <w:szCs w:val="18"/>
          <w:color w:val="auto"/>
        </w:rPr>
      </w:pPr>
    </w:p>
    <w:p>
      <w:pPr>
        <w:ind w:left="1620" w:hanging="802"/>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Additional growth opportunities within the region;</w:t>
      </w:r>
    </w:p>
    <w:p>
      <w:pPr>
        <w:spacing w:after="0" w:line="117" w:lineRule="exact"/>
        <w:rPr>
          <w:rFonts w:ascii="Arial" w:cs="Arial" w:eastAsia="Arial" w:hAnsi="Arial"/>
          <w:sz w:val="18"/>
          <w:szCs w:val="18"/>
          <w:color w:val="auto"/>
        </w:rPr>
      </w:pPr>
    </w:p>
    <w:p>
      <w:pPr>
        <w:ind w:left="1620" w:hanging="802"/>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Water supply, water quality and environmental issues;</w:t>
      </w:r>
    </w:p>
    <w:p>
      <w:pPr>
        <w:spacing w:after="0" w:line="117" w:lineRule="exact"/>
        <w:rPr>
          <w:rFonts w:ascii="Arial" w:cs="Arial" w:eastAsia="Arial" w:hAnsi="Arial"/>
          <w:sz w:val="18"/>
          <w:szCs w:val="18"/>
          <w:color w:val="auto"/>
        </w:rPr>
      </w:pPr>
    </w:p>
    <w:p>
      <w:pPr>
        <w:ind w:left="1620" w:hanging="802"/>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Capital requirements;</w:t>
      </w:r>
    </w:p>
    <w:p>
      <w:pPr>
        <w:spacing w:after="0" w:line="117" w:lineRule="exact"/>
        <w:rPr>
          <w:rFonts w:ascii="Arial" w:cs="Arial" w:eastAsia="Arial" w:hAnsi="Arial"/>
          <w:sz w:val="18"/>
          <w:szCs w:val="18"/>
          <w:color w:val="auto"/>
        </w:rPr>
      </w:pPr>
    </w:p>
    <w:p>
      <w:pPr>
        <w:ind w:left="1620" w:hanging="802"/>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conditions; and</w:t>
      </w:r>
    </w:p>
    <w:p>
      <w:pPr>
        <w:spacing w:after="0" w:line="117" w:lineRule="exact"/>
        <w:rPr>
          <w:rFonts w:ascii="Arial" w:cs="Arial" w:eastAsia="Arial" w:hAnsi="Arial"/>
          <w:sz w:val="18"/>
          <w:szCs w:val="18"/>
          <w:color w:val="auto"/>
        </w:rPr>
      </w:pPr>
    </w:p>
    <w:p>
      <w:pPr>
        <w:ind w:left="1620" w:hanging="802"/>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Synergy potential.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9" w:name="page30"/>
    <w:bookmarkEnd w:id="29"/>
    <w:p>
      <w:pPr>
        <w:ind w:right="20"/>
        <w:spacing w:after="0" w:line="269" w:lineRule="auto"/>
        <w:rPr>
          <w:sz w:val="20"/>
          <w:szCs w:val="20"/>
          <w:color w:val="auto"/>
        </w:rPr>
      </w:pPr>
      <w:r>
        <w:rPr>
          <w:rFonts w:ascii="Arial" w:cs="Arial" w:eastAsia="Arial" w:hAnsi="Arial"/>
          <w:sz w:val="17"/>
          <w:szCs w:val="17"/>
          <w:color w:val="auto"/>
        </w:rPr>
        <w:t>As part of our pursuit of the above three strategic areas, we consider from time to time opportunities to acquire businesses and assets. However, we cannot be certain we will be successful in identifying and consummating any strategic business combination or acquisitions relating to such opportunities. In addition, the execution of our business strategy will expose us to different risks than those associated with the current utility operations. We expect to incur costs in connection with the execution of this strategy and any integration of an acquired business could involve significant costs, the assumption of certain known and unknown liabilities related to the acquired assets, the diversion of management’s time and resources, the potential for a negative impact on SJW Group’s financial position and operating results, entering markets in which SJW Group has no or limited direct prior experience and the potential loss of key employees of any acquired company. Any strategic combination or acquisition we decide to undertake may also impact our ability to finance our business, affect our compliance with regulatory requirements, and impose additional burdens on our operations. Any businesses we acquire may not achieve sales, customer growth and projected profitability that would justify the investment. Any difficulties we encounter in the integration process, including the integration of controls necessary for internal control and financial reporting, could interfere with our operations, reduce our operating margins and adversely affect our internal controls. SJW Group cannot be certain that any transaction will be successful or that it will not materially harm operating results or our financial condition.</w:t>
      </w:r>
    </w:p>
    <w:p>
      <w:pPr>
        <w:spacing w:after="0" w:line="10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Real Estate Services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SJW Group’s real estate investment activity is conducted through SJW Land Company and Chester Realty, Inc. SJW Land Company owns undeveloped land in California and Tennessee and owns and operates commercial buildings in Tennessee. Chester Realty, Inc. owns and operates land and commercial buildings in the State of Connecticut. SJW Land Company and Chester Realty, Inc. manage its acquired income producing and other properties until such time a determination is made to reinvest proceeds from sale of such properties.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SJW Group has identified accounting policies delineated below as the policies critical to its business operations and the understanding of the results of operations. The preparation of consolidated financial statements requires management to make estimates and assumptions that affect the reported amounts of assets and liabilities at the date of the consolidated financial statements and revenues and expenses during the reporting period. SJW Group bases its estimates on historical experience and other assumptions that are believed to be reasonable under the circumstances. For a detailed discussion on the application of these and other accounting policies,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of “Notes to Consolidated Financial Statements.” SJW Group’s critical accounting policies are as follows: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Recognition of Regulatory Assets and Liabilities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Generally accepted accounting principles for water utilities include the recognition of regulatory assets and liabilities as permitted by ASC Topic 980. In accordance with ASC Topic 980, Water Utility Services, to the extent applicable, records deferred costs and credits on the balance sheet as regulatory assets and liabilities when it is probable that these costs and credits will be recognized in the ratemaking process in a period different from when the costs and credits are incurred. Accounting for such costs and credits is based on management’s judgment and prior historical ratemaking practices, and it occurs when management determines that it is probable that these costs and credits will be recognized in the future revenue of Water Utility Services through the ratemaking process. The regulatory assets and liabilities recorded by Water Utility Services primarily relate to the recognition of deferred income taxes for ratemaking versus tax accounting purposes, balancing and memorandum accounts, postretirement pension benefits, medical costs, accrued benefits for vacation and asset retirement obligations that have not been passed through in rates. The company primarily adjusts the related asset and liabilities for these items through its regulatory asset and liability accounts on a monthly basis. The disallowance of any asset in future ratemaking, including deferred regulatory assets, would require Water Utility Services to immediately recognize the impact of the costs for financial reporting purposes. No disallowances were recognized during the years ended December 31, 2022 and 2021.</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Recognition of Balancing and Memorandum Accounts</w:t>
      </w:r>
    </w:p>
    <w:p>
      <w:pPr>
        <w:spacing w:after="0" w:line="121"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Balancing and memorandum accounts are utilized by our California operations. The purpose of a balancing account is to track the under-collection or over-collection associated with expense changes and the revenue authorized by the CPUC to offset those expense changes. Pursuant to Section 792.5 of the California Public Utilities Code, a balancing account must be maintained for expense items for which revenue offsets have been authorized.</w:t>
      </w:r>
    </w:p>
    <w:p>
      <w:pPr>
        <w:spacing w:after="0" w:line="4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Balancing accounts are currently being maintained for the following items: purchased water, purchased power, groundwater extraction charges, pensions, and general rate case and cost of capital true-ups. The amount in the water production balancing accounts varies with the seasonality of the water utility business such that, during the summer months when the demand for water is at its peak, the account tends to reflect an under-collection, while during the winter months when demand for water is relatively lower, the account tends to reflect an over-collection. The pension balancing account is intended to capture the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0" w:name="page31"/>
    <w:bookmarkEnd w:id="30"/>
    <w:p>
      <w:pPr>
        <w:ind w:right="220"/>
        <w:spacing w:after="0" w:line="277" w:lineRule="auto"/>
        <w:rPr>
          <w:sz w:val="20"/>
          <w:szCs w:val="20"/>
          <w:color w:val="auto"/>
        </w:rPr>
      </w:pPr>
      <w:r>
        <w:rPr>
          <w:rFonts w:ascii="Arial" w:cs="Arial" w:eastAsia="Arial" w:hAnsi="Arial"/>
          <w:sz w:val="18"/>
          <w:szCs w:val="18"/>
          <w:color w:val="auto"/>
        </w:rPr>
        <w:t>difference between actual pension expense and the amount approved in rates by the CPUC. The general rate case true-up accounts are a result of revenue shortfalls authorized for collection or refund by the CPUC due to delayed rate case and cost of capital decisions.</w:t>
      </w:r>
    </w:p>
    <w:p>
      <w:pPr>
        <w:spacing w:after="0" w:line="62" w:lineRule="exact"/>
        <w:rPr>
          <w:sz w:val="20"/>
          <w:szCs w:val="20"/>
          <w:color w:val="auto"/>
        </w:rPr>
      </w:pPr>
    </w:p>
    <w:p>
      <w:pPr>
        <w:jc w:val="both"/>
        <w:ind w:right="40"/>
        <w:spacing w:after="0" w:line="301" w:lineRule="auto"/>
        <w:rPr>
          <w:sz w:val="20"/>
          <w:szCs w:val="20"/>
          <w:color w:val="auto"/>
        </w:rPr>
      </w:pPr>
      <w:r>
        <w:rPr>
          <w:rFonts w:ascii="Arial" w:cs="Arial" w:eastAsia="Arial" w:hAnsi="Arial"/>
          <w:sz w:val="16"/>
          <w:szCs w:val="16"/>
          <w:color w:val="auto"/>
        </w:rPr>
        <w:t>SJWC also maintains memorandum accounts to track revenue impacts due to catastrophic events, certain unforeseen water quality expenses related to new federal and state water quality standards, energy efficiency, water conservation, water tariffs, and other approved activities or as directed by the CPUC. The Monterey Water Revenue Adjustment Mechanism tracks the difference between the revenue received for actual metered sales through the tiered volumetric rate and the revenue that would have been received with the same actual metered sales if a uniform rate would have been in effect.</w:t>
      </w:r>
    </w:p>
    <w:p>
      <w:pPr>
        <w:spacing w:after="0" w:line="4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Balancing and memorandum accounts are recognized by SJWC when it is probable that future recovery of previously incurred costs or future refunds that are to be credited to customers will occur through the ratemaking process. In addition, in the case of special revenue programs such as the WCMA, SJWC follows the requirements of ASC Topic 980-605-25—“Alternative Revenue Programs” in determining revenue recognition, including the requirement that such revenues will be collected within 24 months of the year-end in which the revenue is recorded. A reserve is recorded for amounts SJW Group estimates will not be collected within the 24-month period. This reserve is based on an estimate of actual usage over the recovery period, offset by applicable drought surcharges. In assessing the probability criteria for balancing and memorandum accounts between general rate cases, SJWC considers evidence that may exist prior to CPUC authorization that would satisfy ASC Topic 980 subtopic 340-25 recognition criteria. Such evidence may include regulatory rules and decisions, past practices, and other facts and circumstances that would indicate that recovery or refund is probable. When such evidence provides sufficient support, the balances are recorded in SJW Group’s financial statements.</w:t>
      </w:r>
    </w:p>
    <w:p>
      <w:pPr>
        <w:spacing w:after="0" w:line="73" w:lineRule="exact"/>
        <w:rPr>
          <w:sz w:val="20"/>
          <w:szCs w:val="20"/>
          <w:color w:val="auto"/>
        </w:rPr>
      </w:pPr>
    </w:p>
    <w:p>
      <w:pPr>
        <w:jc w:val="both"/>
        <w:ind w:right="200"/>
        <w:spacing w:after="0" w:line="301" w:lineRule="auto"/>
        <w:rPr>
          <w:sz w:val="20"/>
          <w:szCs w:val="20"/>
          <w:color w:val="auto"/>
        </w:rPr>
      </w:pPr>
      <w:r>
        <w:rPr>
          <w:rFonts w:ascii="Arial" w:cs="Arial" w:eastAsia="Arial" w:hAnsi="Arial"/>
          <w:sz w:val="16"/>
          <w:szCs w:val="16"/>
          <w:color w:val="auto"/>
        </w:rPr>
        <w:t>It is typical for the CPUC to incorporate any over-collected and/or under-collected balances in balancing or memorandum accounts into customer rates at the time rate decisions are made as part of SJWC’s general rate case proceedings by assessing temporary surcredits and/or surcharges. In the case where SJWC’s balancing or memorandum-type accounts that have been authorized by the CPUC reach certain thresholds or have termination dates, SJWC can request the CPUC to recognize the amounts in customer rates prior to the next regular general rate case proceeding by filing an advice letter.</w:t>
      </w:r>
    </w:p>
    <w:p>
      <w:pPr>
        <w:spacing w:after="0" w:line="8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Goodwill represents the excess of the purchase price paid over the estimated fair value of the assets acquired and liabilities assumed in the acquisition of a business. Goodwill is not amortized but is tested for impairment annually on October 1st or more frequently if an event occurs or circumstances change that would more likely than not, reduce the fair value of a reporting unit below its carrying amount. SJW Group first performs a qualitative assessment to determine whether it is necessary to perform the quantitative impairment test. In assessing the qualitative factors, SJW Group considers the impact of these key factors: change in industry and competitive environment, financial performance, macroeconomic conditions, and other relevant Company-specific events. If SJW Group determines that as a result of the qualitative assessment it is more likely than not (&gt; 50% likelihood) that the fair value is less than carrying amount, then a quantitative test is performed. SJW Group’s goodwill is primarily associated with the 2019 acquisition of CTWS. SJW Group performed an impairment analysis as of October 1, 2022. The qualitative assessment found no indicators of impairment and therefore did not perform the quantitative impairment test. No impairments occurred during 2022, 2021 or 2020.</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SJW Group’s financial condition and results of operations are influenced by a variety of factors including the following:</w:t>
      </w:r>
    </w:p>
    <w:p>
      <w:pPr>
        <w:spacing w:after="0" w:line="117" w:lineRule="exact"/>
        <w:rPr>
          <w:sz w:val="20"/>
          <w:szCs w:val="20"/>
          <w:color w:val="auto"/>
        </w:rPr>
      </w:pPr>
    </w:p>
    <w:p>
      <w:pPr>
        <w:ind w:left="1300" w:hanging="48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Economic utility regulation;</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Infrastructure investment;</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environmental, health and safety standards;</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Production expenses;</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Customer growth;</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Water usage per customer;</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Weather conditions, seasonality and sources of water supply; and</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Merger and acquisition activities, if 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Economic Utility Regulation</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Water Utility Services is generally subject to economic regulation by the Regulators overseeing public utilities. Regulatory policies vary from state to state and may change over time. In addition, there may be regulatory lag between the time a capital investment is made, a consumption decrease occurs, or an operating expense increases and when those items are adjusted in utility rates.</w:t>
      </w:r>
    </w:p>
    <w:p>
      <w:pPr>
        <w:spacing w:after="0" w:line="7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SJWC employs a forward-looking test year and has been authorized to use several mechanisms to mitigate risks faced due to regulatory lag and new and changing legislation, policies and regulation. These include memorandum accounts to track revenue impacts due to catastrophic events, certain unforeseen water quality expenses related to new federal and state water quality standards, energy efficiency, water conservation, water tariffs, and other approved activities or as directed by the CPUC. Rate recovery for the balances in these memorandum accounts is generally allowed in a subsequent general rate case. SJWC also maintains balancing accounts to track changes in purchased water, purchased power, groundwater extraction charges and pension costs for later rate recovery. Regulatory risk in California is mitigated by use of a forward-looking test year which allows the return on and return of utility plant on a forecasted basis as it is placed in service, and in some cases interim rate relief is allowed in the event of regulatory lag. The CPUC permits its regulated utilities to acquire other utilities if the proposed sale and asset purchase transaction is determined to be in the public interest. Under Public Utilities Code § 2720, the purchase price, subject to a reasonable test involving appraisals from the acquirer as well as the Public Advocates Office, represents the Fair Market Value. Upon CPUC approval, acquiring utilities can include the Fair Market Value in rate base.</w:t>
      </w:r>
    </w:p>
    <w:p>
      <w:pPr>
        <w:spacing w:after="0" w:line="60"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Pursuant to Connecticut regulations, Connecticut Water employs a historical test year. To address regulatory risk due to regulatory lag and changing legislation policies and regulations, rate cases may be filed as necessary in Connecticut. Additionally, to mitigate regulatory lag for pipeline replacement and conservation related projects, the Connecticut State Legislature has approved WICA that allows for a surcharge to be added to customer bills semi-annually for certain eligible pre-approved projects. Further to mitigate risks from variations in revenues from changes in customer usage, the Connecticut State Legislature has approved a WRA to provide for recovery of the company’s authorized revenues.</w:t>
      </w:r>
    </w:p>
    <w:p>
      <w:pPr>
        <w:spacing w:after="0" w:line="6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Pursuant to Texas regulation, SJWTX employs a historical test year. To address regulatory risk due to regulatory lag and changing legislation policies and regulations, rate cases may be filed as necessary in Texas, provided there is no current rate case outstanding. Further, rate cases may not be filed more frequently than once every 12 months. Additionally, to mitigate regulatory lag for capital improvements, Texas seeks to implement its first SIC. The SIC will allow SJWTX to earn a return on some of its capital improvements made after 2020 through a surcharge to its customers. The SIC is a cost recovery mechanism recently adopted in Texas that avoids the immediate need for a general rate case. The PUCT permits the acquisition of utilities using a process termed the Fair Market Value. This process brings in three appraisers to determine the market value of a system which the acquiring utility can apply as the value of utility plant included in rate base. In addition, after recent legislation the PUCT adopted rules allowing the application of the Filed Rate Doctrine. This allows water utilities the option of applying their previously approved rates to the customers of newly acquired systems, which encourages consolidation by minimizing rate case expenses.</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Maine regulations, Maine Water employs a historical test year. To address regulatory risk due to regulatory lag and changing legislation policies and regulations, rate cases may be filed as necessary in Maine. Additionally, to mitigate regulatory lag for all infrastructure replacements (except meters), the Maine State Legislature has approved of WISC that allows for a surcharge to be added to customer bills semi-annually for certain pre-approved projects.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Infrastructure Investment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water utility business is capital-intensive. In 2022 and 2021, company-funded capital improvements were $218,784 and $233,933, respectively, for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additions to, or replacements of, property, plant and equipment for our Water Utility Services. We plan to spend approximately $255,053 in 2023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$1,353,390 over five years for capital improvements. SJW Group funds these expenditures through a variety of sources, including earnings received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debt and equity financing, and other borrowings. SJW Group relies upon lines of credit to fund capital expenditures in the short term and has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historically issued long-term debt to refinance our short-term debt. While our ability to obtain financing will continue to be a key risk, we believe that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based on our successful 2022 activities, we will have access to the external funding sources necessary to implement our on-going capital investment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programs in the future.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Compliance with Environmental, Health and Safety Standards</w:t>
      </w:r>
    </w:p>
    <w:p>
      <w:pPr>
        <w:spacing w:after="0" w:line="11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Water Utility Services’ operations are subject to water quality and pollution control regulations issued by the EPA and environmental laws and regulations administered by the respective states and local regulatory agencies. Under the federal Safe Drinking Water Act, Water Utility Services is subject to regulation by the EPA of the quality of water it sells and treatment techniques it uses to make the water potable. The EPA promulgates nationally applicable standards, including maximum contaminant levels for drinking water. Water Utility Services has implemented monitoring activities and installed specific</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32" w:name="page33"/>
    <w:bookmarkEnd w:id="32"/>
    <w:p>
      <w:pPr>
        <w:ind w:right="140"/>
        <w:spacing w:after="0" w:line="259" w:lineRule="auto"/>
        <w:rPr>
          <w:sz w:val="20"/>
          <w:szCs w:val="20"/>
          <w:color w:val="auto"/>
        </w:rPr>
      </w:pPr>
      <w:r>
        <w:rPr>
          <w:rFonts w:ascii="Arial" w:cs="Arial" w:eastAsia="Arial" w:hAnsi="Arial"/>
          <w:sz w:val="18"/>
          <w:szCs w:val="18"/>
          <w:color w:val="auto"/>
        </w:rPr>
        <w:t>water treatment improvements enabling it to comply with existing maximum contaminant levels and plan for compliance with future drinking water regulations. However, the EPA and the respective state agencies have continuing authority to issue additional regulations under the Safe Drinking Water Act. Water Utility Services incur substantial costs associated with compliance with environmental, health and safety and water quality regulation to which our water services are subject.</w:t>
      </w:r>
    </w:p>
    <w:p>
      <w:pPr>
        <w:spacing w:after="0" w:line="7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Environmental, health and safety and water quality regulations are complex and change frequently, and the overall trend has been that they have become more stringent over time. It is possible that new or more stringent environmental standards and water quality regulations could be imposed that will increase Water Utility Services’ water quality compliance costs, hamper Water Utility Services’ available water supplies, and increase future capital expenditures. Future drinking water regulations may require increased monitoring, additional treatment of underground water supplies, fluoridation of all supplies, more stringent performance standards for treatment plants and procedures to further reduce levels of disinfection by-products. In the past, Water Utility Services have generally been able to recover expenses associated with compliance related to environmental, health and safety standards, but future recoveries could be affected by regulatory lag and the corresponding uncertainties surrounding rate recovery.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Production Expenses</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Water Utility Services’ operations require significant production inputs which result in substantial production expenses. These expenses include power, which is used to operate pumps and other equipment, purchased water and groundwater extraction charges. For 2022, production expenses accounted for approximately 48% of our total operating expenses. Price increases associated with these production inputs would adversely impact our results of operations until rate relief is granted.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Growth</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Customer growth in our Water Utility Services’ is driven by: (i) organic population growth within our authorized service areas and (ii) the addition of new customers to our regulated customer base by acquiring regulated water systems adjacent to or near our existing service territories. During 2022, we had cash outflows of $433 for business acquisitions and water rights which we believe will allow SJW Group to expand our regulated customer base. Before entering new regulated markets, we evaluate the regulatory environment to ensure that we will have the opportunity to achieve an appropriate rate of return on our investment while maintaining our high standards for quality, reliability and compliance with environmental, health and safety and water quality standards.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Usage Per Customer</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Fluctuations in customer demand for water could be due to seasonality, restrictions of use, weather or lifestyle choices, all of which could affect Water Utility Services’ results of operations.</w:t>
      </w:r>
    </w:p>
    <w:p>
      <w:pPr>
        <w:spacing w:after="0" w:line="6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SJWC residential usage decreased 11.1% and 11.4% from 2021 to 2022 and from 2020 to 2021, respectively. SJWC business usage decreased 5.7% and 2.7% from 2021 to 2022 and from 2020 to 2021, respectively. Residential and business usage was lower by 12.50% and 2.40%, respectively, than the amount authorized in our 2022-2024 general rate case. SJWC’s service area is currently under mandatory 15% reduction of 2019 water consumption since 2021. To address the difference between conservation usage and authorized usage in the rate case, the CPUC has approved the activation of the WCMA which tracks the divergence between authorized versus actual consumption in a balancing account for future recovery. SJWTX residential and business usage increased 8.5% from 2021 to 2022 and decreased 8.5% from 2020 to 2021. Connecticut Water residential usage decreased 0.5% and 10.2% from 2021 to 2022 and from 2020 to 2021, respectively. Connecticut Water business usage increased 26% and 4% from 2021 to 2022 and from 2020 to 2021, respectively. With the availability of the WRA in Connecticut, which allows for recovery of authorized revenues, decreases in consumption year to year do not present the same financial risk as in our other water utility services utilities. Maine Water residential usage decreased 5.4% and 0.2% from 2021 to 2022 and from 2020 to 2021, respectively. Maine Water business usage increased 12.2% and 5.7% from 2021 to 2022 and from 2020 to 2021,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Weather Conditions, Seasonality and Sources of Water Supply</w:t>
      </w:r>
    </w:p>
    <w:p>
      <w:pPr>
        <w:spacing w:after="0" w:line="7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Our ability to meet the existing and future water demands of our customers depends on an adequate supply of water. Drought, governmental restrictions, overuse of sources of water, the protection of threatened species or habitats or other factors may limit the availability of ground and surface water. Also, customer usage of water is affected by weather conditions, in particular during the warmer months. Our water systems experience higher demand in the summer due to the warmer temperatures and increased usage by customers for outside irrigation of lawns and landscaping. In periods of drought, if customers are encouraged or required to conserve water due to a shortage of supply or restriction of use, revenue tends to be lower. Water use restrictions may be imposed at a regional or state level and may affect our service areas regardless of our readiness to meet unrestricted customer demands. Similarly, in unusually wet periods, water supply tends to be higher and customer demand tends to be lower, again resulting in lower revenues.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3" w:name="page34"/>
    <w:bookmarkEnd w:id="33"/>
    <w:p>
      <w:pPr>
        <w:ind w:right="40"/>
        <w:spacing w:after="0" w:line="254" w:lineRule="auto"/>
        <w:rPr>
          <w:sz w:val="20"/>
          <w:szCs w:val="20"/>
          <w:color w:val="auto"/>
        </w:rPr>
      </w:pPr>
      <w:r>
        <w:rPr>
          <w:rFonts w:ascii="Arial" w:cs="Arial" w:eastAsia="Arial" w:hAnsi="Arial"/>
          <w:sz w:val="18"/>
          <w:szCs w:val="18"/>
          <w:color w:val="auto"/>
        </w:rPr>
        <w:t>SJWC believes that its various sources of water supply, which consists of groundwater from wells, surface water from watershed run-off and diversion, reclaimed water, and purchased imported water, will be sufficient to meet customer demand for 2023. In addition, SJWC actively works with Valley Water to address California’s long-term water supply challenges by continuing to educate customers on responsible water use practices and to conduct long-range water supply planning. Connecticut Water and Maine Water believes that they will be able to meet customer demand for 2023 with their existing water supply which consists of groundwater from wells, surface water in reservoirs and purchased water treated by neighboring water utilities. SJWTX believes that it will be able to meet customer demand for 2023 with their water supply which consists of groundwater from wells and purchased treated and raw water from the GBRA.</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Among other things, water sales are seasonal in nature and influenced by weather conditions. The timing of precipitation and climatic conditions can cause seasonal water consumption by customers to vary significantly. Revenue is generally higher in the warm, dry summer months when water usage and sales are greater and lower in the winter months when cooler temperatures and increased rainfall curtail water usage and sales.</w:t>
      </w:r>
    </w:p>
    <w:p>
      <w:pPr>
        <w:spacing w:after="0" w:line="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Item 1</w:t>
      </w:r>
      <w:r>
        <w:rPr>
          <w:rFonts w:ascii="Arial" w:cs="Arial" w:eastAsia="Arial" w:hAnsi="Arial"/>
          <w:sz w:val="18"/>
          <w:szCs w:val="18"/>
          <w:color w:val="auto"/>
        </w:rPr>
        <w:t xml:space="preserve">, “Business” and </w:t>
      </w:r>
      <w:r>
        <w:rPr>
          <w:rFonts w:ascii="Arial" w:cs="Arial" w:eastAsia="Arial" w:hAnsi="Arial"/>
          <w:sz w:val="18"/>
          <w:szCs w:val="18"/>
          <w:u w:val="single" w:color="auto"/>
          <w:color w:val="0000FF"/>
        </w:rPr>
        <w:t>Item 1A</w:t>
      </w:r>
      <w:r>
        <w:rPr>
          <w:rFonts w:ascii="Arial" w:cs="Arial" w:eastAsia="Arial" w:hAnsi="Arial"/>
          <w:sz w:val="18"/>
          <w:szCs w:val="18"/>
          <w:color w:val="auto"/>
        </w:rPr>
        <w:t>, “Risk Factors” for a discussion of SJW Group’s general business and regulatory activities as well the ongoing drought in California.</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SJW Group’s consolidated net income for the year ended December 31, 2022 was $73,828, compared to $60,478 for the same period in 2021. This represents an increase of $13,350 or 22%, from 2021. Consolidated net income in 2022 includes a gain on the sale of nonutility property of $5,557, offset by the impacts of $3,596 related to SJWC’s Order Instituting Investigation (“OII”) settlement and $2,200 related to depreciation on certain Cupertino concession assets.</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Operating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Operating revenue by segment was as follows: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Operating Revenue</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5"/>
        </w:trPr>
        <w:tc>
          <w:tcPr>
            <w:tcW w:w="4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Water Utility Services</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615,093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568,307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558,994</w:t>
            </w:r>
          </w:p>
        </w:tc>
      </w:tr>
      <w:tr>
        <w:trPr>
          <w:trHeight w:val="230"/>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Real Estate Services</w:t>
            </w:r>
          </w:p>
        </w:tc>
        <w:tc>
          <w:tcPr>
            <w:tcW w:w="4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5,605</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5,379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5,532</w:t>
            </w:r>
          </w:p>
        </w:tc>
      </w:tr>
      <w:tr>
        <w:trPr>
          <w:trHeight w:val="248"/>
        </w:trPr>
        <w:tc>
          <w:tcPr>
            <w:tcW w:w="4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620,698</w:t>
            </w:r>
          </w:p>
        </w:tc>
        <w:tc>
          <w:tcPr>
            <w:tcW w:w="8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573,686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564,526</w:t>
            </w:r>
          </w:p>
        </w:tc>
      </w:tr>
      <w:tr>
        <w:trPr>
          <w:trHeight w:val="20"/>
        </w:trPr>
        <w:tc>
          <w:tcPr>
            <w:tcW w:w="614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6940" w:type="dxa"/>
            <w:vAlign w:val="bottom"/>
            <w:gridSpan w:val="6"/>
          </w:tcPr>
          <w:p>
            <w:pPr>
              <w:spacing w:after="0"/>
              <w:rPr>
                <w:sz w:val="20"/>
                <w:szCs w:val="20"/>
                <w:color w:val="auto"/>
              </w:rPr>
            </w:pPr>
            <w:r>
              <w:rPr>
                <w:rFonts w:ascii="Arial" w:cs="Arial" w:eastAsia="Arial" w:hAnsi="Arial"/>
                <w:sz w:val="18"/>
                <w:szCs w:val="18"/>
                <w:color w:val="auto"/>
              </w:rPr>
              <w:t>The change in consolidated operating revenues was due to the following factors:</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6"/>
        </w:trPr>
        <w:tc>
          <w:tcPr>
            <w:tcW w:w="46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20" w:type="dxa"/>
            <w:vAlign w:val="bottom"/>
            <w:gridSpan w:val="4"/>
          </w:tcPr>
          <w:p>
            <w:pPr>
              <w:jc w:val="right"/>
              <w:ind w:right="190"/>
              <w:spacing w:after="0"/>
              <w:rPr>
                <w:sz w:val="20"/>
                <w:szCs w:val="20"/>
                <w:color w:val="auto"/>
              </w:rPr>
            </w:pPr>
            <w:r>
              <w:rPr>
                <w:rFonts w:ascii="Arial" w:cs="Arial" w:eastAsia="Arial" w:hAnsi="Arial"/>
                <w:sz w:val="14"/>
                <w:szCs w:val="14"/>
                <w:b w:val="1"/>
                <w:bCs w:val="1"/>
                <w:color w:val="auto"/>
              </w:rPr>
              <w:t>2022 vs. 2021</w:t>
            </w: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60" w:type="dxa"/>
            <w:vAlign w:val="bottom"/>
            <w:gridSpan w:val="5"/>
          </w:tcPr>
          <w:p>
            <w:pPr>
              <w:jc w:val="center"/>
              <w:ind w:left="473"/>
              <w:spacing w:after="0"/>
              <w:rPr>
                <w:sz w:val="20"/>
                <w:szCs w:val="20"/>
                <w:color w:val="auto"/>
              </w:rPr>
            </w:pPr>
            <w:r>
              <w:rPr>
                <w:rFonts w:ascii="Arial" w:cs="Arial" w:eastAsia="Arial" w:hAnsi="Arial"/>
                <w:sz w:val="14"/>
                <w:szCs w:val="14"/>
                <w:b w:val="1"/>
                <w:bCs w:val="1"/>
                <w:color w:val="auto"/>
                <w:w w:val="91"/>
              </w:rPr>
              <w:t>2021 vs. 2020</w:t>
            </w:r>
          </w:p>
        </w:tc>
        <w:tc>
          <w:tcPr>
            <w:tcW w:w="960" w:type="dxa"/>
            <w:vAlign w:val="bottom"/>
          </w:tcPr>
          <w:p>
            <w:pPr>
              <w:spacing w:after="0"/>
              <w:rPr>
                <w:sz w:val="22"/>
                <w:szCs w:val="22"/>
                <w:color w:val="auto"/>
              </w:rPr>
            </w:pPr>
          </w:p>
        </w:tc>
      </w:tr>
      <w:tr>
        <w:trPr>
          <w:trHeight w:val="196"/>
        </w:trPr>
        <w:tc>
          <w:tcPr>
            <w:tcW w:w="46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Increase/(decrease)</w:t>
            </w: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5"/>
          </w:tcPr>
          <w:p>
            <w:pPr>
              <w:jc w:val="center"/>
              <w:ind w:left="473"/>
              <w:spacing w:after="0"/>
              <w:rPr>
                <w:sz w:val="20"/>
                <w:szCs w:val="20"/>
                <w:color w:val="auto"/>
              </w:rPr>
            </w:pPr>
            <w:r>
              <w:rPr>
                <w:rFonts w:ascii="Arial" w:cs="Arial" w:eastAsia="Arial" w:hAnsi="Arial"/>
                <w:sz w:val="14"/>
                <w:szCs w:val="14"/>
                <w:b w:val="1"/>
                <w:bCs w:val="1"/>
                <w:color w:val="auto"/>
                <w:w w:val="90"/>
              </w:rPr>
              <w:t>Increase/(decrease)</w:t>
            </w:r>
          </w:p>
        </w:tc>
        <w:tc>
          <w:tcPr>
            <w:tcW w:w="960" w:type="dxa"/>
            <w:vAlign w:val="bottom"/>
            <w:tcBorders>
              <w:bottom w:val="single" w:sz="8" w:color="auto"/>
            </w:tcBorders>
          </w:tcPr>
          <w:p>
            <w:pPr>
              <w:spacing w:after="0"/>
              <w:rPr>
                <w:sz w:val="17"/>
                <w:szCs w:val="17"/>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Water Utility Services:</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Consumption changes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(14,302)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4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(24,702)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in customers</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Rate increases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38,706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25,179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29"/>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Texas winter storm customer credits</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Balancing and memorandum accounts:</w:t>
            </w: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Water Conservation Memorandum Account</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4660" w:type="dxa"/>
            <w:vAlign w:val="bottom"/>
          </w:tcPr>
          <w:p>
            <w:pPr>
              <w:ind w:left="380"/>
              <w:spacing w:after="0"/>
              <w:rPr>
                <w:sz w:val="20"/>
                <w:szCs w:val="20"/>
                <w:color w:val="auto"/>
              </w:rPr>
            </w:pPr>
            <w:r>
              <w:rPr>
                <w:rFonts w:ascii="Arial" w:cs="Arial" w:eastAsia="Arial" w:hAnsi="Arial"/>
                <w:sz w:val="18"/>
                <w:szCs w:val="18"/>
                <w:color w:val="auto"/>
              </w:rPr>
              <w:t>2022 GRC true-up memorandum account</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20,650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gridSpan w:val="5"/>
          </w:tcPr>
          <w:p>
            <w:pPr>
              <w:jc w:val="right"/>
              <w:ind w:right="8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 other</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Other regulatory mechanisms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Real Estate Services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48"/>
        </w:trPr>
        <w:tc>
          <w:tcPr>
            <w:tcW w:w="466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4" w:right="359" w:bottom="1440" w:gutter="0" w:footer="0" w:header="0"/>
        </w:sectPr>
      </w:pPr>
    </w:p>
    <w:bookmarkStart w:id="34" w:name="page35"/>
    <w:bookmarkEnd w:id="34"/>
    <w:p>
      <w:pPr>
        <w:ind w:left="780"/>
        <w:spacing w:after="0"/>
        <w:rPr>
          <w:sz w:val="20"/>
          <w:szCs w:val="20"/>
          <w:color w:val="auto"/>
        </w:rPr>
      </w:pPr>
      <w:r>
        <w:rPr>
          <w:rFonts w:ascii="Arial" w:cs="Arial" w:eastAsia="Arial" w:hAnsi="Arial"/>
          <w:sz w:val="18"/>
          <w:szCs w:val="18"/>
          <w:b w:val="1"/>
          <w:bCs w:val="1"/>
          <w:color w:val="auto"/>
        </w:rPr>
        <w:t>2022 vs. 2021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revenue increase consists of $46,786 from Water Utility Services and $226 from Real Estate Services.</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revenue increase for Water Utility Services is primarily due to an increase in authorized rates which resulted in $38,706 of additional revenue, $20,650 increase in 2022 GRC true-up memorandum account in California, a net increase in revenue recognized from certain balancing and memorandum accounts of $2,052, an increase due to new customers of $5,082, and an increase of $839 from the winter storm credits in Texas recorded in the prior year, partially offset by a decreases of $14,302 due to lower usage and $6,406 in other regulatory mechanisms.</w:t>
      </w:r>
    </w:p>
    <w:p>
      <w:pPr>
        <w:spacing w:after="0" w:line="86"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2021 vs.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revenue increase consists of $9,313 from Water Utility Services offset by a $153 decrease from Real Estate Services.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revenue increase for Water Utility Services is primarily due to an increase in authorized rates which resulted in $25,179 of additional revenue, a net increase in revenue recognized from certain balancing and memorandum accounts of $3,941, an increase due to new customers of $2,896, and an increase in other regulatory mechanisms of $2,491, partially offset by a decrease in revenue of $24,702 due to lower usage and a decrease of $839 from the winter storm credits in Texas.</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Water Utility Services’ Operating Revenue and Customer Counts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operating revenues and number of customers by customer group of Water Utility Services: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Operating Revenue by Customer Group</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520" w:type="dxa"/>
            <w:vAlign w:val="bottom"/>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520" w:type="dxa"/>
            <w:vAlign w:val="bottom"/>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408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and business</w:t>
            </w:r>
          </w:p>
        </w:tc>
        <w:tc>
          <w:tcPr>
            <w:tcW w:w="23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509,284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487,038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487,675</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2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5,619</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5,216</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5,025</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authorities</w:t>
            </w:r>
          </w:p>
        </w:tc>
        <w:tc>
          <w:tcPr>
            <w:tcW w:w="2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20,534</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Others</w:t>
            </w:r>
          </w:p>
        </w:tc>
        <w:tc>
          <w:tcPr>
            <w:tcW w:w="2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50,821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45,968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45,376</w:t>
            </w:r>
          </w:p>
        </w:tc>
        <w:tc>
          <w:tcPr>
            <w:tcW w:w="0" w:type="dxa"/>
            <w:vAlign w:val="bottom"/>
          </w:tcPr>
          <w:p>
            <w:pPr>
              <w:spacing w:after="0"/>
              <w:rPr>
                <w:sz w:val="1"/>
                <w:szCs w:val="1"/>
                <w:color w:val="auto"/>
              </w:rPr>
            </w:pPr>
          </w:p>
        </w:tc>
      </w:tr>
      <w:tr>
        <w:trPr>
          <w:trHeight w:val="229"/>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Balancing and memorandum accounts and other regulatory mechanisms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615,093</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568,307</w:t>
            </w:r>
          </w:p>
        </w:tc>
        <w:tc>
          <w:tcPr>
            <w:tcW w:w="12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558,994</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4080" w:type="dxa"/>
            <w:vAlign w:val="bottom"/>
          </w:tcPr>
          <w:p>
            <w:pPr>
              <w:spacing w:after="0"/>
              <w:rPr>
                <w:sz w:val="24"/>
                <w:szCs w:val="24"/>
                <w:color w:val="auto"/>
              </w:rPr>
            </w:pPr>
          </w:p>
        </w:tc>
        <w:tc>
          <w:tcPr>
            <w:tcW w:w="27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Number of Customers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1"/>
        </w:trPr>
        <w:tc>
          <w:tcPr>
            <w:tcW w:w="40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4"/>
                <w:szCs w:val="24"/>
                <w:color w:val="auto"/>
              </w:rPr>
            </w:pPr>
          </w:p>
        </w:tc>
        <w:tc>
          <w:tcPr>
            <w:tcW w:w="1520" w:type="dxa"/>
            <w:vAlign w:val="bottom"/>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4"/>
                <w:szCs w:val="24"/>
                <w:color w:val="auto"/>
              </w:rPr>
            </w:pPr>
          </w:p>
        </w:tc>
        <w:tc>
          <w:tcPr>
            <w:tcW w:w="1520" w:type="dxa"/>
            <w:vAlign w:val="bottom"/>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
        </w:trPr>
        <w:tc>
          <w:tcPr>
            <w:tcW w:w="408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and business</w:t>
            </w:r>
          </w:p>
        </w:tc>
        <w:tc>
          <w:tcPr>
            <w:tcW w:w="2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384,346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380,416</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372,641</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2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authorities</w:t>
            </w:r>
          </w:p>
        </w:tc>
        <w:tc>
          <w:tcPr>
            <w:tcW w:w="2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Others</w:t>
            </w:r>
          </w:p>
        </w:tc>
        <w:tc>
          <w:tcPr>
            <w:tcW w:w="23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10,982</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10,873</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13,641</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398,326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394,284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389,293</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580"/>
              <w:spacing w:after="0"/>
              <w:rPr>
                <w:sz w:val="20"/>
                <w:szCs w:val="20"/>
                <w:color w:val="auto"/>
              </w:rPr>
            </w:pPr>
            <w:r>
              <w:rPr>
                <w:rFonts w:ascii="Arial" w:cs="Arial" w:eastAsia="Arial" w:hAnsi="Arial"/>
                <w:sz w:val="18"/>
                <w:szCs w:val="18"/>
                <w:b w:val="1"/>
                <w:bCs w:val="1"/>
                <w:color w:val="auto"/>
              </w:rPr>
              <w:t>Operating Expense</w:t>
            </w:r>
          </w:p>
        </w:tc>
        <w:tc>
          <w:tcPr>
            <w:tcW w:w="2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080" w:type="dxa"/>
            <w:vAlign w:val="bottom"/>
            <w:vMerge w:val="continue"/>
          </w:tcPr>
          <w:p>
            <w:pPr>
              <w:spacing w:after="0"/>
              <w:rPr>
                <w:sz w:val="24"/>
                <w:szCs w:val="24"/>
                <w:color w:val="auto"/>
              </w:rPr>
            </w:pP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80" w:type="dxa"/>
            <w:vAlign w:val="bottom"/>
          </w:tcPr>
          <w:p>
            <w:pPr>
              <w:spacing w:after="0"/>
              <w:rPr>
                <w:sz w:val="20"/>
                <w:szCs w:val="20"/>
                <w:color w:val="auto"/>
              </w:rPr>
            </w:pPr>
            <w:r>
              <w:rPr>
                <w:rFonts w:ascii="Arial" w:cs="Arial" w:eastAsia="Arial" w:hAnsi="Arial"/>
                <w:sz w:val="18"/>
                <w:szCs w:val="18"/>
                <w:color w:val="auto"/>
              </w:rPr>
              <w:t>Operating expense by segment was as follows:</w:t>
            </w: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80" w:type="dxa"/>
            <w:vAlign w:val="bottom"/>
          </w:tcPr>
          <w:p>
            <w:pPr>
              <w:spacing w:after="0"/>
              <w:rPr>
                <w:sz w:val="24"/>
                <w:szCs w:val="24"/>
                <w:color w:val="auto"/>
              </w:rPr>
            </w:pPr>
          </w:p>
        </w:tc>
        <w:tc>
          <w:tcPr>
            <w:tcW w:w="270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Operating Expense</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1"/>
        </w:trPr>
        <w:tc>
          <w:tcPr>
            <w:tcW w:w="40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4"/>
                <w:szCs w:val="24"/>
                <w:color w:val="auto"/>
              </w:rPr>
            </w:pPr>
          </w:p>
        </w:tc>
        <w:tc>
          <w:tcPr>
            <w:tcW w:w="1520" w:type="dxa"/>
            <w:vAlign w:val="bottom"/>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4"/>
                <w:szCs w:val="24"/>
                <w:color w:val="auto"/>
              </w:rPr>
            </w:pPr>
          </w:p>
        </w:tc>
        <w:tc>
          <w:tcPr>
            <w:tcW w:w="1520" w:type="dxa"/>
            <w:vAlign w:val="bottom"/>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
        </w:trPr>
        <w:tc>
          <w:tcPr>
            <w:tcW w:w="4080" w:type="dxa"/>
            <w:vAlign w:val="bottom"/>
          </w:tcPr>
          <w:p>
            <w:pPr>
              <w:spacing w:after="0"/>
              <w:rPr>
                <w:sz w:val="2"/>
                <w:szCs w:val="2"/>
                <w:color w:val="auto"/>
              </w:rPr>
            </w:pPr>
          </w:p>
        </w:tc>
        <w:tc>
          <w:tcPr>
            <w:tcW w:w="270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Water Utility Services</w:t>
            </w:r>
          </w:p>
        </w:tc>
        <w:tc>
          <w:tcPr>
            <w:tcW w:w="23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482,679</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456,539</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438,318</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Real Estate Services</w:t>
            </w:r>
          </w:p>
        </w:tc>
        <w:tc>
          <w:tcPr>
            <w:tcW w:w="2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3,719</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3,585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3,510</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23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5,028</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489,720</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462,527</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446,856</w:t>
            </w: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The change in consolidated operating expenses was due to the following factors:</w:t>
      </w:r>
    </w:p>
    <w:p>
      <w:pPr>
        <w:spacing w:after="0" w:line="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40" w:type="dxa"/>
            <w:vAlign w:val="bottom"/>
            <w:gridSpan w:val="3"/>
          </w:tcPr>
          <w:p>
            <w:pPr>
              <w:jc w:val="center"/>
              <w:ind w:left="132"/>
              <w:spacing w:after="0"/>
              <w:rPr>
                <w:sz w:val="20"/>
                <w:szCs w:val="20"/>
                <w:color w:val="auto"/>
              </w:rPr>
            </w:pPr>
            <w:r>
              <w:rPr>
                <w:rFonts w:ascii="Arial" w:cs="Arial" w:eastAsia="Arial" w:hAnsi="Arial"/>
                <w:sz w:val="14"/>
                <w:szCs w:val="14"/>
                <w:b w:val="1"/>
                <w:bCs w:val="1"/>
                <w:color w:val="auto"/>
                <w:w w:val="91"/>
              </w:rPr>
              <w:t>2022 vs. 2021</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40" w:type="dxa"/>
            <w:vAlign w:val="bottom"/>
            <w:gridSpan w:val="3"/>
          </w:tcPr>
          <w:p>
            <w:pPr>
              <w:jc w:val="center"/>
              <w:ind w:left="172"/>
              <w:spacing w:after="0"/>
              <w:rPr>
                <w:sz w:val="20"/>
                <w:szCs w:val="20"/>
                <w:color w:val="auto"/>
              </w:rPr>
            </w:pPr>
            <w:r>
              <w:rPr>
                <w:rFonts w:ascii="Arial" w:cs="Arial" w:eastAsia="Arial" w:hAnsi="Arial"/>
                <w:sz w:val="14"/>
                <w:szCs w:val="14"/>
                <w:b w:val="1"/>
                <w:bCs w:val="1"/>
                <w:color w:val="auto"/>
                <w:w w:val="91"/>
              </w:rPr>
              <w:t>2021 vs. 2020</w:t>
            </w:r>
          </w:p>
        </w:tc>
        <w:tc>
          <w:tcPr>
            <w:tcW w:w="720" w:type="dxa"/>
            <w:vAlign w:val="bottom"/>
          </w:tcPr>
          <w:p>
            <w:pPr>
              <w:spacing w:after="0"/>
              <w:rPr>
                <w:sz w:val="14"/>
                <w:szCs w:val="14"/>
                <w:color w:val="auto"/>
              </w:rPr>
            </w:pPr>
          </w:p>
        </w:tc>
      </w:tr>
      <w:tr>
        <w:trPr>
          <w:trHeight w:val="192"/>
        </w:trPr>
        <w:tc>
          <w:tcPr>
            <w:tcW w:w="464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center"/>
              <w:ind w:left="132"/>
              <w:spacing w:after="0"/>
              <w:rPr>
                <w:sz w:val="20"/>
                <w:szCs w:val="20"/>
                <w:color w:val="auto"/>
              </w:rPr>
            </w:pPr>
            <w:r>
              <w:rPr>
                <w:rFonts w:ascii="Arial" w:cs="Arial" w:eastAsia="Arial" w:hAnsi="Arial"/>
                <w:sz w:val="14"/>
                <w:szCs w:val="14"/>
                <w:b w:val="1"/>
                <w:bCs w:val="1"/>
                <w:color w:val="auto"/>
                <w:w w:val="90"/>
              </w:rPr>
              <w:t>Increase/(decrease)</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center"/>
              <w:ind w:left="172"/>
              <w:spacing w:after="0"/>
              <w:rPr>
                <w:sz w:val="20"/>
                <w:szCs w:val="20"/>
                <w:color w:val="auto"/>
              </w:rPr>
            </w:pPr>
            <w:r>
              <w:rPr>
                <w:rFonts w:ascii="Arial" w:cs="Arial" w:eastAsia="Arial" w:hAnsi="Arial"/>
                <w:sz w:val="14"/>
                <w:szCs w:val="14"/>
                <w:b w:val="1"/>
                <w:bCs w:val="1"/>
                <w:color w:val="auto"/>
                <w:w w:val="90"/>
              </w:rPr>
              <w:t>Increase/(decrease)</w:t>
            </w:r>
          </w:p>
        </w:tc>
        <w:tc>
          <w:tcPr>
            <w:tcW w:w="720" w:type="dxa"/>
            <w:vAlign w:val="bottom"/>
            <w:tcBorders>
              <w:bottom w:val="single" w:sz="8" w:color="auto"/>
            </w:tcBorders>
          </w:tcPr>
          <w:p>
            <w:pPr>
              <w:spacing w:after="0"/>
              <w:rPr>
                <w:sz w:val="16"/>
                <w:szCs w:val="16"/>
                <w:color w:val="auto"/>
              </w:rPr>
            </w:pPr>
          </w:p>
        </w:tc>
      </w:tr>
      <w:tr>
        <w:trPr>
          <w:trHeight w:val="216"/>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Water production expenses:</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29"/>
        </w:trPr>
        <w:tc>
          <w:tcPr>
            <w:tcW w:w="4640" w:type="dxa"/>
            <w:vAlign w:val="bottom"/>
          </w:tcPr>
          <w:p>
            <w:pPr>
              <w:ind w:left="140"/>
              <w:spacing w:after="0"/>
              <w:rPr>
                <w:sz w:val="20"/>
                <w:szCs w:val="20"/>
                <w:color w:val="auto"/>
              </w:rPr>
            </w:pPr>
            <w:r>
              <w:rPr>
                <w:rFonts w:ascii="Arial" w:cs="Arial" w:eastAsia="Arial" w:hAnsi="Arial"/>
                <w:sz w:val="18"/>
                <w:szCs w:val="18"/>
                <w:color w:val="auto"/>
              </w:rPr>
              <w:t>Change in surface water supply</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(7,262)</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3,897</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4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usage and new customers</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175"/>
        </w:trPr>
        <w:tc>
          <w:tcPr>
            <w:tcW w:w="4640" w:type="dxa"/>
            <w:vAlign w:val="bottom"/>
          </w:tcPr>
          <w:p>
            <w:pPr>
              <w:ind w:left="140"/>
              <w:spacing w:after="0" w:line="176" w:lineRule="exact"/>
              <w:rPr>
                <w:sz w:val="20"/>
                <w:szCs w:val="20"/>
                <w:color w:val="auto"/>
              </w:rPr>
            </w:pPr>
            <w:r>
              <w:rPr>
                <w:rFonts w:ascii="Arial" w:cs="Arial" w:eastAsia="Arial" w:hAnsi="Arial"/>
                <w:sz w:val="18"/>
                <w:szCs w:val="18"/>
                <w:color w:val="auto"/>
                <w:w w:val="98"/>
              </w:rPr>
              <w:t>Purchased water and groundwater extraction charge and</w:t>
            </w: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43"/>
        </w:trPr>
        <w:tc>
          <w:tcPr>
            <w:tcW w:w="4640" w:type="dxa"/>
            <w:vAlign w:val="bottom"/>
          </w:tcPr>
          <w:p>
            <w:pPr>
              <w:ind w:left="140"/>
              <w:spacing w:after="0"/>
              <w:rPr>
                <w:sz w:val="20"/>
                <w:szCs w:val="20"/>
                <w:color w:val="auto"/>
              </w:rPr>
            </w:pPr>
            <w:r>
              <w:rPr>
                <w:rFonts w:ascii="Arial" w:cs="Arial" w:eastAsia="Arial" w:hAnsi="Arial"/>
                <w:sz w:val="18"/>
                <w:szCs w:val="18"/>
                <w:color w:val="auto"/>
              </w:rPr>
              <w:t>energy price increase</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28,576</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11,626</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4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and memorandum account cost recovery</w:t>
            </w: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water production expenses</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3,707</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3,291</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 and general</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30"/>
        </w:trPr>
        <w:tc>
          <w:tcPr>
            <w:tcW w:w="4640" w:type="dxa"/>
            <w:vAlign w:val="bottom"/>
          </w:tcPr>
          <w:p>
            <w:pPr>
              <w:ind w:left="160"/>
              <w:spacing w:after="0"/>
              <w:rPr>
                <w:sz w:val="20"/>
                <w:szCs w:val="20"/>
                <w:color w:val="auto"/>
              </w:rPr>
            </w:pPr>
            <w:r>
              <w:rPr>
                <w:rFonts w:ascii="Arial" w:cs="Arial" w:eastAsia="Arial" w:hAnsi="Arial"/>
                <w:sz w:val="18"/>
                <w:szCs w:val="18"/>
                <w:color w:val="auto"/>
              </w:rPr>
              <w:t>Balance and memorandum account cost recovery</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1,496</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Maintenance</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4,703</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29"/>
        </w:trPr>
        <w:tc>
          <w:tcPr>
            <w:tcW w:w="4640" w:type="dxa"/>
            <w:vAlign w:val="bottom"/>
          </w:tcPr>
          <w:p>
            <w:pPr>
              <w:ind w:left="160"/>
              <w:spacing w:after="0"/>
              <w:rPr>
                <w:sz w:val="20"/>
                <w:szCs w:val="20"/>
                <w:color w:val="auto"/>
              </w:rPr>
            </w:pPr>
            <w:r>
              <w:rPr>
                <w:rFonts w:ascii="Arial" w:cs="Arial" w:eastAsia="Arial" w:hAnsi="Arial"/>
                <w:sz w:val="18"/>
                <w:szCs w:val="18"/>
                <w:color w:val="auto"/>
              </w:rPr>
              <w:t>Balance and memorandum account cost recovery</w:t>
            </w:r>
          </w:p>
        </w:tc>
        <w:tc>
          <w:tcPr>
            <w:tcW w:w="480" w:type="dxa"/>
            <w:vAlign w:val="bottom"/>
          </w:tcPr>
          <w:p>
            <w:pPr>
              <w:spacing w:after="0"/>
              <w:rPr>
                <w:sz w:val="19"/>
                <w:szCs w:val="19"/>
                <w:color w:val="auto"/>
              </w:rPr>
            </w:pPr>
          </w:p>
        </w:tc>
        <w:tc>
          <w:tcPr>
            <w:tcW w:w="2040" w:type="dxa"/>
            <w:vAlign w:val="bottom"/>
            <w:gridSpan w:val="3"/>
          </w:tcPr>
          <w:p>
            <w:pPr>
              <w:jc w:val="right"/>
              <w:ind w:right="1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taxes and other non-income taxes</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10,017</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5,121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long lived assets</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Sale of nonutility property</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1,297</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(7,494)</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464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Sources of Water Supply</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SJWC’s water supply consists of groundwater from wells, surface water from watershed run-off and diversion, reclaimed water, and imported water purchased from Valley Water under the terms of a master contract with Valley Water expiring in 2051. Surface water is sourced from SJWC’s 6,400 acre of watershed in the Santa Cruz mountains. In 2022, SJWC’s general rate case decision approved the use of the Full Cost Balancing Account which mitigates the cost of the water supply from changes and variations in quantities from each of these sources affect the overall mix of the water supply. The water rates for purchased water and the groundwater extraction charge may be increased by Valley Water at any time. If an increase occurs, then SJWC would file an advice letter with the CPUC seeking authorization to increase revenues to offset the rate increase.</w:t>
      </w:r>
    </w:p>
    <w:p>
      <w:pPr>
        <w:spacing w:after="0" w:line="70"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Connecticut Water’s water sources vary among the individual systems, but overall approximately 80% of the total dependable yield comes from surface water supplies and 20% from wells. In addition, Connecticut Water has water supply agreements to supplement its water supply with the South Central Connecticut Regional Water Authority and The Metropolitan District that expire in 2058 and 2053, respectively.</w:t>
      </w:r>
    </w:p>
    <w:p>
      <w:pPr>
        <w:spacing w:after="0" w:line="5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SJWTX’s water supply consists of groundwater from wells and purchased treated and raw water from the GBRA. SJWTX has long-term agreements with the GBRA, which expire in 2037, 2040, 2044 and 2050. The agreements, which are take-or-pay contracts, provide SJWTX with an aggregate of 7,650 acre-feet of water per year from Canyon Lake at prices that may be adjusted periodically by GBRA. SJWTX also has raw water supply agreements with the LCRA and WTPUA expiring in 2059 and 2046, respectively, to provide for 350 acre-feet of water per year from Lake Austin and the Colorado River, respectively, at prices that may be adjusted periodically by the agencies.</w:t>
      </w:r>
    </w:p>
    <w:p>
      <w:pPr>
        <w:spacing w:after="0" w:line="8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Water sources at Maine Water vary among the individual systems, but overall approximately 90% of the total dependable yield comes from surface water supplies and 10% from wells. Maine Water has a water supply agreement with the Kennebec Water District expiring in 2040.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The following table presents the sources of water supply for water utility services: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Source of Water Supply</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4"/>
        </w:trPr>
        <w:tc>
          <w:tcPr>
            <w:tcW w:w="6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(million gallons) (MG)</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Purchased water</w:t>
            </w: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19,720</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19,805</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21,553</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Groundwater</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18,226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21,229</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21,248</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Surface water</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10,005</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Reclaimed water</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49,333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51,041</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53,604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Average water production expense per MG</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4,719</w:t>
            </w:r>
          </w:p>
        </w:tc>
        <w:tc>
          <w:tcPr>
            <w:tcW w:w="100" w:type="dxa"/>
            <w:vAlign w:val="bottom"/>
          </w:tcPr>
          <w:p>
            <w:pPr>
              <w:spacing w:after="0"/>
              <w:rPr>
                <w:sz w:val="17"/>
                <w:szCs w:val="17"/>
                <w:color w:val="auto"/>
              </w:rPr>
            </w:pPr>
          </w:p>
        </w:tc>
        <w:tc>
          <w:tcPr>
            <w:tcW w:w="1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4,488</w:t>
            </w:r>
          </w:p>
        </w:tc>
        <w:tc>
          <w:tcPr>
            <w:tcW w:w="120" w:type="dxa"/>
            <w:vAlign w:val="bottom"/>
          </w:tcPr>
          <w:p>
            <w:pPr>
              <w:spacing w:after="0"/>
              <w:rPr>
                <w:sz w:val="17"/>
                <w:szCs w:val="17"/>
                <w:color w:val="auto"/>
              </w:rPr>
            </w:pPr>
          </w:p>
        </w:tc>
        <w:tc>
          <w:tcPr>
            <w:tcW w:w="1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4,212</w:t>
            </w:r>
          </w:p>
        </w:tc>
        <w:tc>
          <w:tcPr>
            <w:tcW w:w="0" w:type="dxa"/>
            <w:vAlign w:val="bottom"/>
          </w:tcPr>
          <w:p>
            <w:pPr>
              <w:spacing w:after="0"/>
              <w:rPr>
                <w:sz w:val="1"/>
                <w:szCs w:val="1"/>
                <w:color w:val="auto"/>
              </w:rPr>
            </w:pPr>
          </w:p>
        </w:tc>
      </w:tr>
      <w:tr>
        <w:trPr>
          <w:trHeight w:val="21"/>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percentages of water supply by source excluding reclaimed water by state is presented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Purchased Water</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Groundwater</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Surface Water</w:t>
            </w:r>
          </w:p>
        </w:tc>
        <w:tc>
          <w:tcPr>
            <w:tcW w:w="900" w:type="dxa"/>
            <w:vAlign w:val="bottom"/>
          </w:tcPr>
          <w:p>
            <w:pPr>
              <w:spacing w:after="0"/>
              <w:rPr>
                <w:sz w:val="16"/>
                <w:szCs w:val="16"/>
                <w:color w:val="auto"/>
              </w:rPr>
            </w:pPr>
          </w:p>
        </w:tc>
      </w:tr>
      <w:tr>
        <w:trPr>
          <w:trHeight w:val="26"/>
        </w:trPr>
        <w:tc>
          <w:tcPr>
            <w:tcW w:w="22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9"/>
        </w:trPr>
        <w:tc>
          <w:tcPr>
            <w:tcW w:w="2280" w:type="dxa"/>
            <w:vAlign w:val="bottom"/>
          </w:tcPr>
          <w:p>
            <w:pPr>
              <w:spacing w:after="0"/>
              <w:rPr>
                <w:sz w:val="16"/>
                <w:szCs w:val="16"/>
                <w:color w:val="auto"/>
              </w:rPr>
            </w:pPr>
          </w:p>
        </w:tc>
        <w:tc>
          <w:tcPr>
            <w:tcW w:w="900" w:type="dxa"/>
            <w:vAlign w:val="bottom"/>
          </w:tcPr>
          <w:p>
            <w:pPr>
              <w:jc w:val="right"/>
              <w:ind w:right="214"/>
              <w:spacing w:after="0"/>
              <w:rPr>
                <w:sz w:val="20"/>
                <w:szCs w:val="20"/>
                <w:color w:val="auto"/>
              </w:rPr>
            </w:pPr>
            <w:r>
              <w:rPr>
                <w:rFonts w:ascii="Arial" w:cs="Arial" w:eastAsia="Arial" w:hAnsi="Arial"/>
                <w:sz w:val="14"/>
                <w:szCs w:val="14"/>
                <w:b w:val="1"/>
                <w:bCs w:val="1"/>
                <w:color w:val="auto"/>
              </w:rPr>
              <w:t>2022</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900" w:type="dxa"/>
            <w:vAlign w:val="bottom"/>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900" w:type="dxa"/>
            <w:vAlign w:val="bottom"/>
          </w:tcPr>
          <w:p>
            <w:pPr>
              <w:jc w:val="right"/>
              <w:ind w:right="2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900" w:type="dxa"/>
            <w:vAlign w:val="bottom"/>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900" w:type="dxa"/>
            <w:vAlign w:val="bottom"/>
          </w:tcPr>
          <w:p>
            <w:pPr>
              <w:jc w:val="right"/>
              <w:ind w:right="2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900" w:type="dxa"/>
            <w:vAlign w:val="bottom"/>
          </w:tcPr>
          <w:p>
            <w:pPr>
              <w:jc w:val="right"/>
              <w:ind w:right="214"/>
              <w:spacing w:after="0"/>
              <w:rPr>
                <w:sz w:val="20"/>
                <w:szCs w:val="20"/>
                <w:color w:val="auto"/>
              </w:rPr>
            </w:pPr>
            <w:r>
              <w:rPr>
                <w:rFonts w:ascii="Arial" w:cs="Arial" w:eastAsia="Arial" w:hAnsi="Arial"/>
                <w:sz w:val="14"/>
                <w:szCs w:val="14"/>
                <w:b w:val="1"/>
                <w:bCs w:val="1"/>
                <w:color w:val="auto"/>
              </w:rPr>
              <w:t>2020</w:t>
            </w:r>
          </w:p>
        </w:tc>
      </w:tr>
      <w:tr>
        <w:trPr>
          <w:trHeight w:val="257"/>
        </w:trPr>
        <w:tc>
          <w:tcPr>
            <w:tcW w:w="228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r>
      <w:tr>
        <w:trPr>
          <w:trHeight w:val="230"/>
        </w:trPr>
        <w:tc>
          <w:tcPr>
            <w:tcW w:w="228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900" w:type="dxa"/>
            <w:vAlign w:val="bottom"/>
          </w:tcPr>
          <w:p>
            <w:pPr>
              <w:jc w:val="right"/>
              <w:spacing w:after="0"/>
              <w:rPr>
                <w:sz w:val="20"/>
                <w:szCs w:val="20"/>
                <w:color w:val="auto"/>
              </w:rPr>
            </w:pPr>
            <w:r>
              <w:rPr>
                <w:rFonts w:ascii="Arial" w:cs="Arial" w:eastAsia="Arial" w:hAnsi="Arial"/>
                <w:sz w:val="18"/>
                <w:szCs w:val="18"/>
                <w:color w:val="auto"/>
              </w:rPr>
              <w:t>52 %</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Connecticut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29"/>
        </w:trPr>
        <w:tc>
          <w:tcPr>
            <w:tcW w:w="2280" w:type="dxa"/>
            <w:vAlign w:val="bottom"/>
          </w:tcPr>
          <w:p>
            <w:pPr>
              <w:ind w:left="20"/>
              <w:spacing w:after="0"/>
              <w:rPr>
                <w:sz w:val="20"/>
                <w:szCs w:val="20"/>
                <w:color w:val="auto"/>
              </w:rPr>
            </w:pPr>
            <w:r>
              <w:rPr>
                <w:rFonts w:ascii="Arial" w:cs="Arial" w:eastAsia="Arial" w:hAnsi="Arial"/>
                <w:sz w:val="18"/>
                <w:szCs w:val="18"/>
                <w:color w:val="auto"/>
              </w:rPr>
              <w:t>Maine</w:t>
            </w:r>
          </w:p>
        </w:tc>
        <w:tc>
          <w:tcPr>
            <w:tcW w:w="900" w:type="dxa"/>
            <w:vAlign w:val="bottom"/>
          </w:tcPr>
          <w:p>
            <w:pPr>
              <w:jc w:val="right"/>
              <w:spacing w:after="0"/>
              <w:rPr>
                <w:sz w:val="20"/>
                <w:szCs w:val="20"/>
                <w:color w:val="auto"/>
              </w:rPr>
            </w:pPr>
            <w:r>
              <w:rPr>
                <w:rFonts w:ascii="Arial" w:cs="Arial" w:eastAsia="Arial" w:hAnsi="Arial"/>
                <w:sz w:val="18"/>
                <w:szCs w:val="18"/>
                <w:color w:val="auto"/>
              </w:rPr>
              <w:t>3 %</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91 %</w:t>
            </w:r>
          </w:p>
        </w:tc>
      </w:tr>
      <w:tr>
        <w:trPr>
          <w:trHeight w:val="230"/>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r>
    </w:tbl>
    <w:p>
      <w:pPr>
        <w:spacing w:after="0" w:line="188"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Water production in 2022 for water utility services decreased 1,708 million gallons from 2021. Water production in 2021 for water utility services decreased 2,563 million gallons from 2020. The changes are primarily attributable to changes in consumption by customers and are consistent with the changes in the related water production expenses.</w:t>
      </w:r>
    </w:p>
    <w:p>
      <w:pPr>
        <w:spacing w:after="0" w:line="7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contract water rates for SJWC are determined by Valley Water. These rates are adjusted periodically and coincide with Valley Water’s fiscal year, which ends on June 30. The contract water rate for Valley Water’s fiscal years 2023, 2022 and 2021 was $5.6, $5.0 and $4.5 per million gallons, respectively. The contractual cost of the groundwater extraction charge for water pumped from the ground basin was $5.3, $4.6 and $4.2 per million gallons for Valley Water’s fiscal years 2023, 2022 and 2021, respectively. SJWC’s unaccounted-for water for 2022 and 2021 approximated 8.9% and 7.8%, respectively, as a percentage of production. The unaccounted-for water estimate is based on the results of past experience and the impact of flows through the system, partially offset by SJWC’s main replacements and water loss reduction programs.</w:t>
      </w:r>
    </w:p>
    <w:p>
      <w:pPr>
        <w:spacing w:after="0" w:line="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Connecticut Water has an agreement with the South Central Connecticut Regional Water Authority (“RWA”) to purchase water from RWA. The agreement was signed in April 2006 and became effective upon the receipt of all regulatory approvals in 2008 and will remain in effect for a minimum of fifty years upon becoming effective. In addition, Connecticut Water is able, but under no obligation, to purchase up to one million gallons of water per day at the then current wholesale rates per the agreement, $2.621 per million gallons as of December 31, 2022. Connecticut Water has an agreement with The Metropolitan District (“MDC”) to purchase water from MDC to serve the Unionville system. The agreement became effective on October 6, 2000 and has a term of fifty years beginning May 19, 2003, the date the water supply facilities related to the agreement were placed in service. Connecticut Water has agreed to purchase 283 million gallons of water annually from MDC at the published retail rate, $4.09 per hundred cubic feet as of December 31, 2022.</w:t>
      </w:r>
    </w:p>
    <w:p>
      <w:pPr>
        <w:spacing w:after="0" w:line="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Maine Water has an agreement with the Kennebec Water District for potable water service. The agreement has been in place for 20 years and was extended on November 7, 2020 for a new term of up to 20 years. Maine Water guarantees a minimum consumption of 50 million gallons of water annually. Water sales to Maine Water are billed at a wholesale discount of $0.20 per hundred cubic feet of water below Kennebec Water District's tariffed rates. The current tariff rate was $1.51 per hundred cubic feet as of December 31, 2022.</w:t>
      </w:r>
    </w:p>
    <w:p>
      <w:pPr>
        <w:spacing w:after="0" w:line="7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CTWS’s unaccounted-for water for 2022 and 2021 approximated 14.2% and 14.3%, respectively, as a percentage of production. The unaccounted-for water estimate is based on the results of past experience and the impact of flows through CTWS’s systems, unadjusted for any required system flushing, partially offset by WICA and WISC main replacement programs and lost water reduction initiatives.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various components of operating expenses are discussed below.</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7" w:name="page38"/>
    <w:bookmarkEnd w:id="37"/>
    <w:p>
      <w:pPr>
        <w:ind w:left="580"/>
        <w:spacing w:after="0"/>
        <w:rPr>
          <w:sz w:val="20"/>
          <w:szCs w:val="20"/>
          <w:color w:val="auto"/>
        </w:rPr>
      </w:pPr>
      <w:r>
        <w:rPr>
          <w:rFonts w:ascii="Arial" w:cs="Arial" w:eastAsia="Arial" w:hAnsi="Arial"/>
          <w:sz w:val="18"/>
          <w:szCs w:val="18"/>
          <w:b w:val="1"/>
          <w:bCs w:val="1"/>
          <w:color w:val="auto"/>
        </w:rPr>
        <w:t>Water production expenses</w:t>
      </w:r>
    </w:p>
    <w:p>
      <w:pPr>
        <w:spacing w:after="0" w:line="144"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2022 vs. 2021</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Water production expenses increased $28,576 in higher per unit costs paid for purchased water, groundwater extraction and energy charges, offset by decreases of $15,311 due to lower customer usage, $7,262 as a result of increased availability of California surface water in 2022 compared to 2021, and $2,296 due to changes in water production balancing and memorandum accounts.</w:t>
      </w:r>
    </w:p>
    <w:p>
      <w:pPr>
        <w:spacing w:after="0" w:line="112"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2021 vs. 2020</w:t>
      </w:r>
    </w:p>
    <w:p>
      <w:pPr>
        <w:spacing w:after="0" w:line="12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Water production expenses increased $11,626 in higher per unit costs paid for purchased water, groundwater extraction and energy charges, $3,897 as a result of decreased availability of California surface water in 2021 compared to 2020, and $1,302 due to changes in water production balancing and memorandum accounts, offset by a decrease of $13,534 due to a decrease in customer usage.</w:t>
      </w:r>
    </w:p>
    <w:p>
      <w:pPr>
        <w:spacing w:after="0" w:line="11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Administrative and General Expense</w:t>
      </w:r>
    </w:p>
    <w:p>
      <w:pPr>
        <w:spacing w:after="0" w:line="12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Administrative and general expenses include payroll related to administrative and general functions, all employee benefits charged to expense accounts, insurance expenses, legal fees, regulatory utility commissions’ expenses, expenses associated with being a public company, and general corporate expenses.</w:t>
      </w:r>
    </w:p>
    <w:p>
      <w:pPr>
        <w:spacing w:after="0" w:line="99"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2022 vs. 2021</w:t>
      </w:r>
    </w:p>
    <w:p>
      <w:pPr>
        <w:spacing w:after="0" w:line="121"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Administrative and general expense increased $8,072 in 2022, or 2% of the total operating expenses in 2021. The increase consisted primarily of $3,974 increase in compensation, $595 increase in materials and supplies, $576 in regulatory surcharge, $572 in uninsured losses, $446 in bank fees, $434 in corporate expenses, $316 in liability insurance, $314 in travel, $263 increase in uncollectible accounts, and $209 increase in telephone expenses.</w:t>
      </w:r>
    </w:p>
    <w:p>
      <w:pPr>
        <w:spacing w:after="0" w:line="77"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2021 vs. 2020</w:t>
      </w:r>
    </w:p>
    <w:p>
      <w:pPr>
        <w:spacing w:after="0" w:line="12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Administrative and general expense increased $7,591 in 2021, or 2% of the total operating expenses in 2020. The increase consisted primarily of $1,928 in group health insurance costs, $1,542 increase in compensation, $1,229 increase in insurance expense, $1,108 increase in uncollectible accounts due to a credit recorded in 2020 for the Current Expected Credit Loss adoption, $1,104 increase in contracted work, and $703 increase in rate case expenses.</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Maintenance Expense</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Maintenance expense increased $4,703 in 2022, or 1% of the total operating expenses in 2021, and increased $3,873 in 2021, or 1% of the total operating expenses in 2020. The increase in 2022 was primarily due to increases of $3,680 in contract and materials expense related to the OII settlement agreement. The increase in 2021 was primarily due to increases of $2,402 in contract, repairs and maintenance, and materials expense as a result of increased leaks, $1,298 due to a favorable change in the probability assessment of regulatory recovery of a hydro-turbine generator project reserve established in a prior year, and $408 increase in compensation.</w:t>
      </w:r>
    </w:p>
    <w:p>
      <w:pPr>
        <w:spacing w:after="0" w:line="10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Property Taxes and Other Non-income Taxes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Property taxes and other non-income taxes for 2022 and 2021 increased $1,608, and $1,078 from the prior years, respectively. The increase in 2022 was primarily the result of increased property taxes due to utility plant additions, an increase in payroll taxes due to increases in wages and a one-time increase in transfer tax. The increase in 2021 was primarily a result of increased utility plant. SJW Group anticipates increases in 2023 for property taxes and other non-income taxes due to increases in utility plant.</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Depreciation and Amortization</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Depreciation and amortization expense increased $10,017 in 2022, or 2% of the total operating expenses in 2021, and increased $5,121 in 2021, or 1% of the total operating expenses in 2020. The increases were primarily due to increases in utility plant. SJW Group anticipates increases in 2023 for depreciation expense due to increases in utility plant.</w:t>
      </w:r>
    </w:p>
    <w:p>
      <w:pPr>
        <w:spacing w:after="0" w:line="11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Impairment of long-lived asset</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Impairment of long-lived asset decreased $2,211 in 2022 in comparison to 2021, and increased the same amount in 2021 in comparison to 2020, due to the 2021 write-off of a customer care and billing system implementation in Texas.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61" w:right="419" w:bottom="1440" w:gutter="0" w:footer="0" w:header="0"/>
        </w:sectPr>
      </w:pPr>
    </w:p>
    <w:bookmarkStart w:id="38" w:name="page39"/>
    <w:bookmarkEnd w:id="38"/>
    <w:p>
      <w:pPr>
        <w:ind w:left="580"/>
        <w:spacing w:after="0"/>
        <w:rPr>
          <w:sz w:val="20"/>
          <w:szCs w:val="20"/>
          <w:color w:val="auto"/>
        </w:rPr>
      </w:pPr>
      <w:r>
        <w:rPr>
          <w:rFonts w:ascii="Arial" w:cs="Arial" w:eastAsia="Arial" w:hAnsi="Arial"/>
          <w:sz w:val="18"/>
          <w:szCs w:val="18"/>
          <w:b w:val="1"/>
          <w:bCs w:val="1"/>
          <w:color w:val="auto"/>
        </w:rPr>
        <w:t>Sale of nonutility properties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Gain on sale of nonutility properties decreased $1,297 in 2022 primarily due to the lower total value of sales of multiple vacant land properties located in California.</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Other Income and Expense</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change in other (expense) income in 2022 compared to 2021 was primarily due to a $3,000 pre-tax gain on sale from the release of a holdback amount by GBRA for the sale of Texas Water Alliance (“TWA”) recorded in 2021, an increase in other interest due to higher short term borrowing rates, and a decrease in investment income from retirement plan assets and life insurance policies, partially offset by a decrease in pension non-service cost due to an increase on the return of pension assets and an increase in the discount rate.</w:t>
      </w:r>
    </w:p>
    <w:p>
      <w:pPr>
        <w:spacing w:after="0" w:line="7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change in other (expense) income in 2021 compared to 2020 was primarily due to a $3,000 pre-tax gain on sale from the release of a holdback amount by GBRA for the sale of TWA recorded in 2017 and $1,704 decrease in pension non-service cost due to an increase on the return of pension assets and an increase in the discount rate.</w:t>
      </w:r>
    </w:p>
    <w:p>
      <w:pPr>
        <w:spacing w:after="0" w:line="7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SJW Group’s consolidated weighted-average cost of long-term debt, including the mortgages and the amortization of debt issuance costs, was 4.0%, 4.1% and 4.3% for the years ended December 31, 2022 and 2021 and 2020. Cost of borrowing on the lines of credit averaged 3.41%, 1.32% and 1.78% as of December 31, 2022, 2021 and 2020, respectively.</w:t>
      </w:r>
    </w:p>
    <w:p>
      <w:pPr>
        <w:spacing w:after="0" w:line="11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Provision for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Income tax expense for 2022 was $8,496, compared to $8,369 in 2021. The effective consolidated income tax rate was 10% for 2022 and 12% for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effective income tax rate decreased from 2021 primarily due to tax accounting method change related to non-network repairs deduction.</w:t>
      </w:r>
    </w:p>
    <w:p>
      <w:pPr>
        <w:spacing w:after="0" w:line="10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August 16, 2022, the Inflation Reduction Act of 2022 (the “IRA”) was signed into law. SJW Group has considered the income tax implications of the IRA in its estimated tax provision. The Act did not have a material impact to the year-end tax rate.</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Please refer to </w:t>
      </w:r>
      <w:r>
        <w:rPr>
          <w:rFonts w:ascii="Arial" w:cs="Arial" w:eastAsia="Arial" w:hAnsi="Arial"/>
          <w:sz w:val="17"/>
          <w:szCs w:val="17"/>
          <w:u w:val="single" w:color="auto"/>
          <w:color w:val="0000FF"/>
        </w:rPr>
        <w:t>Note 7</w:t>
      </w:r>
      <w:r>
        <w:rPr>
          <w:rFonts w:ascii="Arial" w:cs="Arial" w:eastAsia="Arial" w:hAnsi="Arial"/>
          <w:sz w:val="17"/>
          <w:szCs w:val="17"/>
          <w:color w:val="auto"/>
        </w:rPr>
        <w:t>, “Income Taxes,” of Notes to Consolidated Financial Statements for a reconciliation of actual to expected income tax expense.</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Other Comprehensive Income</w:t>
      </w:r>
    </w:p>
    <w:p>
      <w:pPr>
        <w:spacing w:after="0" w:line="12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The change in other comprehensive income in 2022 and 2021 was primarily due to the change in the benefit obligation for Connecticut Water’s supplemental executive retirement agreements as a result of a change in the discount rate.</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Water Utility Services’ business derives the majority of its revenue directly from residential and business customers. Water Utility Services bills the majority of its customers on a bi-monthly basis. Payments from customers are impacted by the general economic conditions in the areas where SJW Group operates. Payment delinquencies are mitigated by service interruptions due to non-payment prior to the COVID-19 pandemic. During 2022, the remaining state orders to suspend water service disconnections expired. As of December 31, 2022, the change in allowance for doubtful accounts was primarily due to slower collections on payments from customers. Impacts to allowance for doubtful accounts related to COVID-19 have been recorded for future recovery through the rate-making process. There is no guarantee that such recovery will be approved by the respective state regulatory utility commissions. On February 3, 2022, SJWC received $9,757 through the State of California Water and Wastewater Arrearages Payment Program to relieve outstanding payment delinquencies for customer accounts greater that 60-days past due as of June 30, 2021. Bill credits were applied to the customer accounts filed in the state payment program that were still outstanding and the excess of $3,272 was returned to the State of California. Although the COVID-19 state moratoriums restrictions on water service disconnections from non-payment ended in February 2022 in California, there has been a delayed start to disconnections from non-payment. Write-offs for uncollectible accounts remain less than 1% of total revenue consistent with prior year. Management believes the collection rate will gradually return to pre-pandemic levels when service disconnections are fully active again to mitigate payment delinquencies.</w:t>
      </w:r>
    </w:p>
    <w:p>
      <w:pPr>
        <w:spacing w:after="0" w:line="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Funds collected from Water Utility Services’ customers are used to pay for water production expenses, in addition to costs associated with general operations. Funds were also generated from borrowings. In 2022, SJW Group and its subsidiaries obtained $55,000 in funds from new long-term debt and $39,085 in fund from equity issuances. From these amounts, SJW Group funded its 2022 capital expenditure programs refinanced certain short and long-term borrowings, and funded working capital.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 6</w:t>
      </w:r>
      <w:r>
        <w:rPr>
          <w:rFonts w:ascii="Arial" w:cs="Arial" w:eastAsia="Arial" w:hAnsi="Arial"/>
          <w:sz w:val="18"/>
          <w:szCs w:val="18"/>
          <w:color w:val="auto"/>
        </w:rPr>
        <w:t xml:space="preserve"> of “Notes to Consolidated Financial Statements” for discussion on the equity and debt financing</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activities of SJW Group. In addition, SJW Group paid cash dividends of approximately $43,582 during the year ended December 31, 2022.</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condition of the capital and credit markets or the strength of financial institutions could impact SJW Group’s ability to draw on its lines of credit, issue long-term debt, sell its equity or earn interest income. In addition, government policies, the state of the credit markets and other factors could result in increased interest rates, which would increase SJW Group’s cost of capital. While our ability to obtain financing will continue to be a risk, we believe that based on our 2022 activities, we will have access to the external funding sources necessary to implement our on-going capital investment programs in the future. The current Standard &amp; Poor’s Rating Service assigned company rating for SJW Group is an A-, with a stable outlook, for SJWC is an A, with a stable outlook, and for CTWS is an A- with a stable outlook.</w:t>
      </w:r>
    </w:p>
    <w:p>
      <w:pPr>
        <w:spacing w:after="0" w:line="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2022, the common dividends declared and paid on SJW Group’s common stock represented 59% of net income. Dividends have been paid on SJW Group’s and its predecessor’s common stock for 317 consecutive quarters and the annual dividend amount has increased in each of the last 55 years. While historically SJW Group has generally paid dividends equal to approximately 50% to 60% of its net income, SJW Group cannot guarantee that this trend will continue in the future.</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Cash Flow from Operations</w:t>
      </w:r>
    </w:p>
    <w:p>
      <w:pPr>
        <w:spacing w:after="0" w:line="1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2022, SJW Group generated cash flow from operations of approximately $166,200 compared to $130,000 in 2021 and $104,051 in 2020. Cash flow from operations is primarily generated by net income from revenue producing activities, adjusted for non-cash expenses for depreciation and amortization, deferred income taxes, share-based compensation, allowance for equity funds used during construction, gains on the sale of assets, and other changes in working capital items. Cash flow from operations increased in 2022 by approximately $36,200. The increase was primarily due to a combination of the following factors: (1) an increase in general working capital and net income adjusted for non-cash items increase by $31,600, and (2) an increase in collections against our regulatory assets which generated an increase of $16,300, offset by (3) payments of previously invoiced and accrued payables or amounts, increased by $6,200, and (4) net collection of taxes receivable was $5,500 less than in prior year. Cash flow from operations increased in 2021 by approximately $26,000. The increase was primarily due to a combination of the following factors: (1) increase in collections of previously billed and accrued receivables by $13,000, (2) an increase in general working capital and net income adjusted for non-cash items increase by $6,800, (3) payments of previously invoiced and accrued payables or amounts, decreased by $5,200, and (4) a $5,000 up-front service concession payment that occurred in the previous year, offset by (5) an increase in accrued groundwater extraction charges, purchased water and power of $4,000.</w:t>
      </w:r>
    </w:p>
    <w:p>
      <w:pPr>
        <w:spacing w:after="0" w:line="8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Cash Flow from Investing Activities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2022, SJW Group used approximately $218,800 of cash for Company funded capital expenditures, $22,900 for developer funded capital expenditures, $2,500 in utility plant retirement costs, $600 for real estate investments related to leasehold improvement additions for the properties located in Knoxville, Tennessee, and $400 for ongoing business and asset acquisition activities in Texas. These uses were offset by cash proceeds of $1,000 from the sale of various nonutility properties during the year. In 2021, SJW Group used approximately $234,000 of cash for Company funded capital expenditures, $23,600 for SJWTX’s acquisition of Kendall West Utility and Bandera East Utility, $17,100 for developer funded capital expenditures, $2,800 in utility plant retirement costs, and $800 for real estate investments related to leasehold improvement additions for the properties located in Knoxville, Tennessee. These uses were offset by cash proceeds of $18,200 from the sale of TWA, real estate investments and nonutility properties.</w:t>
      </w:r>
    </w:p>
    <w:p>
      <w:pPr>
        <w:spacing w:after="0" w:line="5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Water Utility Services budgeted capital expenditures for 2023, excluding capital expenditures financed by customer contributions and advances is estimated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0" w:type="dxa"/>
            <w:vAlign w:val="bottom"/>
            <w:gridSpan w:val="3"/>
          </w:tcPr>
          <w:p>
            <w:pPr>
              <w:jc w:val="center"/>
              <w:ind w:left="235"/>
              <w:spacing w:after="0"/>
              <w:rPr>
                <w:sz w:val="20"/>
                <w:szCs w:val="20"/>
                <w:color w:val="auto"/>
              </w:rPr>
            </w:pPr>
            <w:r>
              <w:rPr>
                <w:rFonts w:ascii="Arial" w:cs="Arial" w:eastAsia="Arial" w:hAnsi="Arial"/>
                <w:sz w:val="14"/>
                <w:szCs w:val="14"/>
                <w:b w:val="1"/>
                <w:bCs w:val="1"/>
                <w:color w:val="auto"/>
                <w:w w:val="93"/>
              </w:rPr>
              <w:t>Budgeted Capital</w:t>
            </w:r>
          </w:p>
        </w:tc>
        <w:tc>
          <w:tcPr>
            <w:tcW w:w="800" w:type="dxa"/>
            <w:vAlign w:val="bottom"/>
          </w:tcPr>
          <w:p>
            <w:pPr>
              <w:spacing w:after="0"/>
              <w:rPr>
                <w:sz w:val="14"/>
                <w:szCs w:val="14"/>
                <w:color w:val="auto"/>
              </w:rPr>
            </w:pPr>
          </w:p>
        </w:tc>
      </w:tr>
      <w:tr>
        <w:trPr>
          <w:trHeight w:val="144"/>
        </w:trPr>
        <w:tc>
          <w:tcPr>
            <w:tcW w:w="7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0" w:type="dxa"/>
            <w:vAlign w:val="bottom"/>
            <w:gridSpan w:val="3"/>
          </w:tcPr>
          <w:p>
            <w:pPr>
              <w:jc w:val="center"/>
              <w:ind w:left="215"/>
              <w:spacing w:after="0" w:line="145" w:lineRule="exact"/>
              <w:rPr>
                <w:sz w:val="20"/>
                <w:szCs w:val="20"/>
                <w:color w:val="auto"/>
              </w:rPr>
            </w:pPr>
            <w:r>
              <w:rPr>
                <w:rFonts w:ascii="Arial" w:cs="Arial" w:eastAsia="Arial" w:hAnsi="Arial"/>
                <w:sz w:val="14"/>
                <w:szCs w:val="14"/>
                <w:b w:val="1"/>
                <w:bCs w:val="1"/>
                <w:color w:val="auto"/>
                <w:w w:val="92"/>
              </w:rPr>
              <w:t>Expenditures</w:t>
            </w:r>
          </w:p>
        </w:tc>
        <w:tc>
          <w:tcPr>
            <w:tcW w:w="800" w:type="dxa"/>
            <w:vAlign w:val="bottom"/>
          </w:tcPr>
          <w:p>
            <w:pPr>
              <w:spacing w:after="0"/>
              <w:rPr>
                <w:sz w:val="12"/>
                <w:szCs w:val="12"/>
                <w:color w:val="auto"/>
              </w:rPr>
            </w:pPr>
          </w:p>
        </w:tc>
      </w:tr>
      <w:tr>
        <w:trPr>
          <w:trHeight w:val="196"/>
        </w:trPr>
        <w:tc>
          <w:tcPr>
            <w:tcW w:w="794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center"/>
              <w:ind w:left="215"/>
              <w:spacing w:after="0"/>
              <w:rPr>
                <w:sz w:val="20"/>
                <w:szCs w:val="20"/>
                <w:color w:val="auto"/>
              </w:rPr>
            </w:pPr>
            <w:r>
              <w:rPr>
                <w:rFonts w:ascii="Arial" w:cs="Arial" w:eastAsia="Arial" w:hAnsi="Arial"/>
                <w:sz w:val="14"/>
                <w:szCs w:val="14"/>
                <w:b w:val="1"/>
                <w:bCs w:val="1"/>
                <w:color w:val="auto"/>
                <w:w w:val="96"/>
              </w:rPr>
              <w:t>2023</w:t>
            </w:r>
          </w:p>
        </w:tc>
        <w:tc>
          <w:tcPr>
            <w:tcW w:w="800" w:type="dxa"/>
            <w:vAlign w:val="bottom"/>
            <w:tcBorders>
              <w:bottom w:val="single" w:sz="8" w:color="auto"/>
            </w:tcBorders>
          </w:tcPr>
          <w:p>
            <w:pPr>
              <w:spacing w:after="0"/>
              <w:rPr>
                <w:sz w:val="17"/>
                <w:szCs w:val="17"/>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Water treatment</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29,943</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Wastewater treatment</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1,136</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Source of supply</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Reservoirs and tanks</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17,521</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Pump stations and equipment</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14,945</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Equipment and other</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61,671</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 system</w:t>
            </w: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119,137</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47 %</w:t>
            </w:r>
          </w:p>
        </w:tc>
      </w:tr>
      <w:tr>
        <w:trPr>
          <w:trHeight w:val="223"/>
        </w:trPr>
        <w:tc>
          <w:tcPr>
            <w:tcW w:w="794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255,053</w:t>
            </w:r>
          </w:p>
        </w:tc>
        <w:tc>
          <w:tcPr>
            <w:tcW w:w="1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7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40" w:name="page41"/>
    <w:bookmarkEnd w:id="40"/>
    <w:p>
      <w:pPr>
        <w:ind w:right="120"/>
        <w:spacing w:after="0" w:line="277" w:lineRule="auto"/>
        <w:rPr>
          <w:sz w:val="20"/>
          <w:szCs w:val="20"/>
          <w:color w:val="auto"/>
        </w:rPr>
      </w:pPr>
      <w:r>
        <w:rPr>
          <w:rFonts w:ascii="Arial" w:cs="Arial" w:eastAsia="Arial" w:hAnsi="Arial"/>
          <w:sz w:val="18"/>
          <w:szCs w:val="18"/>
          <w:color w:val="auto"/>
        </w:rPr>
        <w:t>The 2023 capital expenditures budget is concentrated in main replacements. Included in the distribution system budgeted capital expenditures of $119,137 is approximately $89,412 that is planned to be spent to replace Water Utility Services’ pipes and mains.</w:t>
      </w:r>
    </w:p>
    <w:p>
      <w:pPr>
        <w:spacing w:after="0" w:line="6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Water Utility Services’ capital expenditures are incurred in connection with normal upgrading and expansion of existing facilities and to comply with environmental regulations. Over the next five years, Water Utility Services expects to incur approximately $1,353,390 in capital expenditures. A significant portion of this amount is subject to future approval from the Regulators. Capital expenditures have the effect of increasing utility plant rate base on which Water Utility Services earns a return. Water Utility Services’ actual capital expenditures may vary from projections due to changes in the expected demand for services, weather patterns, actions by governmental agencies and general economic conditions. Total additions to utility plant normally exceed company-financed additions as a result of new facilities construction funded with advances from developers and contributions in aid of construction.</w:t>
      </w:r>
    </w:p>
    <w:p>
      <w:pPr>
        <w:spacing w:after="0" w:line="56"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The Water Utility Services’ distribution systems were constructed during the period from the early 1900’s through today. Expenditure levels for renewal and modernization will occur as the components reach the end of their useful lives. In most cases, replacement cost will significantly exceed the original installation cost of the retired assets due to increases in the costs of goods and services and increased regulation.</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Cash Flow from Financing Activities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Net cash provided by financing activities for the year ended December 31, 2022, decreased by approximately $54,500 from the same period in the prior year, primarily as a result of decrease in cash proceeds from long-term debt and issuances of common stock, an increase in payments of dividends, and decreases in cash receipts of advances and contributions in aid of construction, partially offset by an increase in the amount of net borrowings on our lines of credit. SJW Group’s cash management policy includes the issuance of long-term debt to pay down borrowings on our lines of credit. As such, during years when long-term borrowings are high, borrowings on our line of credit tend to be low and when long-term borrowings are low, borrowings on our line of credit tend to be high.</w:t>
      </w:r>
    </w:p>
    <w:p>
      <w:pPr>
        <w:spacing w:after="0" w:line="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SJW Group and its subsidiaries have unsecured bank lines of credit totaling $350,000 as of December 31, 2022. Drawdowns on our lines of credit are restricted by our funded debt not exceeding a percent of total capitalization as defined in our debt covenants. SJW Group expects to periodically draw down on its lines of credit as dictated by our funding needs and subsequently repay such borrowings with cash from operations and issuance of long-term debt or equity. See also “Sources of Capital” below.</w:t>
      </w:r>
    </w:p>
    <w:p>
      <w:pPr>
        <w:spacing w:after="0" w:line="10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Sources of Capital</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SJW Group’s regulated operations ability to finance future construction programs and sustain dividend payments depends on its ability to maintain or increase internally generated funds and obtain external financing through the issuance of new long-term debt or issuance of equity. The level of future earnings and the related cash flow from operations is dependent, in large part, on the timing and outcome of regulatory proceedings. SJW Group’s regulated operations financing activity is designed to achieve capital structures consistent with regulatory guidelines in the locations where the companies operate. See current authorized capital structures in </w:t>
      </w:r>
      <w:r>
        <w:rPr>
          <w:rFonts w:ascii="Arial" w:cs="Arial" w:eastAsia="Arial" w:hAnsi="Arial"/>
          <w:sz w:val="17"/>
          <w:szCs w:val="17"/>
          <w:u w:val="single" w:color="auto"/>
          <w:color w:val="0000FF"/>
        </w:rPr>
        <w:t>Item 1</w:t>
      </w:r>
      <w:r>
        <w:rPr>
          <w:rFonts w:ascii="Arial" w:cs="Arial" w:eastAsia="Arial" w:hAnsi="Arial"/>
          <w:sz w:val="17"/>
          <w:szCs w:val="17"/>
          <w:color w:val="auto"/>
        </w:rPr>
        <w:t>, “Business” under “Regulation and Rates.”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auto"/>
        </w:rPr>
        <w:t>Short-term Financing Arrangements</w:t>
      </w:r>
    </w:p>
    <w:p>
      <w:pPr>
        <w:spacing w:after="0" w:line="1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SJW Group and its subsidiaries have unsecured line of credit agreements where borrowings are used to refinance existing debt, for working capital, and for general corporate purposes. A summary of the line of credit agreements as of December 31, 2022, and 2021 are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26"/>
        </w:trPr>
        <w:tc>
          <w:tcPr>
            <w:tcW w:w="3120" w:type="dxa"/>
            <w:vAlign w:val="bottom"/>
          </w:tcPr>
          <w:p>
            <w:pPr>
              <w:spacing w:after="0"/>
              <w:rPr>
                <w:sz w:val="2"/>
                <w:szCs w:val="2"/>
                <w:color w:val="auto"/>
              </w:rPr>
            </w:pPr>
          </w:p>
        </w:tc>
        <w:tc>
          <w:tcPr>
            <w:tcW w:w="2300" w:type="dxa"/>
            <w:vAlign w:val="bottom"/>
            <w:gridSpan w:val="3"/>
          </w:tcPr>
          <w:p>
            <w:pPr>
              <w:spacing w:after="0"/>
              <w:rPr>
                <w:sz w:val="2"/>
                <w:szCs w:val="2"/>
                <w:color w:val="auto"/>
              </w:rPr>
            </w:pPr>
          </w:p>
        </w:tc>
        <w:tc>
          <w:tcPr>
            <w:tcW w:w="1280" w:type="dxa"/>
            <w:vAlign w:val="bottom"/>
            <w:gridSpan w:val="2"/>
          </w:tcPr>
          <w:p>
            <w:pPr>
              <w:spacing w:after="0"/>
              <w:rPr>
                <w:sz w:val="2"/>
                <w:szCs w:val="2"/>
                <w:color w:val="auto"/>
              </w:rPr>
            </w:pPr>
          </w:p>
        </w:tc>
        <w:tc>
          <w:tcPr>
            <w:tcW w:w="1560" w:type="dxa"/>
            <w:vAlign w:val="bottom"/>
            <w:gridSpan w:val="2"/>
          </w:tcPr>
          <w:p>
            <w:pPr>
              <w:spacing w:after="0"/>
              <w:rPr>
                <w:sz w:val="2"/>
                <w:szCs w:val="2"/>
                <w:color w:val="auto"/>
              </w:rPr>
            </w:pPr>
          </w:p>
        </w:tc>
        <w:tc>
          <w:tcPr>
            <w:tcW w:w="154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r>
      <w:tr>
        <w:trPr>
          <w:trHeight w:val="190"/>
        </w:trPr>
        <w:tc>
          <w:tcPr>
            <w:tcW w:w="3120" w:type="dxa"/>
            <w:vAlign w:val="bottom"/>
          </w:tcPr>
          <w:p>
            <w:pPr>
              <w:spacing w:after="0"/>
              <w:rPr>
                <w:sz w:val="16"/>
                <w:szCs w:val="16"/>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Maturity Date</w:t>
            </w:r>
          </w:p>
        </w:tc>
        <w:tc>
          <w:tcPr>
            <w:tcW w:w="2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Line Limit</w:t>
            </w:r>
          </w:p>
        </w:tc>
        <w:tc>
          <w:tcPr>
            <w:tcW w:w="15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Amounts Outstanding</w:t>
            </w:r>
          </w:p>
        </w:tc>
        <w:tc>
          <w:tcPr>
            <w:tcW w:w="1420" w:type="dxa"/>
            <w:vAlign w:val="bottom"/>
            <w:tcBorders>
              <w:top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Unused Portion</w:t>
            </w:r>
          </w:p>
        </w:tc>
        <w:tc>
          <w:tcPr>
            <w:tcW w:w="120" w:type="dxa"/>
            <w:vAlign w:val="bottom"/>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Amounts Outstanding</w:t>
            </w:r>
          </w:p>
        </w:tc>
      </w:tr>
      <w:tr>
        <w:trPr>
          <w:trHeight w:val="229"/>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Syndicated credit agreement:</w:t>
            </w: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August 2, 2027</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r>
      <w:tr>
        <w:trPr>
          <w:trHeight w:val="229"/>
        </w:trPr>
        <w:tc>
          <w:tcPr>
            <w:tcW w:w="3120" w:type="dxa"/>
            <w:vAlign w:val="bottom"/>
          </w:tcPr>
          <w:p>
            <w:pPr>
              <w:ind w:left="140"/>
              <w:spacing w:after="0"/>
              <w:rPr>
                <w:sz w:val="20"/>
                <w:szCs w:val="20"/>
                <w:color w:val="auto"/>
              </w:rPr>
            </w:pPr>
            <w:r>
              <w:rPr>
                <w:rFonts w:ascii="Arial" w:cs="Arial" w:eastAsia="Arial" w:hAnsi="Arial"/>
                <w:sz w:val="18"/>
                <w:szCs w:val="18"/>
                <w:color w:val="auto"/>
              </w:rPr>
              <w:t>SJW Group</w:t>
            </w:r>
          </w:p>
        </w:tc>
        <w:tc>
          <w:tcPr>
            <w:tcW w:w="23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SJWC</w:t>
            </w:r>
          </w:p>
        </w:tc>
        <w:tc>
          <w:tcPr>
            <w:tcW w:w="1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120" w:type="dxa"/>
            <w:vAlign w:val="bottom"/>
          </w:tcPr>
          <w:p>
            <w:pPr>
              <w:ind w:left="140"/>
              <w:spacing w:after="0"/>
              <w:rPr>
                <w:sz w:val="20"/>
                <w:szCs w:val="20"/>
                <w:color w:val="auto"/>
              </w:rPr>
            </w:pPr>
            <w:r>
              <w:rPr>
                <w:rFonts w:ascii="Arial" w:cs="Arial" w:eastAsia="Arial" w:hAnsi="Arial"/>
                <w:sz w:val="18"/>
                <w:szCs w:val="18"/>
                <w:color w:val="auto"/>
              </w:rPr>
              <w:t>CTWS</w:t>
            </w: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70,000</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SJWTX</w:t>
            </w:r>
          </w:p>
        </w:tc>
        <w:tc>
          <w:tcPr>
            <w:tcW w:w="1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Pr>
          <w:p>
            <w:pPr>
              <w:ind w:left="360"/>
              <w:spacing w:after="0"/>
              <w:rPr>
                <w:sz w:val="20"/>
                <w:szCs w:val="20"/>
                <w:color w:val="auto"/>
              </w:rPr>
            </w:pPr>
            <w:r>
              <w:rPr>
                <w:rFonts w:ascii="Arial" w:cs="Arial" w:eastAsia="Arial" w:hAnsi="Arial"/>
                <w:sz w:val="18"/>
                <w:szCs w:val="18"/>
                <w:color w:val="auto"/>
              </w:rPr>
              <w:t>Total syndicated credit agreement</w:t>
            </w: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115,000</w:t>
            </w:r>
          </w:p>
        </w:tc>
        <w:tc>
          <w:tcPr>
            <w:tcW w:w="12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185,000</w:t>
            </w:r>
          </w:p>
        </w:tc>
        <w:tc>
          <w:tcPr>
            <w:tcW w:w="12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CTWS credit agreement</w:t>
            </w:r>
          </w:p>
        </w:tc>
        <w:tc>
          <w:tcPr>
            <w:tcW w:w="2300" w:type="dxa"/>
            <w:vAlign w:val="bottom"/>
            <w:gridSpan w:val="3"/>
            <w:shd w:val="clear" w:color="auto" w:fill="CCEEFF"/>
          </w:tcPr>
          <w:p>
            <w:pPr>
              <w:jc w:val="center"/>
              <w:ind w:right="290"/>
              <w:spacing w:after="0"/>
              <w:rPr>
                <w:sz w:val="20"/>
                <w:szCs w:val="20"/>
                <w:color w:val="auto"/>
              </w:rPr>
            </w:pPr>
            <w:r>
              <w:rPr>
                <w:rFonts w:ascii="Arial" w:cs="Arial" w:eastAsia="Arial" w:hAnsi="Arial"/>
                <w:sz w:val="18"/>
                <w:szCs w:val="18"/>
                <w:color w:val="auto"/>
                <w:w w:val="88"/>
              </w:rPr>
              <w:t>December 14, 2023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22,996</w:t>
            </w: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CTWS credit agreement</w:t>
            </w:r>
          </w:p>
        </w:tc>
        <w:tc>
          <w:tcPr>
            <w:tcW w:w="2300" w:type="dxa"/>
            <w:vAlign w:val="bottom"/>
            <w:gridSpan w:val="3"/>
          </w:tcPr>
          <w:p>
            <w:pPr>
              <w:jc w:val="center"/>
              <w:ind w:right="290"/>
              <w:spacing w:after="0"/>
              <w:rPr>
                <w:sz w:val="20"/>
                <w:szCs w:val="20"/>
                <w:color w:val="auto"/>
              </w:rPr>
            </w:pPr>
            <w:r>
              <w:rPr>
                <w:rFonts w:ascii="Arial" w:cs="Arial" w:eastAsia="Arial" w:hAnsi="Arial"/>
                <w:sz w:val="18"/>
                <w:szCs w:val="18"/>
                <w:color w:val="auto"/>
                <w:w w:val="91"/>
              </w:rPr>
              <w:t>May 15, 2025</w:t>
            </w:r>
          </w:p>
        </w:tc>
        <w:tc>
          <w:tcPr>
            <w:tcW w:w="118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48"/>
        </w:trPr>
        <w:tc>
          <w:tcPr>
            <w:tcW w:w="312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62,996</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On August 2, 2022, SJW Group, SJWC, SJWTX, and CTWS entered into a $300,000 credit agreement (the “Credit Agreement”) with JPMorgan Chase Bank, N.A., as Administrative Agent (“JP Morgan”), Wells Fargo Bank, National Association, as Documentation Agent, and a syndicate of banks. Proceeds of borrowings under the Credit Agreement will be used for refinancing existing debt, working capital, and general corporate purposes. The Credit Agreement has a maturity date of August 2, 2027.</w:t>
      </w:r>
    </w:p>
    <w:p>
      <w:pPr>
        <w:spacing w:after="0" w:line="9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Under the terms of the Credit Agreement, each of SJW Group, SJWC, SJWTX, and CTWS is a borrower with several and not joint liability. Each borrower has an initial borrowing entitlement, or sublimit, which can be periodically adjusted from time to time as set forth in the Credit Agreement. The initial sublimit of each borrower is as presented in the table above.</w:t>
      </w:r>
    </w:p>
    <w:p>
      <w:pPr>
        <w:spacing w:after="0" w:line="7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Borrowings under the Credit Agreement bear interest at either the Alternative Base Rate (as defined in the Credit Agreement and hereinafter referred to as “ABR”) or Adjusted Term Secured Overnight Financing Rate (“SOFR”). ABR borrowings (which are borrowings bearing interest at a rate determined by reference to ABR) will bear interest at a rate per annum equal to ABR plus the applicable rate. SOFR borrowings (which are borrowings bearing interest at a rate determined by reference to SOFR) will bear interest at a rate per annum equal to SOFR plus the applicable rate. The applicable rate and pricing is variable depending on credit ratings of the borrower.</w:t>
      </w:r>
    </w:p>
    <w:p>
      <w:pPr>
        <w:spacing w:after="0" w:line="8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Credit Agreement contains customary representations, warranties and events of default, as well as certain restrictive covenants customary for facilities of this type, including restrictions on indebtedness, liens, asset sales, and fundamental changes. The Credit Agreement also includes a financial covenant that requires each of the borrowers to maintain its funded debt to capitalization ratio at or below 70%.</w:t>
      </w:r>
    </w:p>
    <w:p>
      <w:pPr>
        <w:spacing w:after="0" w:line="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Credit Agreement replaces the existing $140,000 credit agreement, dated April 23, 2021, between SJWC and JP Morgan and the existing $5,000 credit agreement, dated April 23, 2021, between SJWTX and JP Morgan, with SJW Group as guarantor, both of which were terminated upon entering into the Credit Agreement and were set to mature on December 31, 2023. In addition, on August 2, 2022, CTWS and Citizens Bank, National Association, entered into a fourth modification to the amended and restated revolving credit facility, dated December 18, 2019, as amended, pursuant to which the credit commitment was reduced from $75,000 to $10,000.</w:t>
      </w:r>
    </w:p>
    <w:p>
      <w:pPr>
        <w:spacing w:after="0" w:line="66" w:lineRule="exact"/>
        <w:rPr>
          <w:sz w:val="20"/>
          <w:szCs w:val="20"/>
          <w:color w:val="auto"/>
        </w:rPr>
      </w:pPr>
    </w:p>
    <w:p>
      <w:pPr>
        <w:ind w:right="520"/>
        <w:spacing w:after="0" w:line="324" w:lineRule="auto"/>
        <w:rPr>
          <w:sz w:val="20"/>
          <w:szCs w:val="20"/>
          <w:color w:val="auto"/>
        </w:rPr>
      </w:pPr>
      <w:r>
        <w:rPr>
          <w:rFonts w:ascii="Arial" w:cs="Arial" w:eastAsia="Arial" w:hAnsi="Arial"/>
          <w:sz w:val="16"/>
          <w:szCs w:val="16"/>
          <w:color w:val="auto"/>
        </w:rPr>
        <w:t>On October 31, 2022, CTWS and Citizens Bank, National Association, entered into a fifth modification to the amended and restated revolving credit facility to update the interest rate from London Interbank Offered Rate (“LIBOR”) plus the applicable rate to SOFR plus the applicable rate.</w:t>
      </w:r>
    </w:p>
    <w:p>
      <w:pPr>
        <w:spacing w:after="0" w:line="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February 6, 2023, CTWS modified its existing $40,000 credit agreement with CoBank to update the interest rate from LIBOR plus the applicable rate to SOFR plus the applicable rate.</w:t>
      </w:r>
    </w:p>
    <w:p>
      <w:pPr>
        <w:spacing w:after="0" w:line="62"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On February 6, 2023, CTWS entered into a third amendment to the amended and restated promissory note and supplement with CoBank to update the one of the stated terms regarding one of interest rate options from LIBOR plus the applicable rate to SOFR plus the applicable rate. CTWS previously locked the interest rate under this agreement such that this amendment has no impact.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Cost of borrowing on the lines of credit averaged 3.41% and 1.32% as of December 31, 2022 and 2021, respectively.</w:t>
      </w:r>
    </w:p>
    <w:p>
      <w:pPr>
        <w:spacing w:after="0" w:line="11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All of SJW Group’s and subsidiaries lines of credit contain customary representations, warranties and events of default, as well as certain restrictive covenants customary for facilities of this type, including restrictions on indebtedness, liens, acquisitions and investments, restricted payments, asset sales, and fundamental changes. All of the lines of credit also include certain customary financial covenants such as a funded debt to capitalization ratio and a minimum interest coverage ratio. As of December 31, 2022, SJW Group and its subsidiaries were in compliance with all covenants on their lines of credit.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Financing Arrangements</w:t>
      </w:r>
    </w:p>
    <w:p>
      <w:pPr>
        <w:spacing w:after="0" w:line="11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SJW Group and its subsidiaries long-term debt activities are for purposes of refinancing short-term borrowings, funding capital expenditures and working capital, and repayments of maturing long-term debt. The following table summarizes the long-term debt issuances and repayments for the year ended December 31, 2022:</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80" w:type="dxa"/>
            <w:vAlign w:val="bottom"/>
          </w:tcPr>
          <w:p>
            <w:pPr>
              <w:spacing w:after="0"/>
              <w:rPr>
                <w:sz w:val="16"/>
                <w:szCs w:val="16"/>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Issuance (Repayment)</w:t>
            </w:r>
          </w:p>
        </w:tc>
        <w:tc>
          <w:tcPr>
            <w:tcW w:w="10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Activity Date</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Maturity Date</w:t>
            </w:r>
          </w:p>
        </w:tc>
      </w:tr>
      <w:tr>
        <w:trPr>
          <w:trHeight w:val="26"/>
        </w:trPr>
        <w:tc>
          <w:tcPr>
            <w:tcW w:w="63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SJWC:</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29"/>
        </w:trPr>
        <w:tc>
          <w:tcPr>
            <w:tcW w:w="6380" w:type="dxa"/>
            <w:vAlign w:val="bottom"/>
          </w:tcPr>
          <w:p>
            <w:pPr>
              <w:ind w:left="140"/>
              <w:spacing w:after="0"/>
              <w:rPr>
                <w:sz w:val="20"/>
                <w:szCs w:val="20"/>
                <w:color w:val="auto"/>
              </w:rPr>
            </w:pPr>
            <w:r>
              <w:rPr>
                <w:rFonts w:ascii="Arial" w:cs="Arial" w:eastAsia="Arial" w:hAnsi="Arial"/>
                <w:sz w:val="18"/>
                <w:szCs w:val="18"/>
                <w:color w:val="auto"/>
              </w:rPr>
              <w:t>California Pollution Control Financing Authority Revenue Bonds, 5.10%</w:t>
            </w:r>
          </w:p>
        </w:tc>
        <w:tc>
          <w:tcPr>
            <w:tcW w:w="480" w:type="dxa"/>
            <w:vAlign w:val="bottom"/>
          </w:tcPr>
          <w:p>
            <w:pPr>
              <w:jc w:val="right"/>
              <w:ind w:right="296"/>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May 2022</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June 2040</w:t>
            </w:r>
          </w:p>
        </w:tc>
      </w:tr>
      <w:tr>
        <w:trPr>
          <w:trHeight w:val="230"/>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Senior note, Series A, 8.58%</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July 2022</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2022</w:t>
            </w: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color w:val="auto"/>
              </w:rPr>
              <w:t>CTWS:</w:t>
            </w: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Bank term loan, 4.09%</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6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2022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2027</w:t>
            </w:r>
          </w:p>
        </w:tc>
      </w:tr>
      <w:tr>
        <w:trPr>
          <w:trHeight w:val="230"/>
        </w:trPr>
        <w:tc>
          <w:tcPr>
            <w:tcW w:w="6380" w:type="dxa"/>
            <w:vAlign w:val="bottom"/>
          </w:tcPr>
          <w:p>
            <w:pPr>
              <w:ind w:left="140"/>
              <w:spacing w:after="0"/>
              <w:rPr>
                <w:sz w:val="20"/>
                <w:szCs w:val="20"/>
                <w:color w:val="auto"/>
              </w:rPr>
            </w:pPr>
            <w:r>
              <w:rPr>
                <w:rFonts w:ascii="Arial" w:cs="Arial" w:eastAsia="Arial" w:hAnsi="Arial"/>
                <w:sz w:val="18"/>
                <w:szCs w:val="18"/>
                <w:color w:val="auto"/>
              </w:rPr>
              <w:t>Bank term loan, 4.15%</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(585)</w:t>
            </w:r>
          </w:p>
        </w:tc>
        <w:tc>
          <w:tcPr>
            <w:tcW w:w="166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2022</w:t>
            </w:r>
          </w:p>
        </w:tc>
        <w:tc>
          <w:tcPr>
            <w:tcW w:w="1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August 2037</w:t>
            </w: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Connecticut Water:</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6380" w:type="dxa"/>
            <w:vAlign w:val="bottom"/>
          </w:tcPr>
          <w:p>
            <w:pPr>
              <w:ind w:left="140"/>
              <w:spacing w:after="0"/>
              <w:rPr>
                <w:sz w:val="20"/>
                <w:szCs w:val="20"/>
                <w:color w:val="auto"/>
              </w:rPr>
            </w:pPr>
            <w:r>
              <w:rPr>
                <w:rFonts w:ascii="Arial" w:cs="Arial" w:eastAsia="Arial" w:hAnsi="Arial"/>
                <w:sz w:val="18"/>
                <w:szCs w:val="18"/>
                <w:color w:val="auto"/>
              </w:rPr>
              <w:t>Bank term loan, 3.51%</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(14,795)</w:t>
            </w:r>
          </w:p>
        </w:tc>
        <w:tc>
          <w:tcPr>
            <w:tcW w:w="100" w:type="dxa"/>
            <w:vAlign w:val="bottom"/>
          </w:tcPr>
          <w:p>
            <w:pPr>
              <w:spacing w:after="0"/>
              <w:rPr>
                <w:sz w:val="19"/>
                <w:szCs w:val="19"/>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September 2022</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September 2022</w:t>
            </w:r>
          </w:p>
        </w:tc>
      </w:tr>
      <w:tr>
        <w:trPr>
          <w:trHeight w:val="229"/>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Senior note, Series 2022, 4.71%</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December 2022</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2052</w:t>
            </w: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color w:val="auto"/>
              </w:rPr>
              <w:t>SJWTX:</w:t>
            </w: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Bank term loan, 5.54%</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October 2022</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May 2052</w:t>
            </w: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color w:val="auto"/>
              </w:rPr>
              <w:t>Maine Water:</w:t>
            </w: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Bank term loan, 4.54%</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May 2022</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May 2042</w:t>
            </w:r>
          </w:p>
        </w:tc>
      </w:tr>
      <w:tr>
        <w:trPr>
          <w:trHeight w:val="230"/>
        </w:trPr>
        <w:tc>
          <w:tcPr>
            <w:tcW w:w="6380" w:type="dxa"/>
            <w:vAlign w:val="bottom"/>
          </w:tcPr>
          <w:p>
            <w:pPr>
              <w:ind w:left="140"/>
              <w:spacing w:after="0"/>
              <w:rPr>
                <w:sz w:val="20"/>
                <w:szCs w:val="20"/>
                <w:color w:val="auto"/>
              </w:rPr>
            </w:pPr>
            <w:r>
              <w:rPr>
                <w:rFonts w:ascii="Arial" w:cs="Arial" w:eastAsia="Arial" w:hAnsi="Arial"/>
                <w:sz w:val="18"/>
                <w:szCs w:val="18"/>
                <w:color w:val="auto"/>
              </w:rPr>
              <w:t>Senior Note, Series G, 8.95%</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9"/>
                <w:szCs w:val="19"/>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December 2022</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December 2024</w:t>
            </w:r>
          </w:p>
        </w:tc>
      </w:tr>
      <w:tr>
        <w:trPr>
          <w:trHeight w:val="229"/>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 revolving fund loans, various series, 0.00%-2.58%</w:t>
            </w: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16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2022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2022-2048</w:t>
            </w:r>
          </w:p>
        </w:tc>
      </w:tr>
      <w:tr>
        <w:trPr>
          <w:trHeight w:val="223"/>
        </w:trPr>
        <w:tc>
          <w:tcPr>
            <w:tcW w:w="6380" w:type="dxa"/>
            <w:vAlign w:val="bottom"/>
          </w:tcPr>
          <w:p>
            <w:pPr>
              <w:spacing w:after="0"/>
              <w:rPr>
                <w:sz w:val="19"/>
                <w:szCs w:val="19"/>
                <w:color w:val="auto"/>
              </w:rPr>
            </w:pPr>
          </w:p>
        </w:tc>
        <w:tc>
          <w:tcPr>
            <w:tcW w:w="48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(34,177)</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debt and credit agreements of SJW Group and its subsidiaries contain various financial and other covenants. Non-compliance with these covenants could result in accelerated due dates and termination of the agreements. In addition, the credit agreements contain customary representations and warranties and are subject to customary events of default, which may result in the outstanding debt becoming immediately due and payable. As of December 31, 2022, SJW Group and its subsidiaries were in compliance with all covenants related to its long-term debt agreements.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Financing Arrangements</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November 17, 2021, SJW Group entered into an equity distribution agreement (the “Equity Distribution Agreement”) with J.P. Morgan Securities LLC, Janney Montgomery Scott LLC, RBC Capital Markets, LLC and Wells Fargo Securities, LLC, pursuant to which the company may offer and sell shares of its common stock, $0.001 par value per share, from time to time in “at-the-market” offerings, having an aggregate gross sales price of up to $100,000. For the twelve months ended months ended December 31, 2022, SJW Group issued and sold a total of 529,736 shares of common stock with a weighted average price of $75.49 per share and received approximately $39,179 in net proceeds under the Equity Distribution Agreement. Since the inception of the Equity Distribution Agreement, SJW Group has issued and sold 884,851 shares of common stock with a weighted average price of $73.44 for a total net proceeds of $63,432 and has a remaining $35,012 under the Equity Distribution Agreement to issue into shares.</w:t>
      </w:r>
    </w:p>
    <w:p>
      <w:pPr>
        <w:spacing w:after="0" w:line="9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Off-Balance Sheet Arrangement/Contractual Obligations</w:t>
      </w:r>
    </w:p>
    <w:p>
      <w:pPr>
        <w:spacing w:after="0" w:line="12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SJW Group has no significant contractual obligations not fully recorded on its Consolidated Balance Sheet or not fully disclosed in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SJW Group’s contractual obligations and commitments as of December 31, 2022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4"/>
          </w:tcPr>
          <w:p>
            <w:pPr>
              <w:ind w:left="240"/>
              <w:spacing w:after="0"/>
              <w:rPr>
                <w:sz w:val="20"/>
                <w:szCs w:val="20"/>
                <w:color w:val="auto"/>
              </w:rPr>
            </w:pPr>
            <w:r>
              <w:rPr>
                <w:rFonts w:ascii="Arial" w:cs="Arial" w:eastAsia="Arial" w:hAnsi="Arial"/>
                <w:sz w:val="14"/>
                <w:szCs w:val="14"/>
                <w:b w:val="1"/>
                <w:bCs w:val="1"/>
                <w:color w:val="auto"/>
              </w:rPr>
              <w:t>Contractual Obligations Due in</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124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88"/>
              </w:rPr>
              <w:t>Less than</w:t>
            </w:r>
          </w:p>
        </w:tc>
        <w:tc>
          <w:tcPr>
            <w:tcW w:w="1140" w:type="dxa"/>
            <w:vAlign w:val="bottom"/>
          </w:tcPr>
          <w:p>
            <w:pPr>
              <w:jc w:val="right"/>
              <w:ind w:right="374"/>
              <w:spacing w:after="0" w:line="155" w:lineRule="exact"/>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3"/>
                <w:szCs w:val="13"/>
                <w:color w:val="auto"/>
              </w:rPr>
            </w:pPr>
          </w:p>
        </w:tc>
        <w:tc>
          <w:tcPr>
            <w:tcW w:w="1140" w:type="dxa"/>
            <w:vAlign w:val="bottom"/>
          </w:tcPr>
          <w:p>
            <w:pPr>
              <w:jc w:val="right"/>
              <w:ind w:right="373"/>
              <w:spacing w:after="0" w:line="155" w:lineRule="exact"/>
              <w:rPr>
                <w:sz w:val="20"/>
                <w:szCs w:val="20"/>
                <w:color w:val="auto"/>
              </w:rPr>
            </w:pPr>
            <w:r>
              <w:rPr>
                <w:rFonts w:ascii="Arial" w:cs="Arial" w:eastAsia="Arial" w:hAnsi="Arial"/>
                <w:sz w:val="14"/>
                <w:szCs w:val="14"/>
                <w:b w:val="1"/>
                <w:bCs w:val="1"/>
                <w:color w:val="auto"/>
              </w:rPr>
              <w:t>3-5</w:t>
            </w:r>
          </w:p>
        </w:tc>
        <w:tc>
          <w:tcPr>
            <w:tcW w:w="120" w:type="dxa"/>
            <w:vAlign w:val="bottom"/>
          </w:tcPr>
          <w:p>
            <w:pPr>
              <w:spacing w:after="0"/>
              <w:rPr>
                <w:sz w:val="13"/>
                <w:szCs w:val="13"/>
                <w:color w:val="auto"/>
              </w:rPr>
            </w:pPr>
          </w:p>
        </w:tc>
        <w:tc>
          <w:tcPr>
            <w:tcW w:w="1120" w:type="dxa"/>
            <w:vAlign w:val="bottom"/>
          </w:tcPr>
          <w:p>
            <w:pPr>
              <w:jc w:val="right"/>
              <w:ind w:right="313"/>
              <w:spacing w:after="0" w:line="155"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96"/>
        </w:trPr>
        <w:tc>
          <w:tcPr>
            <w:tcW w:w="5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1 Year</w:t>
            </w:r>
          </w:p>
        </w:tc>
        <w:tc>
          <w:tcPr>
            <w:tcW w:w="1240" w:type="dxa"/>
            <w:vAlign w:val="bottom"/>
            <w:gridSpan w:val="2"/>
          </w:tcPr>
          <w:p>
            <w:pPr>
              <w:ind w:left="400"/>
              <w:spacing w:after="0"/>
              <w:rPr>
                <w:sz w:val="20"/>
                <w:szCs w:val="20"/>
                <w:color w:val="auto"/>
              </w:rPr>
            </w:pPr>
            <w:r>
              <w:rPr>
                <w:rFonts w:ascii="Arial" w:cs="Arial" w:eastAsia="Arial" w:hAnsi="Arial"/>
                <w:sz w:val="14"/>
                <w:szCs w:val="14"/>
                <w:b w:val="1"/>
                <w:bCs w:val="1"/>
                <w:color w:val="auto"/>
              </w:rPr>
              <w:t>Years</w:t>
            </w:r>
          </w:p>
        </w:tc>
        <w:tc>
          <w:tcPr>
            <w:tcW w:w="1260" w:type="dxa"/>
            <w:vAlign w:val="bottom"/>
            <w:gridSpan w:val="2"/>
          </w:tcPr>
          <w:p>
            <w:pPr>
              <w:ind w:left="400"/>
              <w:spacing w:after="0"/>
              <w:rPr>
                <w:sz w:val="20"/>
                <w:szCs w:val="20"/>
                <w:color w:val="auto"/>
              </w:rPr>
            </w:pPr>
            <w:r>
              <w:rPr>
                <w:rFonts w:ascii="Arial" w:cs="Arial" w:eastAsia="Arial" w:hAnsi="Arial"/>
                <w:sz w:val="14"/>
                <w:szCs w:val="14"/>
                <w:b w:val="1"/>
                <w:bCs w:val="1"/>
                <w:color w:val="auto"/>
              </w:rPr>
              <w:t>Years</w:t>
            </w:r>
          </w:p>
        </w:tc>
        <w:tc>
          <w:tcPr>
            <w:tcW w:w="1120" w:type="dxa"/>
            <w:vAlign w:val="bottom"/>
          </w:tcPr>
          <w:p>
            <w:pPr>
              <w:jc w:val="right"/>
              <w:ind w:right="253"/>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29"/>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Water Utility Services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611,800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40,900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555,000</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Bank term loans, Water Utility Services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190,795</w:t>
            </w: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181,295</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Advances for construction, SJWC (1)</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62,889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47,370</w:t>
            </w:r>
          </w:p>
        </w:tc>
        <w:tc>
          <w:tcPr>
            <w:tcW w:w="0" w:type="dxa"/>
            <w:vAlign w:val="bottom"/>
          </w:tcPr>
          <w:p>
            <w:pPr>
              <w:spacing w:after="0"/>
              <w:rPr>
                <w:sz w:val="1"/>
                <w:szCs w:val="1"/>
                <w:color w:val="auto"/>
              </w:rPr>
            </w:pPr>
          </w:p>
        </w:tc>
      </w:tr>
      <w:tr>
        <w:trPr>
          <w:trHeight w:val="176"/>
        </w:trPr>
        <w:tc>
          <w:tcPr>
            <w:tcW w:w="5080" w:type="dxa"/>
            <w:vAlign w:val="bottom"/>
          </w:tcPr>
          <w:p>
            <w:pPr>
              <w:ind w:left="20"/>
              <w:spacing w:after="0" w:line="176" w:lineRule="exact"/>
              <w:rPr>
                <w:sz w:val="20"/>
                <w:szCs w:val="20"/>
                <w:color w:val="auto"/>
              </w:rPr>
            </w:pPr>
            <w:r>
              <w:rPr>
                <w:rFonts w:ascii="Arial" w:cs="Arial" w:eastAsia="Arial" w:hAnsi="Arial"/>
                <w:sz w:val="18"/>
                <w:szCs w:val="18"/>
                <w:color w:val="auto"/>
              </w:rPr>
              <w:t>California Pollution Control Financing Authority Revenue Bond,</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SJWC</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Connecticut Innovations Revenue Bonds, Connecticut Water</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22,050</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22,050</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State revolving fund loans, Maine Water</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15,699</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2,994</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2,234</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8,999</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SJW Group</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560,000</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560,000</w:t>
            </w:r>
          </w:p>
        </w:tc>
        <w:tc>
          <w:tcPr>
            <w:tcW w:w="0" w:type="dxa"/>
            <w:vAlign w:val="bottom"/>
          </w:tcPr>
          <w:p>
            <w:pPr>
              <w:spacing w:after="0"/>
              <w:rPr>
                <w:sz w:val="1"/>
                <w:szCs w:val="1"/>
                <w:color w:val="auto"/>
              </w:rPr>
            </w:pPr>
          </w:p>
        </w:tc>
      </w:tr>
      <w:tr>
        <w:trPr>
          <w:trHeight w:val="229"/>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Bank term loans, CTWS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18,444</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4,236</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3,368</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8,852</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contractual cash obligation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1,551,677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59,097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1,453,566</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Total interest on contractual obligations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8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900,018</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58,765</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111,117</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107,431</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622,705</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17" w:lineRule="exact"/>
        <w:rPr>
          <w:sz w:val="20"/>
          <w:szCs w:val="20"/>
          <w:color w:val="auto"/>
        </w:rPr>
      </w:pPr>
    </w:p>
    <w:p>
      <w:pPr>
        <w:ind w:left="660" w:right="160" w:hanging="652"/>
        <w:spacing w:after="0" w:line="275" w:lineRule="auto"/>
        <w:tabs>
          <w:tab w:leader="none" w:pos="352" w:val="left"/>
        </w:tabs>
        <w:numPr>
          <w:ilvl w:val="0"/>
          <w:numId w:val="17"/>
        </w:numPr>
        <w:rPr>
          <w:rFonts w:ascii="Arial" w:cs="Arial" w:eastAsia="Arial" w:hAnsi="Arial"/>
          <w:sz w:val="14"/>
          <w:szCs w:val="14"/>
          <w:color w:val="auto"/>
        </w:rPr>
      </w:pPr>
      <w:r>
        <w:rPr>
          <w:rFonts w:ascii="Arial" w:cs="Arial" w:eastAsia="Arial" w:hAnsi="Arial"/>
          <w:sz w:val="14"/>
          <w:szCs w:val="14"/>
          <w:color w:val="auto"/>
        </w:rPr>
        <w:t>As of December 31, 2022, advances for construction was $137,696 of which $46,380 was related to non-refundable advances for construction and $28,427 was related to advances which are refundable based on service connections made.</w:t>
      </w:r>
    </w:p>
    <w:p>
      <w:pPr>
        <w:spacing w:after="0" w:line="8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 xml:space="preserve">In regards to uncertain tax positions, we are unable to predict the timing of tax settlements as tax audits can involve complex issues and the resolution of those issues may span multiple years, particularly if subject to negotiation or litigation. For further discussion on uncertain tax positions, please see </w:t>
      </w:r>
      <w:r>
        <w:rPr>
          <w:rFonts w:ascii="Arial" w:cs="Arial" w:eastAsia="Arial" w:hAnsi="Arial"/>
          <w:sz w:val="18"/>
          <w:szCs w:val="18"/>
          <w:u w:val="single" w:color="auto"/>
          <w:color w:val="0000FF"/>
        </w:rPr>
        <w:t>Note 7</w:t>
      </w:r>
      <w:r>
        <w:rPr>
          <w:rFonts w:ascii="Arial" w:cs="Arial" w:eastAsia="Arial" w:hAnsi="Arial"/>
          <w:sz w:val="18"/>
          <w:szCs w:val="18"/>
          <w:color w:val="auto"/>
        </w:rPr>
        <w:t xml:space="preserve"> of “Notes to Consolidated Financial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Water Supply Agreements</w:t>
      </w:r>
    </w:p>
    <w:p>
      <w:pPr>
        <w:spacing w:after="0" w:line="117" w:lineRule="exact"/>
        <w:rPr>
          <w:sz w:val="20"/>
          <w:szCs w:val="20"/>
          <w:color w:val="auto"/>
        </w:rPr>
      </w:pPr>
    </w:p>
    <w:p>
      <w:pPr>
        <w:ind w:right="580"/>
        <w:spacing w:after="0" w:line="287" w:lineRule="auto"/>
        <w:rPr>
          <w:sz w:val="20"/>
          <w:szCs w:val="20"/>
          <w:color w:val="auto"/>
        </w:rPr>
      </w:pPr>
      <w:r>
        <w:rPr>
          <w:rFonts w:ascii="Arial" w:cs="Arial" w:eastAsia="Arial" w:hAnsi="Arial"/>
          <w:sz w:val="16"/>
          <w:szCs w:val="16"/>
          <w:color w:val="auto"/>
        </w:rPr>
        <w:t>SJWC purchases water from Valley Water under terms of a master contract expiring in 2051. Delivery schedules for purchased water are based on a contract year beginning July 1, and are negotiated every three years under terms of the master contract with Valley Water. For the years ended December 31, 2022, 2021 and 2020, SJWC purchased from Valley Water 18,183 million gallons ($96,793), 19,365 million gallons ($91,938) and</w:t>
      </w:r>
    </w:p>
    <w:p>
      <w:pPr>
        <w:spacing w:after="0" w:line="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21,269 million gallons ($96,212), respectively, of contract water. On June 16, 2022, Valley Water Board of Directors approved treated water deliveries reflecting the contractual delivery schedule reduced by 23% through June 30, 2023. Based on current prices and estimated deliveries, SJWC is committed to purchase from Valley Water a minimum of 90% of the reduced delivery schedule, or 18,864 million gallons ($106,463) of water at the current contract water rate of $5.6 per million gallons in the year ending December 31, 2023. Additionally, SJWC purchases non-contract water from Valley Water on an “as needed” basis if the water supply is available. The contract water rates for SJWC are determined by Valley Water. These rates are adjusted periodically and coincide with Valley Water’s fiscal year, which ends on June 30. The contract water rate for Valley Water’s fiscal years 2023, 2022 and 2021 was $5.6, $5.0 and $4.5 per million gallons, respectively. The contractual cost of the groundwater extraction charge for water pumped from the ground basin was $5.3, $4.6 and $4.2 per million gallons for Valley Water’s fiscal years 2023, 2022 and 2021, respectively.</w:t>
      </w:r>
    </w:p>
    <w:p>
      <w:pPr>
        <w:spacing w:after="0" w:line="6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SJWC also pumps water from the local groundwater basin. There are no delivery schedules or contractual obligations associated with the purchase of groundwater. Valley Water determines the groundwater extraction charge and it is applied on a per unit basis. In addition to the Valley Water groundwater extraction charge, SJWC also incurs power costs to pump the groundwater from the basin.</w:t>
      </w:r>
    </w:p>
    <w:p>
      <w:pPr>
        <w:spacing w:after="0" w:line="7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Connecticut Water has an agreement with the RWA to purchase water. The agreement was signed in April 2006 and became effective upon the receipt of all regulatory approvals in 2008 and will remain in effect for a minimum of fifty years upon becoming effective. Connecticut Water will pay RWA $75 per year as part of a capacity agreement, for a total of 14 years, starting on the effective date of the agreement. In addition, Connecticut Water has the option, but is under no obligation, to purchase up to one million gallons of water per day at the then current wholesale rates per the agreement ($2.6 per million gallons as of December 31, 2022). Connecticut Water has an agreement with the MDC to purchase water from MDC to serve the Unionville system. The agreement became effective on October 6, 2000 and has a term of fifty years beginning May 19, 2003, the date the water supply facilities related to the agreement were placed in service. Connecticut Water has agreed to purchase 283 million gallons of water annually from MDC. The rate charged by the MDC at December 31, 2022 were $4.09 per hundred cubic feet.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44" w:name="page45"/>
    <w:bookmarkEnd w:id="44"/>
    <w:p>
      <w:pPr>
        <w:ind w:right="40"/>
        <w:spacing w:after="0" w:line="261" w:lineRule="auto"/>
        <w:rPr>
          <w:sz w:val="20"/>
          <w:szCs w:val="20"/>
          <w:color w:val="auto"/>
        </w:rPr>
      </w:pPr>
      <w:r>
        <w:rPr>
          <w:rFonts w:ascii="Arial" w:cs="Arial" w:eastAsia="Arial" w:hAnsi="Arial"/>
          <w:sz w:val="18"/>
          <w:szCs w:val="18"/>
          <w:color w:val="auto"/>
        </w:rPr>
        <w:t>Maine Water has an agreement with the Kennebec Water District for potable water service. The agreement has been in place for 20 years and was extended on November 7, 2020 for a new term of up to 20 years. Maine Water guarantees a minimum consumption of 50 million gallons of water annually. Water sales to Maine Water are billed at a wholesale discount of $0.20 per hundred cubic feet of water below Kennebec Water District's tariffed rates. The current tariff rate wa</w:t>
      </w:r>
      <w:r>
        <w:rPr>
          <w:rFonts w:ascii="Arial" w:cs="Arial" w:eastAsia="Arial" w:hAnsi="Arial"/>
          <w:sz w:val="19"/>
          <w:szCs w:val="19"/>
          <w:color w:val="auto"/>
        </w:rPr>
        <w:t>s</w:t>
      </w:r>
      <w:r>
        <w:rPr>
          <w:rFonts w:ascii="Arial" w:cs="Arial" w:eastAsia="Arial" w:hAnsi="Arial"/>
          <w:sz w:val="18"/>
          <w:szCs w:val="18"/>
          <w:color w:val="auto"/>
        </w:rPr>
        <w:t xml:space="preserve"> $1.51 per hundred cubic feet as of December 31, 2022.</w:t>
      </w:r>
    </w:p>
    <w:p>
      <w:pPr>
        <w:spacing w:after="0" w:line="8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SJWTX has long-term contracts with the GBRA. The agreements expire in 2037, 2040, 2044 and 2050. The agreements, which are take-or-pay contracts, provide SJWTX with 7,650 acre-feet per year of water supply from Canyon Lake. The water rate may be adjusted by GBRA at any time, provided GBRA gives SJWTX a 60-day written notice on the proposed adjustment. SJWTX also has raw water supply agreements with the LCRA and WTPUA expiring in 2059 and 2046, respectively, for 350 acre-feet of water per each agreement per year from Lake Austin and the Colorado River, respectively, at prices that may be adjusted periodically by the agencies.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Benefit Arrangements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SJWC and CTWS sponsor noncontributory defined benefit pension plans and provide health care and life insurance benefits for retired employees. In 2022, SJWC and CTWS contributed $11,712 and $626 to the pension plans and other postretirement benefit plans, respectively. In 2023, SJWC and CTWS expect to make required and discretionary cash contributions of up to $9,115 to the pension plans and other postretirement benefit plans. The amount of required contributions for years thereafter is not actuarially determinable.</w:t>
      </w:r>
    </w:p>
    <w:p>
      <w:pPr>
        <w:spacing w:after="0" w:line="7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SJWC’s other benefit obligations include employees’ and directors’ postretirement benefits, an Executive Supplemental Retirement Plan, Cash Balance Executive Supplemental Retirement Plan, Special Deferral Election Plan and Deferral Election Program for non-employee directors. Under these benefit plans, SJWC is committed to pay approximately $1,750 annually to former officers and directors. Future payments may fluctuate depending on the life span of the retirees and as current officers and executives retire.</w:t>
      </w:r>
    </w:p>
    <w:p>
      <w:pPr>
        <w:spacing w:after="0" w:line="7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CTWS’s other benefit obligations include employees’ postretirement benefits, supplemental executive retirement agreements and deferred compensation agreements and plan. Future payments may fluctuate depending on the contribution rates of employees into the deferred compensation plan and the life span of the retirees and as current officers and executives retire. Under these benefit plans, CTWS is committed to pay approximately $1,334 annually to former officers and directors.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Recently Adopted Accounting Policies and New Accounting Pronouncements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of “Notes to Consolidated Financial Statements” for a discussion of recently adopted accounting policies and new accounting pronouncements for the year ended December 31, 2022.</w:t>
      </w:r>
    </w:p>
    <w:p>
      <w:pPr>
        <w:spacing w:after="0" w:line="30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4"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SJW Group is subject to market risks in the normal course of business, including changes in interest rates, pension plan asset values, and equity prices. The exposure to changes in interest rates can result from the issuance of debt and short-term funds obtained through the company’s variable rate lines of credit. SJWC and Connecticut Water sponsor noncontributory pension plans for its employees. Pension costs and the funded status of the plans are affected by a number of factors including the discount rate, mortality rates of plan participants, investment returns on plan assets, and pension reform legislation.</w:t>
      </w:r>
    </w:p>
    <w:p>
      <w:pPr>
        <w:spacing w:after="0" w:line="9"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SJW Group has no derivative financial instruments, financial instruments with significant off-balance sheet risks, or financial instruments with concentrations of credit risk.</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45" w:name="page46"/>
    <w:bookmarkEnd w:id="45"/>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SJW Group</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121"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 xml:space="preserve">We have audited the accompanying consolidated balance sheets of SJW Group and subsidiaries (the “Company”) as of December 31, 2022 and 2021, the related consolidated statements of comprehensive income, changes in stockholders’ equity, and cash flows, for each of the three years in the period ended December 31, 2022, and the related notes and the schedules listed in the Index at Item 15 (collectively referred to as the “financial statements”). We also have audited the Company’s internal control over financial reporting as of December 31, 2022, based 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(2013) </w:t>
      </w:r>
      <w:r>
        <w:rPr>
          <w:rFonts w:ascii="Arial" w:cs="Arial" w:eastAsia="Arial" w:hAnsi="Arial"/>
          <w:sz w:val="16"/>
          <w:szCs w:val="16"/>
          <w:color w:val="auto"/>
        </w:rPr>
        <w:t>issued by the Committee of Sponsoring Organizations of the Treadway Commission (COSO).</w:t>
      </w:r>
    </w:p>
    <w:p>
      <w:pPr>
        <w:spacing w:after="0" w:line="5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In our opinion, the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7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46" w:name="page47"/>
    <w:bookmarkEnd w:id="46"/>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76" w:lineRule="exact"/>
        <w:rPr>
          <w:sz w:val="20"/>
          <w:szCs w:val="20"/>
          <w:color w:val="auto"/>
        </w:rPr>
      </w:pPr>
    </w:p>
    <w:p>
      <w:pPr>
        <w:ind w:right="3500"/>
        <w:spacing w:after="0" w:line="377" w:lineRule="auto"/>
        <w:rPr>
          <w:sz w:val="20"/>
          <w:szCs w:val="20"/>
          <w:color w:val="auto"/>
        </w:rPr>
      </w:pPr>
      <w:r>
        <w:rPr>
          <w:rFonts w:ascii="Arial" w:cs="Arial" w:eastAsia="Arial" w:hAnsi="Arial"/>
          <w:sz w:val="18"/>
          <w:szCs w:val="18"/>
          <w:b w:val="1"/>
          <w:bCs w:val="1"/>
          <w:color w:val="auto"/>
        </w:rPr>
        <w:t xml:space="preserve">Impact of Rate Regulation on the Financial Statements — Refer to Note 3 to the financial statements </w:t>
      </w:r>
      <w:r>
        <w:rPr>
          <w:rFonts w:ascii="Arial" w:cs="Arial" w:eastAsia="Arial" w:hAnsi="Arial"/>
          <w:sz w:val="18"/>
          <w:szCs w:val="18"/>
          <w:i w:val="1"/>
          <w:iCs w:val="1"/>
          <w:color w:val="auto"/>
        </w:rPr>
        <w:t>Critical Audit Matter Description</w:t>
      </w:r>
    </w:p>
    <w:p>
      <w:pPr>
        <w:spacing w:after="0" w:line="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is subject to rate regulation by state utility regulatory agencies (the “Commissions”), which have jurisdiction with respect to the rates of the Company’s water and wastewater services. Management has determined it meets the requirements under accounting principles generally accepted in the United States of America to prepare its financial statements applying the specialized rules to account for the effects of cost-based rate regulation. Accounting for the economics of rate regulation impacts multiple financial statement line items and disclosures, such as depreciable utility plant; regulatory assets and liabilities; operating revenues; operation and maintenance expense; and depreciation expense.</w:t>
      </w:r>
    </w:p>
    <w:p>
      <w:pPr>
        <w:spacing w:after="0" w:line="6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Commissions establish rates for the purpose of permitting the recovery of the cost of service and a return on investment. The Company’s rates are subject to regulatory ratemaking processes. The Company records deferred costs and credits on the balance sheet as regulatory assets and liabilities when it is probable that these costs and credits will be recognized in the ratemaking process in a period different from when the costs and credits are incurred. Accounting for such costs and credits is based on management’s judgment and prior historical ratemaking practices, and it occurs when management determines that it is probable that these costs and credits will be recognized in the future revenue of the Company through the ratemaking process.</w:t>
      </w:r>
    </w:p>
    <w:p>
      <w:pPr>
        <w:spacing w:after="0" w:line="53"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We identified the impact of rate regulation as a critical audit matter due to the significant judgments that underlie the Company’s financial statement line items and disclosure impacted by rate regulation and the high degree of subjectivity involved in assessing the impact of regulatory decisions on the financial statements. Management judgments include assessing the probability of (1) recovery in future rates of incurred costs and (2) the requirement to refund amounts to customers. Given that management’s accounting judgements are based on consideration of evidence, such as regulatory rules and decisions, past practice, and other facts and circumstances, and uncertain outcome of future regulatory decisions, auditing these judgements required specialized knowledge of accounting for rate regulation and the rate setting process due its inherent complexities and pervasive impact on the financial statements.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audit procedures related to the consideration of evidence, such as regulatory rules and decisions, past practices, and other facts and circumstances, and the uncertain outcome of future regulatory decisions, that may impact the Company’s financial statement line items and disclosures impacted by rate regulation included the following, among others:</w:t>
      </w:r>
    </w:p>
    <w:p>
      <w:pPr>
        <w:spacing w:after="0" w:line="76" w:lineRule="exact"/>
        <w:rPr>
          <w:sz w:val="20"/>
          <w:szCs w:val="20"/>
          <w:color w:val="auto"/>
        </w:rPr>
      </w:pPr>
    </w:p>
    <w:p>
      <w:pPr>
        <w:ind w:left="660" w:right="60" w:hanging="328"/>
        <w:spacing w:after="0" w:line="25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tested the effectiveness of management’s controls over the initial recognition of amounts as utility plant and regulatory assets or liabilities and the evaluation of the probability of (1) the recovery in future rates of costs incurred as utility plant and deferred as regulatory assets, and (2) a refund or a future reduction in rates that should be reported as regulatory liabilities. We also tested the effectiveness of management’s controls over the monitoring and evaluation of regulatory developments that may affect the probability of recovering costs in future rates or of a future reduction in rates.</w:t>
      </w:r>
    </w:p>
    <w:p>
      <w:pPr>
        <w:spacing w:after="0" w:line="79" w:lineRule="exact"/>
        <w:rPr>
          <w:rFonts w:ascii="Arial" w:cs="Arial" w:eastAsia="Arial" w:hAnsi="Arial"/>
          <w:sz w:val="18"/>
          <w:szCs w:val="18"/>
          <w:color w:val="auto"/>
        </w:rPr>
      </w:pPr>
    </w:p>
    <w:p>
      <w:pPr>
        <w:ind w:left="660" w:hanging="328"/>
        <w:spacing w:after="0" w:line="286"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read regulatory orders issued by the Commissions to the Company, regulatory statutes, interpretations, procedural memorandums, filings made by interveners, and other publicly available information to evaluate management’s determination of the accounting impacts of any new or revised regulatory decisions and their impact on measurement of related regulatory assets and liabilities.</w:t>
      </w:r>
    </w:p>
    <w:p>
      <w:pPr>
        <w:spacing w:after="0" w:line="57" w:lineRule="exact"/>
        <w:rPr>
          <w:rFonts w:ascii="Arial" w:cs="Arial" w:eastAsia="Arial" w:hAnsi="Arial"/>
          <w:sz w:val="17"/>
          <w:szCs w:val="17"/>
          <w:color w:val="auto"/>
        </w:rPr>
      </w:pPr>
    </w:p>
    <w:p>
      <w:pPr>
        <w:ind w:left="660" w:right="60" w:hanging="328"/>
        <w:spacing w:after="0" w:line="259"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obtained supporting documentation from management regarding the evidence, such as regulatory rules and decisions, past practices, and other facts and circumstances, used in the measurement of regulatory assets and liabilities for compliance with the related orders. We reconciled the underlying data or inputs used in the measurement to rate decisions approved by the Commissions and tested the mathematical accuracy of the calculations.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47" w:name="page48"/>
    <w:bookmarkEnd w:id="47"/>
    <w:p>
      <w:pPr>
        <w:ind w:left="660" w:right="120" w:hanging="328"/>
        <w:spacing w:after="0" w:line="26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obtained an analysis from management regarding probability of recovery for regulatory assets or refund or future reduction in rates for regulatory liabilities not yet addressed in a regulatory order to assess management’s assertion that amounts are probable of recovery or a future reduction in rates.</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evaluated the Company’s disclosures related to the impacts of rate regulation, including the balances recorded, and regulatory developments, were appropriate and consistent with the information obtained in our procedures.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24" w:right="51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3"/>
          </w:tcPr>
          <w:p>
            <w:pPr>
              <w:ind w:left="80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Pr>
          <w:p>
            <w:pPr>
              <w:spacing w:after="0"/>
              <w:rPr>
                <w:sz w:val="16"/>
                <w:szCs w:val="16"/>
                <w:color w:val="auto"/>
              </w:rPr>
            </w:pPr>
          </w:p>
        </w:tc>
      </w:tr>
      <w:tr>
        <w:trPr>
          <w:trHeight w:val="26"/>
        </w:trPr>
        <w:tc>
          <w:tcPr>
            <w:tcW w:w="8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0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Utility plant:</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Land</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39,004</w:t>
            </w:r>
          </w:p>
        </w:tc>
      </w:tr>
      <w:tr>
        <w:trPr>
          <w:trHeight w:val="229"/>
        </w:trPr>
        <w:tc>
          <w:tcPr>
            <w:tcW w:w="8060" w:type="dxa"/>
            <w:vAlign w:val="bottom"/>
          </w:tcPr>
          <w:p>
            <w:pPr>
              <w:ind w:left="140"/>
              <w:spacing w:after="0"/>
              <w:rPr>
                <w:sz w:val="20"/>
                <w:szCs w:val="20"/>
                <w:color w:val="auto"/>
              </w:rPr>
            </w:pPr>
            <w:r>
              <w:rPr>
                <w:rFonts w:ascii="Arial" w:cs="Arial" w:eastAsia="Arial" w:hAnsi="Arial"/>
                <w:sz w:val="18"/>
                <w:szCs w:val="18"/>
                <w:color w:val="auto"/>
              </w:rPr>
              <w:t>Depreciable plant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3,661,285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3,381,908</w:t>
            </w:r>
          </w:p>
        </w:tc>
      </w:tr>
      <w:tr>
        <w:trPr>
          <w:trHeight w:val="230"/>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Construction in progress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116,851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176,427</w:t>
            </w:r>
          </w:p>
        </w:tc>
      </w:tr>
      <w:tr>
        <w:trPr>
          <w:trHeight w:val="229"/>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Intangible assets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35,959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36,276</w:t>
            </w:r>
          </w:p>
        </w:tc>
      </w:tr>
      <w:tr>
        <w:trPr>
          <w:trHeight w:val="223"/>
        </w:trPr>
        <w:tc>
          <w:tcPr>
            <w:tcW w:w="8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3,854,077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3,633,615</w:t>
            </w:r>
          </w:p>
        </w:tc>
      </w:tr>
      <w:tr>
        <w:trPr>
          <w:trHeight w:val="230"/>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1,223,760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1,136,116</w:t>
            </w:r>
          </w:p>
        </w:tc>
      </w:tr>
      <w:tr>
        <w:trPr>
          <w:trHeight w:val="223"/>
        </w:trPr>
        <w:tc>
          <w:tcPr>
            <w:tcW w:w="80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2,630,317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2,497,499</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Real estate investments and nonutility properties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58,033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57,632</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15,951</w:t>
            </w:r>
          </w:p>
        </w:tc>
      </w:tr>
      <w:tr>
        <w:trPr>
          <w:trHeight w:val="223"/>
        </w:trPr>
        <w:tc>
          <w:tcPr>
            <w:tcW w:w="80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40,875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41,681</w:t>
            </w: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06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10,908</w:t>
            </w:r>
          </w:p>
        </w:tc>
      </w:tr>
      <w:tr>
        <w:trPr>
          <w:trHeight w:val="229"/>
        </w:trPr>
        <w:tc>
          <w:tcPr>
            <w:tcW w:w="806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19"/>
                <w:szCs w:val="19"/>
                <w:color w:val="auto"/>
              </w:rPr>
            </w:pP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1,211</w:t>
            </w:r>
          </w:p>
        </w:tc>
      </w:tr>
      <w:tr>
        <w:trPr>
          <w:trHeight w:val="230"/>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75"/>
        </w:trPr>
        <w:tc>
          <w:tcPr>
            <w:tcW w:w="8060" w:type="dxa"/>
            <w:vAlign w:val="bottom"/>
          </w:tcPr>
          <w:p>
            <w:pPr>
              <w:ind w:left="360"/>
              <w:spacing w:after="0" w:line="176" w:lineRule="exact"/>
              <w:rPr>
                <w:sz w:val="20"/>
                <w:szCs w:val="20"/>
                <w:color w:val="auto"/>
              </w:rPr>
            </w:pPr>
            <w:r>
              <w:rPr>
                <w:rFonts w:ascii="Arial" w:cs="Arial" w:eastAsia="Arial" w:hAnsi="Arial"/>
                <w:sz w:val="18"/>
                <w:szCs w:val="18"/>
                <w:color w:val="auto"/>
              </w:rPr>
              <w:t>Customers, net of allowances for uncollectible accounts of $5,753 and $4,600 in 2022 and 2021,</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3"/>
        </w:trPr>
        <w:tc>
          <w:tcPr>
            <w:tcW w:w="8060" w:type="dxa"/>
            <w:vAlign w:val="bottom"/>
          </w:tcPr>
          <w:p>
            <w:pPr>
              <w:ind w:left="360"/>
              <w:spacing w:after="0"/>
              <w:rPr>
                <w:sz w:val="20"/>
                <w:szCs w:val="20"/>
                <w:color w:val="auto"/>
              </w:rPr>
            </w:pPr>
            <w:r>
              <w:rPr>
                <w:rFonts w:ascii="Arial" w:cs="Arial" w:eastAsia="Arial" w:hAnsi="Arial"/>
                <w:sz w:val="18"/>
                <w:szCs w:val="18"/>
                <w:color w:val="auto"/>
              </w:rPr>
              <w:t>respectively</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59,172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53,699</w:t>
            </w: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w:t>
            </w:r>
          </w:p>
        </w:tc>
        <w:tc>
          <w:tcPr>
            <w:tcW w:w="36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w:t>
            </w: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4,735</w:t>
            </w:r>
          </w:p>
        </w:tc>
      </w:tr>
      <w:tr>
        <w:trPr>
          <w:trHeight w:val="229"/>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unbilled utility revenue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44,026</w:t>
            </w:r>
          </w:p>
        </w:tc>
      </w:tr>
      <w:tr>
        <w:trPr>
          <w:trHeight w:val="230"/>
        </w:trPr>
        <w:tc>
          <w:tcPr>
            <w:tcW w:w="8060" w:type="dxa"/>
            <w:vAlign w:val="bottom"/>
          </w:tcPr>
          <w:p>
            <w:pPr>
              <w:ind w:left="140"/>
              <w:spacing w:after="0"/>
              <w:rPr>
                <w:sz w:val="20"/>
                <w:szCs w:val="20"/>
                <w:color w:val="auto"/>
              </w:rPr>
            </w:pPr>
            <w:r>
              <w:rPr>
                <w:rFonts w:ascii="Arial" w:cs="Arial" w:eastAsia="Arial" w:hAnsi="Arial"/>
                <w:sz w:val="18"/>
                <w:szCs w:val="18"/>
                <w:color w:val="auto"/>
              </w:rPr>
              <w:t>Current regulatory assets,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16,068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2,629</w:t>
            </w:r>
          </w:p>
        </w:tc>
      </w:tr>
      <w:tr>
        <w:trPr>
          <w:trHeight w:val="230"/>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9,667</w:t>
            </w:r>
          </w:p>
        </w:tc>
      </w:tr>
      <w:tr>
        <w:trPr>
          <w:trHeight w:val="230"/>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4,902</w:t>
            </w:r>
          </w:p>
        </w:tc>
      </w:tr>
      <w:tr>
        <w:trPr>
          <w:trHeight w:val="223"/>
        </w:trPr>
        <w:tc>
          <w:tcPr>
            <w:tcW w:w="8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134,085</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Other assets: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regulatory assets, less current portion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127,275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151,992</w:t>
            </w:r>
          </w:p>
        </w:tc>
      </w:tr>
      <w:tr>
        <w:trPr>
          <w:trHeight w:val="230"/>
        </w:trPr>
        <w:tc>
          <w:tcPr>
            <w:tcW w:w="8060" w:type="dxa"/>
            <w:vAlign w:val="bottom"/>
          </w:tcPr>
          <w:p>
            <w:pPr>
              <w:ind w:left="140"/>
              <w:spacing w:after="0"/>
              <w:rPr>
                <w:sz w:val="20"/>
                <w:szCs w:val="20"/>
                <w:color w:val="auto"/>
              </w:rPr>
            </w:pPr>
            <w:r>
              <w:rPr>
                <w:rFonts w:ascii="Arial" w:cs="Arial" w:eastAsia="Arial" w:hAnsi="Arial"/>
                <w:sz w:val="18"/>
                <w:szCs w:val="18"/>
                <w:color w:val="auto"/>
              </w:rPr>
              <w:t>Investments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14,819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15,784</w:t>
            </w:r>
          </w:p>
        </w:tc>
      </w:tr>
      <w:tr>
        <w:trPr>
          <w:trHeight w:val="230"/>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640,311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640,471</w:t>
            </w:r>
          </w:p>
        </w:tc>
      </w:tr>
      <w:tr>
        <w:trPr>
          <w:trHeight w:val="230"/>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24,313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10,883</w:t>
            </w:r>
          </w:p>
        </w:tc>
      </w:tr>
      <w:tr>
        <w:trPr>
          <w:trHeight w:val="223"/>
        </w:trPr>
        <w:tc>
          <w:tcPr>
            <w:tcW w:w="80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806,718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819,130</w:t>
            </w:r>
          </w:p>
        </w:tc>
      </w:tr>
      <w:tr>
        <w:trPr>
          <w:trHeight w:val="223"/>
        </w:trPr>
        <w:tc>
          <w:tcPr>
            <w:tcW w:w="80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3,632,624</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3,492,395</w:t>
            </w:r>
          </w:p>
        </w:tc>
      </w:tr>
      <w:tr>
        <w:trPr>
          <w:trHeight w:val="20"/>
        </w:trPr>
        <w:tc>
          <w:tcPr>
            <w:tcW w:w="8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20"/>
          </w:cols>
          <w:pgMar w:left="320" w:top="101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type w:val="continuous"/>
        </w:sectPr>
      </w:pPr>
    </w:p>
    <w:bookmarkStart w:id="49" w:name="page50"/>
    <w:bookmarkEnd w:id="49"/>
    <w:p>
      <w:pPr>
        <w:jc w:val="center"/>
        <w:ind w:right="-39"/>
        <w:spacing w:after="0"/>
        <w:rPr>
          <w:sz w:val="20"/>
          <w:szCs w:val="20"/>
          <w:color w:val="auto"/>
        </w:rPr>
      </w:pPr>
      <w:r>
        <w:rPr>
          <w:rFonts w:ascii="Arial" w:cs="Arial" w:eastAsia="Arial" w:hAnsi="Arial"/>
          <w:sz w:val="18"/>
          <w:szCs w:val="18"/>
          <w:b w:val="1"/>
          <w:bCs w:val="1"/>
          <w:color w:val="auto"/>
        </w:rPr>
        <w:t>SJW Group and Subsidiaries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3"/>
          </w:tcPr>
          <w:p>
            <w:pPr>
              <w:ind w:left="80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Pr>
          <w:p>
            <w:pPr>
              <w:spacing w:after="0"/>
              <w:rPr>
                <w:sz w:val="16"/>
                <w:szCs w:val="16"/>
                <w:color w:val="auto"/>
              </w:rPr>
            </w:pPr>
          </w:p>
        </w:tc>
      </w:tr>
      <w:tr>
        <w:trPr>
          <w:trHeight w:val="26"/>
        </w:trPr>
        <w:tc>
          <w:tcPr>
            <w:tcW w:w="8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9"/>
        </w:trPr>
        <w:tc>
          <w:tcPr>
            <w:tcW w:w="80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Capitalization and Liabilities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Capitalization:</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Stockholders’ equity: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88"/>
        </w:trPr>
        <w:tc>
          <w:tcPr>
            <w:tcW w:w="8040" w:type="dxa"/>
            <w:vAlign w:val="bottom"/>
          </w:tcPr>
          <w:p>
            <w:pPr>
              <w:ind w:left="360"/>
              <w:spacing w:after="0" w:line="189" w:lineRule="exact"/>
              <w:rPr>
                <w:sz w:val="20"/>
                <w:szCs w:val="20"/>
                <w:color w:val="auto"/>
              </w:rPr>
            </w:pPr>
            <w:r>
              <w:rPr>
                <w:rFonts w:ascii="Arial" w:cs="Arial" w:eastAsia="Arial" w:hAnsi="Arial"/>
                <w:sz w:val="18"/>
                <w:szCs w:val="18"/>
                <w:color w:val="auto"/>
                <w:w w:val="89"/>
              </w:rPr>
              <w:t>Common stock, $0.001 par value; authorized 70,000,000 shares in 2022 and 2021; issued and outstanding</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0"/>
        </w:trPr>
        <w:tc>
          <w:tcPr>
            <w:tcW w:w="8040" w:type="dxa"/>
            <w:vAlign w:val="bottom"/>
          </w:tcPr>
          <w:p>
            <w:pPr>
              <w:ind w:left="360"/>
              <w:spacing w:after="0"/>
              <w:rPr>
                <w:sz w:val="20"/>
                <w:szCs w:val="20"/>
                <w:color w:val="auto"/>
              </w:rPr>
            </w:pPr>
            <w:r>
              <w:rPr>
                <w:rFonts w:ascii="Arial" w:cs="Arial" w:eastAsia="Arial" w:hAnsi="Arial"/>
                <w:sz w:val="18"/>
                <w:szCs w:val="18"/>
                <w:color w:val="auto"/>
              </w:rPr>
              <w:t>30,801,912 shares in 2022 and 30,181,348 shares in 2021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651,004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606,392</w:t>
            </w:r>
          </w:p>
        </w:tc>
      </w:tr>
      <w:tr>
        <w:trPr>
          <w:trHeight w:val="229"/>
        </w:trPr>
        <w:tc>
          <w:tcPr>
            <w:tcW w:w="804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458,356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428,260</w:t>
            </w:r>
          </w:p>
        </w:tc>
      </w:tr>
      <w:tr>
        <w:trPr>
          <w:trHeight w:val="229"/>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23"/>
        </w:trPr>
        <w:tc>
          <w:tcPr>
            <w:tcW w:w="8040" w:type="dxa"/>
            <w:vAlign w:val="bottom"/>
          </w:tcPr>
          <w:p>
            <w:pPr>
              <w:ind w:left="140"/>
              <w:spacing w:after="0"/>
              <w:rPr>
                <w:sz w:val="20"/>
                <w:szCs w:val="20"/>
                <w:color w:val="auto"/>
              </w:rPr>
            </w:pPr>
            <w:r>
              <w:rPr>
                <w:rFonts w:ascii="Arial" w:cs="Arial" w:eastAsia="Arial" w:hAnsi="Arial"/>
                <w:sz w:val="18"/>
                <w:szCs w:val="18"/>
                <w:color w:val="auto"/>
              </w:rPr>
              <w:t>Total stockholders’ equity</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1,110,868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1,034,519</w:t>
            </w: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 less current portion</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1,491,965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1,492,935</w:t>
            </w:r>
          </w:p>
        </w:tc>
      </w:tr>
      <w:tr>
        <w:trPr>
          <w:trHeight w:val="223"/>
        </w:trPr>
        <w:tc>
          <w:tcPr>
            <w:tcW w:w="80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2,602,833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2,527,454</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Lines of credit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159,578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62,996</w:t>
            </w: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39,106</w:t>
            </w: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Accrued groundwater extraction charges, purchased water and power</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19,707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17,200</w:t>
            </w: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30,391</w:t>
            </w:r>
          </w:p>
        </w:tc>
      </w:tr>
      <w:tr>
        <w:trPr>
          <w:trHeight w:val="229"/>
        </w:trPr>
        <w:tc>
          <w:tcPr>
            <w:tcW w:w="8040" w:type="dxa"/>
            <w:vAlign w:val="bottom"/>
          </w:tcPr>
          <w:p>
            <w:pPr>
              <w:ind w:left="140"/>
              <w:spacing w:after="0"/>
              <w:rPr>
                <w:sz w:val="20"/>
                <w:szCs w:val="20"/>
                <w:color w:val="auto"/>
              </w:rPr>
            </w:pPr>
            <w:r>
              <w:rPr>
                <w:rFonts w:ascii="Arial" w:cs="Arial" w:eastAsia="Arial" w:hAnsi="Arial"/>
                <w:sz w:val="18"/>
                <w:szCs w:val="18"/>
                <w:color w:val="auto"/>
              </w:rPr>
              <w:t>Accrued interest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13,907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14,174</w:t>
            </w: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payroll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11,583</w:t>
            </w: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Income tax payable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2,696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22,913</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27,821</w:t>
            </w:r>
          </w:p>
        </w:tc>
      </w:tr>
      <w:tr>
        <w:trPr>
          <w:trHeight w:val="223"/>
        </w:trPr>
        <w:tc>
          <w:tcPr>
            <w:tcW w:w="80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264,650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203,271</w:t>
            </w: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income taxes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218,155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200,451</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Advances for construction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137,696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130,693</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Contributions in aid of construction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323,668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316,479</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Postretirement benefit plans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59,738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89,998</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24,049</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48"/>
        </w:trPr>
        <w:tc>
          <w:tcPr>
            <w:tcW w:w="8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3,632,624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3,492,395</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00"/>
          </w:cols>
          <w:pgMar w:left="320" w:top="101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type w:val="continuous"/>
        </w:sectPr>
      </w:pPr>
    </w:p>
    <w:bookmarkStart w:id="50" w:name="page51"/>
    <w:bookmarkEnd w:id="50"/>
    <w:p>
      <w:pPr>
        <w:jc w:val="center"/>
        <w:ind w:right="-39"/>
        <w:spacing w:after="0"/>
        <w:rPr>
          <w:sz w:val="20"/>
          <w:szCs w:val="20"/>
          <w:color w:val="auto"/>
        </w:rPr>
      </w:pPr>
      <w:r>
        <w:rPr>
          <w:rFonts w:ascii="Arial" w:cs="Arial" w:eastAsia="Arial" w:hAnsi="Arial"/>
          <w:sz w:val="18"/>
          <w:szCs w:val="18"/>
          <w:b w:val="1"/>
          <w:bCs w:val="1"/>
          <w:color w:val="auto"/>
        </w:rPr>
        <w:t>SJW Group and Subsidiaries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(in thousands, except share and per share data)</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520" w:type="dxa"/>
            <w:vAlign w:val="bottom"/>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520" w:type="dxa"/>
            <w:vAlign w:val="bottom"/>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620,698</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573,686</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564,526</w:t>
            </w:r>
          </w:p>
        </w:tc>
        <w:tc>
          <w:tcPr>
            <w:tcW w:w="0" w:type="dxa"/>
            <w:vAlign w:val="bottom"/>
          </w:tcPr>
          <w:p>
            <w:pPr>
              <w:spacing w:after="0"/>
              <w:rPr>
                <w:sz w:val="1"/>
                <w:szCs w:val="1"/>
                <w:color w:val="auto"/>
              </w:rPr>
            </w:pPr>
          </w:p>
        </w:tc>
      </w:tr>
      <w:tr>
        <w:trPr>
          <w:trHeight w:val="209"/>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Operating expense:</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Production Expenses: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360"/>
              <w:spacing w:after="0"/>
              <w:rPr>
                <w:sz w:val="20"/>
                <w:szCs w:val="20"/>
                <w:color w:val="auto"/>
              </w:rPr>
            </w:pPr>
            <w:r>
              <w:rPr>
                <w:rFonts w:ascii="Arial" w:cs="Arial" w:eastAsia="Arial" w:hAnsi="Arial"/>
                <w:sz w:val="18"/>
                <w:szCs w:val="18"/>
                <w:color w:val="auto"/>
              </w:rPr>
              <w:t>Purchased water</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122,334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98,231</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100,723</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Power</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13,330</w:t>
            </w:r>
          </w:p>
        </w:tc>
        <w:tc>
          <w:tcPr>
            <w:tcW w:w="0" w:type="dxa"/>
            <w:vAlign w:val="bottom"/>
          </w:tcPr>
          <w:p>
            <w:pPr>
              <w:spacing w:after="0"/>
              <w:rPr>
                <w:sz w:val="1"/>
                <w:szCs w:val="1"/>
                <w:color w:val="auto"/>
              </w:rPr>
            </w:pPr>
          </w:p>
        </w:tc>
      </w:tr>
      <w:tr>
        <w:trPr>
          <w:trHeight w:val="230"/>
        </w:trPr>
        <w:tc>
          <w:tcPr>
            <w:tcW w:w="6400" w:type="dxa"/>
            <w:vAlign w:val="bottom"/>
          </w:tcPr>
          <w:p>
            <w:pPr>
              <w:ind w:left="360"/>
              <w:spacing w:after="0"/>
              <w:rPr>
                <w:sz w:val="20"/>
                <w:szCs w:val="20"/>
                <w:color w:val="auto"/>
              </w:rPr>
            </w:pPr>
            <w:r>
              <w:rPr>
                <w:rFonts w:ascii="Arial" w:cs="Arial" w:eastAsia="Arial" w:hAnsi="Arial"/>
                <w:sz w:val="18"/>
                <w:szCs w:val="18"/>
                <w:color w:val="auto"/>
              </w:rPr>
              <w:t>Groundwater extraction charges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56,158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75,866</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71,359</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production expenses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45,409</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41,475</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40,380</w:t>
            </w:r>
          </w:p>
        </w:tc>
        <w:tc>
          <w:tcPr>
            <w:tcW w:w="0" w:type="dxa"/>
            <w:vAlign w:val="bottom"/>
          </w:tcPr>
          <w:p>
            <w:pPr>
              <w:spacing w:after="0"/>
              <w:rPr>
                <w:sz w:val="1"/>
                <w:szCs w:val="1"/>
                <w:color w:val="auto"/>
              </w:rPr>
            </w:pPr>
          </w:p>
        </w:tc>
      </w:tr>
      <w:tr>
        <w:trPr>
          <w:trHeight w:val="223"/>
        </w:trPr>
        <w:tc>
          <w:tcPr>
            <w:tcW w:w="6400" w:type="dxa"/>
            <w:vAlign w:val="bottom"/>
          </w:tcPr>
          <w:p>
            <w:pPr>
              <w:ind w:left="140"/>
              <w:spacing w:after="0"/>
              <w:rPr>
                <w:sz w:val="20"/>
                <w:szCs w:val="20"/>
                <w:color w:val="auto"/>
              </w:rPr>
            </w:pPr>
            <w:r>
              <w:rPr>
                <w:rFonts w:ascii="Arial" w:cs="Arial" w:eastAsia="Arial" w:hAnsi="Arial"/>
                <w:sz w:val="18"/>
                <w:szCs w:val="18"/>
                <w:color w:val="auto"/>
              </w:rPr>
              <w:t>Total production expenses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232,790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229,083</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225,792</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Administrative and general</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95,404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87,332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79,741</w:t>
            </w:r>
          </w:p>
        </w:tc>
        <w:tc>
          <w:tcPr>
            <w:tcW w:w="0" w:type="dxa"/>
            <w:vAlign w:val="bottom"/>
          </w:tcPr>
          <w:p>
            <w:pPr>
              <w:spacing w:after="0"/>
              <w:rPr>
                <w:sz w:val="1"/>
                <w:szCs w:val="1"/>
                <w:color w:val="auto"/>
              </w:rPr>
            </w:pPr>
          </w:p>
        </w:tc>
      </w:tr>
      <w:tr>
        <w:trPr>
          <w:trHeight w:val="229"/>
        </w:trPr>
        <w:tc>
          <w:tcPr>
            <w:tcW w:w="6400" w:type="dxa"/>
            <w:vAlign w:val="bottom"/>
          </w:tcPr>
          <w:p>
            <w:pPr>
              <w:ind w:left="140"/>
              <w:spacing w:after="0"/>
              <w:rPr>
                <w:sz w:val="20"/>
                <w:szCs w:val="20"/>
                <w:color w:val="auto"/>
              </w:rPr>
            </w:pPr>
            <w:r>
              <w:rPr>
                <w:rFonts w:ascii="Arial" w:cs="Arial" w:eastAsia="Arial" w:hAnsi="Arial"/>
                <w:sz w:val="18"/>
                <w:szCs w:val="18"/>
                <w:color w:val="auto"/>
              </w:rPr>
              <w:t>Maintenance</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30,734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26,031</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22,158</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taxes and other non-income taxes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29,886</w:t>
            </w:r>
          </w:p>
        </w:tc>
        <w:tc>
          <w:tcPr>
            <w:tcW w:w="0" w:type="dxa"/>
            <w:vAlign w:val="bottom"/>
          </w:tcPr>
          <w:p>
            <w:pPr>
              <w:spacing w:after="0"/>
              <w:rPr>
                <w:sz w:val="1"/>
                <w:szCs w:val="1"/>
                <w:color w:val="auto"/>
              </w:rPr>
            </w:pPr>
          </w:p>
        </w:tc>
      </w:tr>
      <w:tr>
        <w:trPr>
          <w:trHeight w:val="229"/>
        </w:trPr>
        <w:tc>
          <w:tcPr>
            <w:tcW w:w="64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104,417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94,400</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89,279</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sale of nonutility properties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Impairment of long-lived asset</w:t>
            </w:r>
          </w:p>
        </w:tc>
        <w:tc>
          <w:tcPr>
            <w:tcW w:w="3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2,211</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operating expense</w:t>
            </w:r>
          </w:p>
        </w:tc>
        <w:tc>
          <w:tcPr>
            <w:tcW w:w="3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489,720</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462,527</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446,856</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130,978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111,159</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117,670</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(expense) income: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Interest on long-term debt, mortgage and other interest expense</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(58,062)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(54,339)</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(54,255)</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 non-service cost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Gain on sale of Texas Water Alliance (“TWA”)</w:t>
            </w:r>
          </w:p>
        </w:tc>
        <w:tc>
          <w:tcPr>
            <w:tcW w:w="3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sale of real estate investments</w:t>
            </w: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4,385</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6,770</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5,906</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before income taxes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82,324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68,847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69,895</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8,496</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8,369</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8,380</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73,828</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60,478</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61,515</w:t>
            </w:r>
          </w:p>
        </w:tc>
        <w:tc>
          <w:tcPr>
            <w:tcW w:w="0" w:type="dxa"/>
            <w:vAlign w:val="bottom"/>
          </w:tcPr>
          <w:p>
            <w:pPr>
              <w:spacing w:after="0"/>
              <w:rPr>
                <w:sz w:val="1"/>
                <w:szCs w:val="1"/>
                <w:color w:val="auto"/>
              </w:rPr>
            </w:pPr>
          </w:p>
        </w:tc>
      </w:tr>
      <w:tr>
        <w:trPr>
          <w:trHeight w:val="210"/>
        </w:trPr>
        <w:tc>
          <w:tcPr>
            <w:tcW w:w="640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4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Unrealized (loss) gain on investment, net of taxes of $(188) in 2022, $68 in 2021 and</w:t>
            </w: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$(247) in 2020</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175"/>
        </w:trPr>
        <w:tc>
          <w:tcPr>
            <w:tcW w:w="6400" w:type="dxa"/>
            <w:vAlign w:val="bottom"/>
          </w:tcPr>
          <w:p>
            <w:pPr>
              <w:ind w:left="140"/>
              <w:spacing w:after="0" w:line="176" w:lineRule="exact"/>
              <w:rPr>
                <w:sz w:val="20"/>
                <w:szCs w:val="20"/>
                <w:color w:val="auto"/>
              </w:rPr>
            </w:pPr>
            <w:r>
              <w:rPr>
                <w:rFonts w:ascii="Arial" w:cs="Arial" w:eastAsia="Arial" w:hAnsi="Arial"/>
                <w:sz w:val="18"/>
                <w:szCs w:val="18"/>
                <w:color w:val="auto"/>
                <w:w w:val="93"/>
              </w:rPr>
              <w:t>Adjustment to pension benefit plans, net of taxes of $793 in 2022, $264 in 2021 and</w:t>
            </w: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$(324) in 2020</w:t>
            </w: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w:t>
            </w:r>
          </w:p>
        </w:tc>
        <w:tc>
          <w:tcPr>
            <w:tcW w:w="10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Comprehensive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75,468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61,379</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60,325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Earnings per share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—Diluted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14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30,304,557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29,601,284</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28,521,900</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30,423,735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29,735,533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28,694,986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ectPr>
          <w:pgSz w:w="11900" w:h="16838" w:orient="portrait"/>
          <w:cols w:equalWidth="0" w:num="1">
            <w:col w:w="11220"/>
          </w:cols>
          <w:pgMar w:left="340" w:top="1012" w:right="339" w:bottom="1440" w:gutter="0" w:footer="0" w:header="0"/>
        </w:sect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40" w:type="dxa"/>
            <w:vAlign w:val="bottom"/>
          </w:tcPr>
          <w:p>
            <w:pPr>
              <w:spacing w:after="0"/>
              <w:rPr>
                <w:sz w:val="16"/>
                <w:szCs w:val="16"/>
                <w:color w:val="auto"/>
              </w:rPr>
            </w:pPr>
          </w:p>
        </w:tc>
        <w:tc>
          <w:tcPr>
            <w:tcW w:w="2680" w:type="dxa"/>
            <w:vAlign w:val="bottom"/>
            <w:gridSpan w:val="4"/>
          </w:tcPr>
          <w:p>
            <w:pPr>
              <w:jc w:val="right"/>
              <w:ind w:right="771"/>
              <w:spacing w:after="0"/>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26"/>
        </w:trPr>
        <w:tc>
          <w:tcPr>
            <w:tcW w:w="294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94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6"/>
                <w:szCs w:val="16"/>
                <w:color w:val="auto"/>
              </w:rPr>
            </w:pPr>
          </w:p>
        </w:tc>
        <w:tc>
          <w:tcPr>
            <w:tcW w:w="104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2"/>
        </w:trPr>
        <w:tc>
          <w:tcPr>
            <w:tcW w:w="294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940" w:type="dxa"/>
            <w:vAlign w:val="bottom"/>
          </w:tcPr>
          <w:p>
            <w:pPr>
              <w:spacing w:after="0"/>
              <w:rPr>
                <w:sz w:val="20"/>
                <w:szCs w:val="20"/>
                <w:color w:val="auto"/>
              </w:rPr>
            </w:pPr>
            <w:r>
              <w:rPr>
                <w:rFonts w:ascii="Arial" w:cs="Arial" w:eastAsia="Arial" w:hAnsi="Arial"/>
                <w:sz w:val="18"/>
                <w:szCs w:val="18"/>
                <w:b w:val="1"/>
                <w:bCs w:val="1"/>
                <w:color w:val="auto"/>
              </w:rPr>
              <w:t>Balances, December 31, 2019</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28,456,508</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294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line="189" w:lineRule="exact"/>
              <w:rPr>
                <w:sz w:val="20"/>
                <w:szCs w:val="20"/>
                <w:color w:val="auto"/>
              </w:rPr>
            </w:pPr>
            <w:r>
              <w:rPr>
                <w:rFonts w:ascii="Arial" w:cs="Arial" w:eastAsia="Arial" w:hAnsi="Arial"/>
                <w:sz w:val="18"/>
                <w:szCs w:val="18"/>
                <w:color w:val="auto"/>
                <w:w w:val="92"/>
              </w:rPr>
              <w:t>Unrealized income on investment, net</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Arial" w:cs="Arial" w:eastAsia="Arial" w:hAnsi="Arial"/>
                <w:sz w:val="18"/>
                <w:szCs w:val="18"/>
                <w:color w:val="auto"/>
              </w:rPr>
              <w:t>of tax effect of $(247)</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line="189" w:lineRule="exact"/>
              <w:rPr>
                <w:sz w:val="20"/>
                <w:szCs w:val="20"/>
                <w:color w:val="auto"/>
              </w:rPr>
            </w:pPr>
            <w:r>
              <w:rPr>
                <w:rFonts w:ascii="Arial" w:cs="Arial" w:eastAsia="Arial" w:hAnsi="Arial"/>
                <w:sz w:val="18"/>
                <w:szCs w:val="18"/>
                <w:color w:val="auto"/>
                <w:w w:val="96"/>
              </w:rPr>
              <w:t>Adjustment to pension benefit plans,</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Arial" w:cs="Arial" w:eastAsia="Arial" w:hAnsi="Arial"/>
                <w:sz w:val="18"/>
                <w:szCs w:val="18"/>
                <w:color w:val="auto"/>
              </w:rPr>
              <w:t>net of taxes of $(324)</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tcPr>
          <w:p>
            <w:pPr>
              <w:ind w:left="120"/>
              <w:spacing w:after="0"/>
              <w:rPr>
                <w:sz w:val="20"/>
                <w:szCs w:val="20"/>
                <w:color w:val="auto"/>
              </w:rPr>
            </w:pPr>
            <w:r>
              <w:rPr>
                <w:rFonts w:ascii="Arial" w:cs="Arial" w:eastAsia="Arial" w:hAnsi="Arial"/>
                <w:sz w:val="18"/>
                <w:szCs w:val="18"/>
                <w:color w:val="auto"/>
              </w:rPr>
              <w:t>Share-based compensation</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line="189" w:lineRule="exact"/>
              <w:rPr>
                <w:sz w:val="20"/>
                <w:szCs w:val="20"/>
                <w:color w:val="auto"/>
              </w:rPr>
            </w:pPr>
            <w:r>
              <w:rPr>
                <w:rFonts w:ascii="Arial" w:cs="Arial" w:eastAsia="Arial" w:hAnsi="Arial"/>
                <w:sz w:val="18"/>
                <w:szCs w:val="18"/>
                <w:color w:val="auto"/>
              </w:rPr>
              <w:t>Issuance of restricted and deferred</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20"/>
              <w:spacing w:after="0"/>
              <w:rPr>
                <w:sz w:val="20"/>
                <w:szCs w:val="20"/>
                <w:color w:val="auto"/>
              </w:rPr>
            </w:pPr>
            <w:r>
              <w:rPr>
                <w:rFonts w:ascii="Arial" w:cs="Arial" w:eastAsia="Arial" w:hAnsi="Arial"/>
                <w:sz w:val="18"/>
                <w:szCs w:val="18"/>
                <w:color w:val="auto"/>
              </w:rPr>
              <w:t>stock units</w:t>
            </w:r>
          </w:p>
        </w:tc>
        <w:tc>
          <w:tcPr>
            <w:tcW w:w="1280" w:type="dxa"/>
            <w:vAlign w:val="bottom"/>
          </w:tcPr>
          <w:p>
            <w:pPr>
              <w:jc w:val="right"/>
              <w:spacing w:after="0"/>
              <w:rPr>
                <w:sz w:val="20"/>
                <w:szCs w:val="20"/>
                <w:color w:val="auto"/>
              </w:rPr>
            </w:pPr>
            <w:r>
              <w:rPr>
                <w:rFonts w:ascii="Arial" w:cs="Arial" w:eastAsia="Arial" w:hAnsi="Arial"/>
                <w:sz w:val="18"/>
                <w:szCs w:val="18"/>
                <w:color w:val="auto"/>
              </w:rPr>
              <w:t>68,347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Arial" w:cs="Arial" w:eastAsia="Arial" w:hAnsi="Arial"/>
                <w:sz w:val="18"/>
                <w:szCs w:val="18"/>
                <w:color w:val="auto"/>
              </w:rPr>
              <w:t>Employee stock purchase plan</w:t>
            </w:r>
          </w:p>
        </w:tc>
        <w:tc>
          <w:tcPr>
            <w:tcW w:w="1280" w:type="dxa"/>
            <w:vAlign w:val="bottom"/>
          </w:tcPr>
          <w:p>
            <w:pPr>
              <w:jc w:val="right"/>
              <w:spacing w:after="0"/>
              <w:rPr>
                <w:sz w:val="20"/>
                <w:szCs w:val="20"/>
                <w:color w:val="auto"/>
              </w:rPr>
            </w:pPr>
            <w:r>
              <w:rPr>
                <w:rFonts w:ascii="Arial" w:cs="Arial" w:eastAsia="Arial" w:hAnsi="Arial"/>
                <w:sz w:val="18"/>
                <w:szCs w:val="18"/>
                <w:color w:val="auto"/>
              </w:rPr>
              <w:t>31,750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Arial" w:cs="Arial" w:eastAsia="Arial" w:hAnsi="Arial"/>
                <w:sz w:val="18"/>
                <w:szCs w:val="18"/>
                <w:color w:val="auto"/>
              </w:rPr>
              <w:t>Dividends paid ($1.28 per share)</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940" w:type="dxa"/>
            <w:vAlign w:val="bottom"/>
          </w:tcPr>
          <w:p>
            <w:pPr>
              <w:spacing w:after="0"/>
              <w:rPr>
                <w:sz w:val="20"/>
                <w:szCs w:val="20"/>
                <w:color w:val="auto"/>
              </w:rPr>
            </w:pPr>
            <w:r>
              <w:rPr>
                <w:rFonts w:ascii="Arial" w:cs="Arial" w:eastAsia="Arial" w:hAnsi="Arial"/>
                <w:sz w:val="18"/>
                <w:szCs w:val="18"/>
                <w:b w:val="1"/>
                <w:bCs w:val="1"/>
                <w:color w:val="auto"/>
              </w:rPr>
              <w:t>Balances, December 31, 2020</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28,556,605</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294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line="189" w:lineRule="exact"/>
              <w:rPr>
                <w:sz w:val="20"/>
                <w:szCs w:val="20"/>
                <w:color w:val="auto"/>
              </w:rPr>
            </w:pPr>
            <w:r>
              <w:rPr>
                <w:rFonts w:ascii="Arial" w:cs="Arial" w:eastAsia="Arial" w:hAnsi="Arial"/>
                <w:sz w:val="18"/>
                <w:szCs w:val="18"/>
                <w:color w:val="auto"/>
                <w:w w:val="94"/>
              </w:rPr>
              <w:t>Unrealized loss on investment, net of</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20"/>
              <w:spacing w:after="0"/>
              <w:rPr>
                <w:sz w:val="20"/>
                <w:szCs w:val="20"/>
                <w:color w:val="auto"/>
              </w:rPr>
            </w:pPr>
            <w:r>
              <w:rPr>
                <w:rFonts w:ascii="Arial" w:cs="Arial" w:eastAsia="Arial" w:hAnsi="Arial"/>
                <w:sz w:val="18"/>
                <w:szCs w:val="18"/>
                <w:color w:val="auto"/>
              </w:rPr>
              <w:t>tax effect of $68</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line="189" w:lineRule="exact"/>
              <w:rPr>
                <w:sz w:val="20"/>
                <w:szCs w:val="20"/>
                <w:color w:val="auto"/>
              </w:rPr>
            </w:pPr>
            <w:r>
              <w:rPr>
                <w:rFonts w:ascii="Arial" w:cs="Arial" w:eastAsia="Arial" w:hAnsi="Arial"/>
                <w:sz w:val="18"/>
                <w:szCs w:val="18"/>
                <w:color w:val="auto"/>
                <w:w w:val="96"/>
              </w:rPr>
              <w:t>Adjustment to pension benefit plans,</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20"/>
              <w:spacing w:after="0"/>
              <w:rPr>
                <w:sz w:val="20"/>
                <w:szCs w:val="20"/>
                <w:color w:val="auto"/>
              </w:rPr>
            </w:pPr>
            <w:r>
              <w:rPr>
                <w:rFonts w:ascii="Arial" w:cs="Arial" w:eastAsia="Arial" w:hAnsi="Arial"/>
                <w:sz w:val="18"/>
                <w:szCs w:val="18"/>
                <w:color w:val="auto"/>
              </w:rPr>
              <w:t>net of taxes of $264</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Arial" w:cs="Arial" w:eastAsia="Arial" w:hAnsi="Arial"/>
                <w:sz w:val="18"/>
                <w:szCs w:val="18"/>
                <w:color w:val="auto"/>
              </w:rPr>
              <w:t>Share-based compensation</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line="189" w:lineRule="exact"/>
              <w:rPr>
                <w:sz w:val="20"/>
                <w:szCs w:val="20"/>
                <w:color w:val="auto"/>
              </w:rPr>
            </w:pPr>
            <w:r>
              <w:rPr>
                <w:rFonts w:ascii="Arial" w:cs="Arial" w:eastAsia="Arial" w:hAnsi="Arial"/>
                <w:sz w:val="18"/>
                <w:szCs w:val="18"/>
                <w:color w:val="auto"/>
              </w:rPr>
              <w:t>Issuance of restricted and deferred</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Arial" w:cs="Arial" w:eastAsia="Arial" w:hAnsi="Arial"/>
                <w:sz w:val="18"/>
                <w:szCs w:val="18"/>
                <w:color w:val="auto"/>
              </w:rPr>
              <w:t>stock units</w:t>
            </w:r>
          </w:p>
        </w:tc>
        <w:tc>
          <w:tcPr>
            <w:tcW w:w="1280" w:type="dxa"/>
            <w:vAlign w:val="bottom"/>
          </w:tcPr>
          <w:p>
            <w:pPr>
              <w:jc w:val="right"/>
              <w:spacing w:after="0"/>
              <w:rPr>
                <w:sz w:val="20"/>
                <w:szCs w:val="20"/>
                <w:color w:val="auto"/>
              </w:rPr>
            </w:pPr>
            <w:r>
              <w:rPr>
                <w:rFonts w:ascii="Arial" w:cs="Arial" w:eastAsia="Arial" w:hAnsi="Arial"/>
                <w:sz w:val="18"/>
                <w:szCs w:val="18"/>
                <w:color w:val="auto"/>
              </w:rPr>
              <w:t>49,824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tcPr>
          <w:p>
            <w:pPr>
              <w:ind w:left="120"/>
              <w:spacing w:after="0"/>
              <w:rPr>
                <w:sz w:val="20"/>
                <w:szCs w:val="20"/>
                <w:color w:val="auto"/>
              </w:rPr>
            </w:pPr>
            <w:r>
              <w:rPr>
                <w:rFonts w:ascii="Arial" w:cs="Arial" w:eastAsia="Arial" w:hAnsi="Arial"/>
                <w:sz w:val="18"/>
                <w:szCs w:val="18"/>
                <w:color w:val="auto"/>
              </w:rPr>
              <w:t>Employee stock purchase plan</w:t>
            </w:r>
          </w:p>
        </w:tc>
        <w:tc>
          <w:tcPr>
            <w:tcW w:w="1280" w:type="dxa"/>
            <w:vAlign w:val="bottom"/>
          </w:tcPr>
          <w:p>
            <w:pPr>
              <w:jc w:val="right"/>
              <w:spacing w:after="0"/>
              <w:rPr>
                <w:sz w:val="20"/>
                <w:szCs w:val="20"/>
                <w:color w:val="auto"/>
              </w:rPr>
            </w:pPr>
            <w:r>
              <w:rPr>
                <w:rFonts w:ascii="Arial" w:cs="Arial" w:eastAsia="Arial" w:hAnsi="Arial"/>
                <w:sz w:val="18"/>
                <w:szCs w:val="18"/>
                <w:color w:val="auto"/>
              </w:rPr>
              <w:t>35,304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Arial" w:cs="Arial" w:eastAsia="Arial" w:hAnsi="Arial"/>
                <w:sz w:val="18"/>
                <w:szCs w:val="18"/>
                <w:color w:val="auto"/>
                <w:w w:val="93"/>
              </w:rPr>
              <w:t>Common stock issuance, net of costs</w:t>
            </w:r>
          </w:p>
        </w:tc>
        <w:tc>
          <w:tcPr>
            <w:tcW w:w="1280" w:type="dxa"/>
            <w:vAlign w:val="bottom"/>
          </w:tcPr>
          <w:p>
            <w:pPr>
              <w:jc w:val="right"/>
              <w:spacing w:after="0"/>
              <w:rPr>
                <w:sz w:val="20"/>
                <w:szCs w:val="20"/>
                <w:color w:val="auto"/>
              </w:rPr>
            </w:pPr>
            <w:r>
              <w:rPr>
                <w:rFonts w:ascii="Arial" w:cs="Arial" w:eastAsia="Arial" w:hAnsi="Arial"/>
                <w:sz w:val="18"/>
                <w:szCs w:val="18"/>
                <w:color w:val="auto"/>
              </w:rPr>
              <w:t>1,539,615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Arial" w:cs="Arial" w:eastAsia="Arial" w:hAnsi="Arial"/>
                <w:sz w:val="18"/>
                <w:szCs w:val="18"/>
                <w:color w:val="auto"/>
              </w:rPr>
              <w:t>Dividends paid ($1.36 per share)</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940" w:type="dxa"/>
            <w:vAlign w:val="bottom"/>
          </w:tcPr>
          <w:p>
            <w:pPr>
              <w:spacing w:after="0"/>
              <w:rPr>
                <w:sz w:val="20"/>
                <w:szCs w:val="20"/>
                <w:color w:val="auto"/>
              </w:rPr>
            </w:pPr>
            <w:r>
              <w:rPr>
                <w:rFonts w:ascii="Arial" w:cs="Arial" w:eastAsia="Arial" w:hAnsi="Arial"/>
                <w:sz w:val="18"/>
                <w:szCs w:val="18"/>
                <w:b w:val="1"/>
                <w:bCs w:val="1"/>
                <w:color w:val="auto"/>
              </w:rPr>
              <w:t>Balances, December 31, 2021</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30,181,348</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line="189" w:lineRule="exact"/>
              <w:rPr>
                <w:sz w:val="20"/>
                <w:szCs w:val="20"/>
                <w:color w:val="auto"/>
              </w:rPr>
            </w:pPr>
            <w:r>
              <w:rPr>
                <w:rFonts w:ascii="Arial" w:cs="Arial" w:eastAsia="Arial" w:hAnsi="Arial"/>
                <w:sz w:val="18"/>
                <w:szCs w:val="18"/>
                <w:color w:val="auto"/>
                <w:w w:val="94"/>
              </w:rPr>
              <w:t>Unrealized gain on investment, net of</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Arial" w:cs="Arial" w:eastAsia="Arial" w:hAnsi="Arial"/>
                <w:sz w:val="18"/>
                <w:szCs w:val="18"/>
                <w:color w:val="auto"/>
              </w:rPr>
              <w:t>tax effect of $(188)</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line="189" w:lineRule="exact"/>
              <w:rPr>
                <w:sz w:val="20"/>
                <w:szCs w:val="20"/>
                <w:color w:val="auto"/>
              </w:rPr>
            </w:pPr>
            <w:r>
              <w:rPr>
                <w:rFonts w:ascii="Arial" w:cs="Arial" w:eastAsia="Arial" w:hAnsi="Arial"/>
                <w:sz w:val="18"/>
                <w:szCs w:val="18"/>
                <w:color w:val="auto"/>
                <w:w w:val="96"/>
              </w:rPr>
              <w:t>Adjustment to pension benefit plans,</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Arial" w:cs="Arial" w:eastAsia="Arial" w:hAnsi="Arial"/>
                <w:sz w:val="18"/>
                <w:szCs w:val="18"/>
                <w:color w:val="auto"/>
              </w:rPr>
              <w:t>net of taxes of $793</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tcPr>
          <w:p>
            <w:pPr>
              <w:ind w:left="120"/>
              <w:spacing w:after="0"/>
              <w:rPr>
                <w:sz w:val="20"/>
                <w:szCs w:val="20"/>
                <w:color w:val="auto"/>
              </w:rPr>
            </w:pPr>
            <w:r>
              <w:rPr>
                <w:rFonts w:ascii="Arial" w:cs="Arial" w:eastAsia="Arial" w:hAnsi="Arial"/>
                <w:sz w:val="18"/>
                <w:szCs w:val="18"/>
                <w:color w:val="auto"/>
              </w:rPr>
              <w:t>Share-based compensation</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line="189" w:lineRule="exact"/>
              <w:rPr>
                <w:sz w:val="20"/>
                <w:szCs w:val="20"/>
                <w:color w:val="auto"/>
              </w:rPr>
            </w:pPr>
            <w:r>
              <w:rPr>
                <w:rFonts w:ascii="Arial" w:cs="Arial" w:eastAsia="Arial" w:hAnsi="Arial"/>
                <w:sz w:val="18"/>
                <w:szCs w:val="18"/>
                <w:color w:val="auto"/>
              </w:rPr>
              <w:t>Issuance of restricted and deferred</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Arial" w:cs="Arial" w:eastAsia="Arial" w:hAnsi="Arial"/>
                <w:sz w:val="18"/>
                <w:szCs w:val="18"/>
                <w:color w:val="auto"/>
              </w:rPr>
              <w:t>stock units</w:t>
            </w:r>
          </w:p>
        </w:tc>
        <w:tc>
          <w:tcPr>
            <w:tcW w:w="1280" w:type="dxa"/>
            <w:vAlign w:val="bottom"/>
          </w:tcPr>
          <w:p>
            <w:pPr>
              <w:jc w:val="right"/>
              <w:spacing w:after="0"/>
              <w:rPr>
                <w:sz w:val="20"/>
                <w:szCs w:val="20"/>
                <w:color w:val="auto"/>
              </w:rPr>
            </w:pPr>
            <w:r>
              <w:rPr>
                <w:rFonts w:ascii="Arial" w:cs="Arial" w:eastAsia="Arial" w:hAnsi="Arial"/>
                <w:sz w:val="18"/>
                <w:szCs w:val="18"/>
                <w:color w:val="auto"/>
              </w:rPr>
              <w:t>54,243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tcPr>
          <w:p>
            <w:pPr>
              <w:ind w:left="120"/>
              <w:spacing w:after="0"/>
              <w:rPr>
                <w:sz w:val="20"/>
                <w:szCs w:val="20"/>
                <w:color w:val="auto"/>
              </w:rPr>
            </w:pPr>
            <w:r>
              <w:rPr>
                <w:rFonts w:ascii="Arial" w:cs="Arial" w:eastAsia="Arial" w:hAnsi="Arial"/>
                <w:sz w:val="18"/>
                <w:szCs w:val="18"/>
                <w:color w:val="auto"/>
              </w:rPr>
              <w:t>Employee stock purchase plan</w:t>
            </w:r>
          </w:p>
        </w:tc>
        <w:tc>
          <w:tcPr>
            <w:tcW w:w="1280" w:type="dxa"/>
            <w:vAlign w:val="bottom"/>
          </w:tcPr>
          <w:p>
            <w:pPr>
              <w:jc w:val="right"/>
              <w:spacing w:after="0"/>
              <w:rPr>
                <w:sz w:val="20"/>
                <w:szCs w:val="20"/>
                <w:color w:val="auto"/>
              </w:rPr>
            </w:pPr>
            <w:r>
              <w:rPr>
                <w:rFonts w:ascii="Arial" w:cs="Arial" w:eastAsia="Arial" w:hAnsi="Arial"/>
                <w:sz w:val="18"/>
                <w:szCs w:val="18"/>
                <w:color w:val="auto"/>
              </w:rPr>
              <w:t>36,585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Arial" w:cs="Arial" w:eastAsia="Arial" w:hAnsi="Arial"/>
                <w:sz w:val="18"/>
                <w:szCs w:val="18"/>
                <w:color w:val="auto"/>
                <w:w w:val="93"/>
              </w:rPr>
              <w:t>Common stock issuance, net of costs</w:t>
            </w:r>
          </w:p>
        </w:tc>
        <w:tc>
          <w:tcPr>
            <w:tcW w:w="1280" w:type="dxa"/>
            <w:vAlign w:val="bottom"/>
          </w:tcPr>
          <w:p>
            <w:pPr>
              <w:jc w:val="right"/>
              <w:spacing w:after="0"/>
              <w:rPr>
                <w:sz w:val="20"/>
                <w:szCs w:val="20"/>
                <w:color w:val="auto"/>
              </w:rPr>
            </w:pPr>
            <w:r>
              <w:rPr>
                <w:rFonts w:ascii="Arial" w:cs="Arial" w:eastAsia="Arial" w:hAnsi="Arial"/>
                <w:sz w:val="18"/>
                <w:szCs w:val="18"/>
                <w:color w:val="auto"/>
              </w:rPr>
              <w:t>529,736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Arial" w:cs="Arial" w:eastAsia="Arial" w:hAnsi="Arial"/>
                <w:sz w:val="18"/>
                <w:szCs w:val="18"/>
                <w:color w:val="auto"/>
              </w:rPr>
              <w:t>Dividends paid ($1.44 per share)</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940" w:type="dxa"/>
            <w:vAlign w:val="bottom"/>
          </w:tcPr>
          <w:p>
            <w:pPr>
              <w:spacing w:after="0"/>
              <w:rPr>
                <w:sz w:val="20"/>
                <w:szCs w:val="20"/>
                <w:color w:val="auto"/>
              </w:rPr>
            </w:pPr>
            <w:r>
              <w:rPr>
                <w:rFonts w:ascii="Arial" w:cs="Arial" w:eastAsia="Arial" w:hAnsi="Arial"/>
                <w:sz w:val="18"/>
                <w:szCs w:val="18"/>
                <w:b w:val="1"/>
                <w:bCs w:val="1"/>
                <w:color w:val="auto"/>
              </w:rPr>
              <w:t>Balances, December 31, 2022</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30,801,912</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-5082540</wp:posOffset>
            </wp:positionV>
            <wp:extent cx="71323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-4782820</wp:posOffset>
            </wp:positionV>
            <wp:extent cx="7132320" cy="265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-4251325</wp:posOffset>
            </wp:positionV>
            <wp:extent cx="713232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-3839845</wp:posOffset>
            </wp:positionV>
            <wp:extent cx="713232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-3548380</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-3248025</wp:posOffset>
            </wp:positionV>
            <wp:extent cx="7132320" cy="265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-2716530</wp:posOffset>
            </wp:positionV>
            <wp:extent cx="713232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-2305050</wp:posOffset>
            </wp:positionV>
            <wp:extent cx="713232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-2013585</wp:posOffset>
            </wp:positionV>
            <wp:extent cx="713232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-1713865</wp:posOffset>
            </wp:positionV>
            <wp:extent cx="71323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-1302385</wp:posOffset>
            </wp:positionV>
            <wp:extent cx="7132320" cy="265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-890905</wp:posOffset>
            </wp:positionV>
            <wp:extent cx="7132320" cy="265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-479425</wp:posOffset>
            </wp:positionV>
            <wp:extent cx="71323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-187960</wp:posOffset>
            </wp:positionV>
            <wp:extent cx="71323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1400" w:type="dxa"/>
            <w:vAlign w:val="bottom"/>
            <w:gridSpan w:val="2"/>
            <w:vMerge w:val="continue"/>
          </w:tcPr>
          <w:p>
            <w:pPr>
              <w:spacing w:after="0"/>
              <w:rPr>
                <w:sz w:val="12"/>
                <w:szCs w:val="12"/>
                <w:color w:val="auto"/>
              </w:rPr>
            </w:pPr>
          </w:p>
        </w:tc>
        <w:tc>
          <w:tcPr>
            <w:tcW w:w="13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Retained</w:t>
            </w: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Other</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8"/>
              </w:rPr>
              <w:t>Paid-in</w:t>
            </w:r>
          </w:p>
        </w:tc>
        <w:tc>
          <w:tcPr>
            <w:tcW w:w="1380" w:type="dxa"/>
            <w:vAlign w:val="bottom"/>
            <w:gridSpan w:val="2"/>
            <w:vMerge w:val="continue"/>
          </w:tcPr>
          <w:p>
            <w:pPr>
              <w:spacing w:after="0"/>
              <w:rPr>
                <w:sz w:val="12"/>
                <w:szCs w:val="12"/>
                <w:color w:val="auto"/>
              </w:rPr>
            </w:pPr>
          </w:p>
        </w:tc>
        <w:tc>
          <w:tcPr>
            <w:tcW w:w="14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3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7"/>
        </w:trPr>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Capital</w:t>
            </w:r>
          </w:p>
        </w:tc>
        <w:tc>
          <w:tcPr>
            <w:tcW w:w="1380" w:type="dxa"/>
            <w:vAlign w:val="bottom"/>
            <w:gridSpan w:val="2"/>
          </w:tcPr>
          <w:p>
            <w:pPr>
              <w:ind w:left="360"/>
              <w:spacing w:after="0"/>
              <w:rPr>
                <w:sz w:val="20"/>
                <w:szCs w:val="20"/>
                <w:color w:val="auto"/>
              </w:rPr>
            </w:pPr>
            <w:r>
              <w:rPr>
                <w:rFonts w:ascii="Arial" w:cs="Arial" w:eastAsia="Arial" w:hAnsi="Arial"/>
                <w:sz w:val="14"/>
                <w:szCs w:val="14"/>
                <w:b w:val="1"/>
                <w:bCs w:val="1"/>
                <w:color w:val="auto"/>
              </w:rPr>
              <w:t>Earnings</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Income (Loss)</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8"/>
        </w:trPr>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506,639</w:t>
            </w:r>
          </w:p>
        </w:tc>
        <w:tc>
          <w:tcPr>
            <w:tcW w:w="12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383,191</w:t>
            </w:r>
          </w:p>
        </w:tc>
        <w:tc>
          <w:tcPr>
            <w:tcW w:w="1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889,984</w:t>
            </w:r>
          </w:p>
        </w:tc>
        <w:tc>
          <w:tcPr>
            <w:tcW w:w="0" w:type="dxa"/>
            <w:vAlign w:val="bottom"/>
          </w:tcPr>
          <w:p>
            <w:pPr>
              <w:spacing w:after="0"/>
              <w:rPr>
                <w:sz w:val="1"/>
                <w:szCs w:val="1"/>
                <w:color w:val="auto"/>
              </w:rPr>
            </w:pPr>
          </w:p>
        </w:tc>
      </w:tr>
      <w:tr>
        <w:trPr>
          <w:trHeight w:val="230"/>
        </w:trPr>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61,515</w:t>
            </w: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61,515</w:t>
            </w:r>
          </w:p>
        </w:tc>
        <w:tc>
          <w:tcPr>
            <w:tcW w:w="0" w:type="dxa"/>
            <w:vAlign w:val="bottom"/>
          </w:tcPr>
          <w:p>
            <w:pPr>
              <w:spacing w:after="0"/>
              <w:rPr>
                <w:sz w:val="1"/>
                <w:szCs w:val="1"/>
                <w:color w:val="auto"/>
              </w:rPr>
            </w:pPr>
          </w:p>
        </w:tc>
      </w:tr>
      <w:tr>
        <w:trPr>
          <w:trHeight w:val="419"/>
        </w:trPr>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418"/>
        </w:trPr>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30"/>
        </w:trPr>
        <w:tc>
          <w:tcPr>
            <w:tcW w:w="1280" w:type="dxa"/>
            <w:vAlign w:val="bottom"/>
          </w:tcPr>
          <w:p>
            <w:pPr>
              <w:jc w:val="right"/>
              <w:spacing w:after="0"/>
              <w:rPr>
                <w:sz w:val="20"/>
                <w:szCs w:val="20"/>
                <w:color w:val="auto"/>
              </w:rPr>
            </w:pPr>
            <w:r>
              <w:rPr>
                <w:rFonts w:ascii="Arial" w:cs="Arial" w:eastAsia="Arial" w:hAnsi="Arial"/>
                <w:sz w:val="18"/>
                <w:szCs w:val="18"/>
                <w:color w:val="auto"/>
              </w:rPr>
              <w:t>3,553</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3,393</w:t>
            </w:r>
          </w:p>
        </w:tc>
        <w:tc>
          <w:tcPr>
            <w:tcW w:w="0" w:type="dxa"/>
            <w:vAlign w:val="bottom"/>
          </w:tcPr>
          <w:p>
            <w:pPr>
              <w:spacing w:after="0"/>
              <w:rPr>
                <w:sz w:val="1"/>
                <w:szCs w:val="1"/>
                <w:color w:val="auto"/>
              </w:rPr>
            </w:pPr>
          </w:p>
        </w:tc>
      </w:tr>
      <w:tr>
        <w:trPr>
          <w:trHeight w:val="418"/>
        </w:trPr>
        <w:tc>
          <w:tcPr>
            <w:tcW w:w="1280" w:type="dxa"/>
            <w:vAlign w:val="bottom"/>
          </w:tcPr>
          <w:p>
            <w:pPr>
              <w:jc w:val="right"/>
              <w:spacing w:after="0"/>
              <w:rPr>
                <w:sz w:val="20"/>
                <w:szCs w:val="20"/>
                <w:color w:val="auto"/>
              </w:rPr>
            </w:pPr>
            <w:r>
              <w:rPr>
                <w:rFonts w:ascii="Arial" w:cs="Arial" w:eastAsia="Arial" w:hAnsi="Arial"/>
                <w:sz w:val="18"/>
                <w:szCs w:val="18"/>
                <w:color w:val="auto"/>
              </w:rPr>
              <w:t>(1,864)</w:t>
            </w:r>
          </w:p>
        </w:tc>
        <w:tc>
          <w:tcPr>
            <w:tcW w:w="12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30"/>
        </w:trPr>
        <w:tc>
          <w:tcPr>
            <w:tcW w:w="1280" w:type="dxa"/>
            <w:vAlign w:val="bottom"/>
          </w:tcPr>
          <w:p>
            <w:pPr>
              <w:jc w:val="right"/>
              <w:spacing w:after="0"/>
              <w:rPr>
                <w:sz w:val="20"/>
                <w:szCs w:val="20"/>
                <w:color w:val="auto"/>
              </w:rPr>
            </w:pPr>
            <w:r>
              <w:rPr>
                <w:rFonts w:ascii="Arial" w:cs="Arial" w:eastAsia="Arial" w:hAnsi="Arial"/>
                <w:sz w:val="18"/>
                <w:szCs w:val="18"/>
                <w:color w:val="auto"/>
              </w:rPr>
              <w:t>1,830</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30"/>
        </w:trPr>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(36,509)</w:t>
            </w: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(36,509)</w:t>
            </w:r>
          </w:p>
        </w:tc>
        <w:tc>
          <w:tcPr>
            <w:tcW w:w="0" w:type="dxa"/>
            <w:vAlign w:val="bottom"/>
          </w:tcPr>
          <w:p>
            <w:pPr>
              <w:spacing w:after="0"/>
              <w:rPr>
                <w:sz w:val="1"/>
                <w:szCs w:val="1"/>
                <w:color w:val="auto"/>
              </w:rPr>
            </w:pPr>
          </w:p>
        </w:tc>
      </w:tr>
      <w:tr>
        <w:trPr>
          <w:trHeight w:val="222"/>
        </w:trPr>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510,158</w:t>
            </w:r>
          </w:p>
        </w:tc>
        <w:tc>
          <w:tcPr>
            <w:tcW w:w="12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408,037</w:t>
            </w:r>
          </w:p>
        </w:tc>
        <w:tc>
          <w:tcPr>
            <w:tcW w:w="1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12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917,160</w:t>
            </w:r>
          </w:p>
        </w:tc>
        <w:tc>
          <w:tcPr>
            <w:tcW w:w="0" w:type="dxa"/>
            <w:vAlign w:val="bottom"/>
          </w:tcPr>
          <w:p>
            <w:pPr>
              <w:spacing w:after="0"/>
              <w:rPr>
                <w:sz w:val="1"/>
                <w:szCs w:val="1"/>
                <w:color w:val="auto"/>
              </w:rPr>
            </w:pPr>
          </w:p>
        </w:tc>
      </w:tr>
      <w:tr>
        <w:trPr>
          <w:trHeight w:val="230"/>
        </w:trPr>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60,478</w:t>
            </w: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60,478</w:t>
            </w:r>
          </w:p>
        </w:tc>
        <w:tc>
          <w:tcPr>
            <w:tcW w:w="0" w:type="dxa"/>
            <w:vAlign w:val="bottom"/>
          </w:tcPr>
          <w:p>
            <w:pPr>
              <w:spacing w:after="0"/>
              <w:rPr>
                <w:sz w:val="1"/>
                <w:szCs w:val="1"/>
                <w:color w:val="auto"/>
              </w:rPr>
            </w:pPr>
          </w:p>
        </w:tc>
      </w:tr>
      <w:tr>
        <w:trPr>
          <w:trHeight w:val="418"/>
        </w:trPr>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418"/>
        </w:trPr>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30"/>
        </w:trPr>
        <w:tc>
          <w:tcPr>
            <w:tcW w:w="1280" w:type="dxa"/>
            <w:vAlign w:val="bottom"/>
          </w:tcPr>
          <w:p>
            <w:pPr>
              <w:jc w:val="right"/>
              <w:spacing w:after="0"/>
              <w:rPr>
                <w:sz w:val="20"/>
                <w:szCs w:val="20"/>
                <w:color w:val="auto"/>
              </w:rPr>
            </w:pPr>
            <w:r>
              <w:rPr>
                <w:rFonts w:ascii="Arial" w:cs="Arial" w:eastAsia="Arial" w:hAnsi="Arial"/>
                <w:sz w:val="18"/>
                <w:szCs w:val="18"/>
                <w:color w:val="auto"/>
              </w:rPr>
              <w:t>4,246</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4,128</w:t>
            </w:r>
          </w:p>
        </w:tc>
        <w:tc>
          <w:tcPr>
            <w:tcW w:w="0" w:type="dxa"/>
            <w:vAlign w:val="bottom"/>
          </w:tcPr>
          <w:p>
            <w:pPr>
              <w:spacing w:after="0"/>
              <w:rPr>
                <w:sz w:val="1"/>
                <w:szCs w:val="1"/>
                <w:color w:val="auto"/>
              </w:rPr>
            </w:pPr>
          </w:p>
        </w:tc>
      </w:tr>
      <w:tr>
        <w:trPr>
          <w:trHeight w:val="418"/>
        </w:trPr>
        <w:tc>
          <w:tcPr>
            <w:tcW w:w="1280" w:type="dxa"/>
            <w:vAlign w:val="bottom"/>
          </w:tcPr>
          <w:p>
            <w:pPr>
              <w:jc w:val="right"/>
              <w:spacing w:after="0"/>
              <w:rPr>
                <w:sz w:val="20"/>
                <w:szCs w:val="20"/>
                <w:color w:val="auto"/>
              </w:rPr>
            </w:pPr>
            <w:r>
              <w:rPr>
                <w:rFonts w:ascii="Arial" w:cs="Arial" w:eastAsia="Arial" w:hAnsi="Arial"/>
                <w:sz w:val="18"/>
                <w:szCs w:val="18"/>
                <w:color w:val="auto"/>
              </w:rPr>
              <w:t>(1,066)</w:t>
            </w:r>
          </w:p>
        </w:tc>
        <w:tc>
          <w:tcPr>
            <w:tcW w:w="12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29"/>
        </w:trPr>
        <w:tc>
          <w:tcPr>
            <w:tcW w:w="1280" w:type="dxa"/>
            <w:vAlign w:val="bottom"/>
          </w:tcPr>
          <w:p>
            <w:pPr>
              <w:jc w:val="right"/>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30"/>
        </w:trPr>
        <w:tc>
          <w:tcPr>
            <w:tcW w:w="1280" w:type="dxa"/>
            <w:vAlign w:val="bottom"/>
          </w:tcPr>
          <w:p>
            <w:pPr>
              <w:jc w:val="right"/>
              <w:spacing w:after="0"/>
              <w:rPr>
                <w:sz w:val="20"/>
                <w:szCs w:val="20"/>
                <w:color w:val="auto"/>
              </w:rPr>
            </w:pPr>
            <w:r>
              <w:rPr>
                <w:rFonts w:ascii="Arial" w:cs="Arial" w:eastAsia="Arial" w:hAnsi="Arial"/>
                <w:sz w:val="18"/>
                <w:szCs w:val="18"/>
                <w:color w:val="auto"/>
              </w:rPr>
              <w:t>91,028</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91,029</w:t>
            </w:r>
          </w:p>
        </w:tc>
        <w:tc>
          <w:tcPr>
            <w:tcW w:w="0" w:type="dxa"/>
            <w:vAlign w:val="bottom"/>
          </w:tcPr>
          <w:p>
            <w:pPr>
              <w:spacing w:after="0"/>
              <w:rPr>
                <w:sz w:val="1"/>
                <w:szCs w:val="1"/>
                <w:color w:val="auto"/>
              </w:rPr>
            </w:pPr>
          </w:p>
        </w:tc>
      </w:tr>
      <w:tr>
        <w:trPr>
          <w:trHeight w:val="230"/>
        </w:trPr>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(40,137)</w:t>
            </w: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(40,137)</w:t>
            </w:r>
          </w:p>
        </w:tc>
        <w:tc>
          <w:tcPr>
            <w:tcW w:w="0" w:type="dxa"/>
            <w:vAlign w:val="bottom"/>
          </w:tcPr>
          <w:p>
            <w:pPr>
              <w:spacing w:after="0"/>
              <w:rPr>
                <w:sz w:val="1"/>
                <w:szCs w:val="1"/>
                <w:color w:val="auto"/>
              </w:rPr>
            </w:pPr>
          </w:p>
        </w:tc>
      </w:tr>
      <w:tr>
        <w:trPr>
          <w:trHeight w:val="222"/>
        </w:trPr>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606,392</w:t>
            </w:r>
          </w:p>
        </w:tc>
        <w:tc>
          <w:tcPr>
            <w:tcW w:w="12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428,260</w:t>
            </w:r>
          </w:p>
        </w:tc>
        <w:tc>
          <w:tcPr>
            <w:tcW w:w="1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1,034,519</w:t>
            </w:r>
          </w:p>
        </w:tc>
        <w:tc>
          <w:tcPr>
            <w:tcW w:w="0" w:type="dxa"/>
            <w:vAlign w:val="bottom"/>
          </w:tcPr>
          <w:p>
            <w:pPr>
              <w:spacing w:after="0"/>
              <w:rPr>
                <w:sz w:val="1"/>
                <w:szCs w:val="1"/>
                <w:color w:val="auto"/>
              </w:rPr>
            </w:pPr>
          </w:p>
        </w:tc>
      </w:tr>
      <w:tr>
        <w:trPr>
          <w:trHeight w:val="230"/>
        </w:trPr>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73,828</w:t>
            </w: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73,828</w:t>
            </w:r>
          </w:p>
        </w:tc>
        <w:tc>
          <w:tcPr>
            <w:tcW w:w="0" w:type="dxa"/>
            <w:vAlign w:val="bottom"/>
          </w:tcPr>
          <w:p>
            <w:pPr>
              <w:spacing w:after="0"/>
              <w:rPr>
                <w:sz w:val="1"/>
                <w:szCs w:val="1"/>
                <w:color w:val="auto"/>
              </w:rPr>
            </w:pPr>
          </w:p>
        </w:tc>
      </w:tr>
      <w:tr>
        <w:trPr>
          <w:trHeight w:val="418"/>
        </w:trPr>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418"/>
        </w:trPr>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2,151</w:t>
            </w: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30"/>
        </w:trPr>
        <w:tc>
          <w:tcPr>
            <w:tcW w:w="1280" w:type="dxa"/>
            <w:vAlign w:val="bottom"/>
          </w:tcPr>
          <w:p>
            <w:pPr>
              <w:jc w:val="right"/>
              <w:spacing w:after="0"/>
              <w:rPr>
                <w:sz w:val="20"/>
                <w:szCs w:val="20"/>
                <w:color w:val="auto"/>
              </w:rPr>
            </w:pPr>
            <w:r>
              <w:rPr>
                <w:rFonts w:ascii="Arial" w:cs="Arial" w:eastAsia="Arial" w:hAnsi="Arial"/>
                <w:sz w:val="18"/>
                <w:szCs w:val="18"/>
                <w:color w:val="auto"/>
              </w:rPr>
              <w:t>4,791</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418"/>
        </w:trPr>
        <w:tc>
          <w:tcPr>
            <w:tcW w:w="1280" w:type="dxa"/>
            <w:vAlign w:val="bottom"/>
          </w:tcPr>
          <w:p>
            <w:pPr>
              <w:jc w:val="right"/>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29"/>
        </w:trPr>
        <w:tc>
          <w:tcPr>
            <w:tcW w:w="1280" w:type="dxa"/>
            <w:vAlign w:val="bottom"/>
          </w:tcPr>
          <w:p>
            <w:pPr>
              <w:jc w:val="right"/>
              <w:spacing w:after="0"/>
              <w:rPr>
                <w:sz w:val="20"/>
                <w:szCs w:val="20"/>
                <w:color w:val="auto"/>
              </w:rPr>
            </w:pPr>
            <w:r>
              <w:rPr>
                <w:rFonts w:ascii="Arial" w:cs="Arial" w:eastAsia="Arial" w:hAnsi="Arial"/>
                <w:sz w:val="18"/>
                <w:szCs w:val="18"/>
                <w:color w:val="auto"/>
              </w:rPr>
              <w:t>2,091</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230"/>
        </w:trPr>
        <w:tc>
          <w:tcPr>
            <w:tcW w:w="1280" w:type="dxa"/>
            <w:vAlign w:val="bottom"/>
          </w:tcPr>
          <w:p>
            <w:pPr>
              <w:jc w:val="right"/>
              <w:spacing w:after="0"/>
              <w:rPr>
                <w:sz w:val="20"/>
                <w:szCs w:val="20"/>
                <w:color w:val="auto"/>
              </w:rPr>
            </w:pPr>
            <w:r>
              <w:rPr>
                <w:rFonts w:ascii="Arial" w:cs="Arial" w:eastAsia="Arial" w:hAnsi="Arial"/>
                <w:sz w:val="18"/>
                <w:szCs w:val="18"/>
                <w:color w:val="auto"/>
              </w:rPr>
              <w:t>39,084</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39,085</w:t>
            </w:r>
          </w:p>
        </w:tc>
        <w:tc>
          <w:tcPr>
            <w:tcW w:w="0" w:type="dxa"/>
            <w:vAlign w:val="bottom"/>
          </w:tcPr>
          <w:p>
            <w:pPr>
              <w:spacing w:after="0"/>
              <w:rPr>
                <w:sz w:val="1"/>
                <w:szCs w:val="1"/>
                <w:color w:val="auto"/>
              </w:rPr>
            </w:pPr>
          </w:p>
        </w:tc>
      </w:tr>
      <w:tr>
        <w:trPr>
          <w:trHeight w:val="230"/>
        </w:trPr>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(43,582)</w:t>
            </w: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(43,582)</w:t>
            </w:r>
          </w:p>
        </w:tc>
        <w:tc>
          <w:tcPr>
            <w:tcW w:w="0" w:type="dxa"/>
            <w:vAlign w:val="bottom"/>
          </w:tcPr>
          <w:p>
            <w:pPr>
              <w:spacing w:after="0"/>
              <w:rPr>
                <w:sz w:val="1"/>
                <w:szCs w:val="1"/>
                <w:color w:val="auto"/>
              </w:rPr>
            </w:pPr>
          </w:p>
        </w:tc>
      </w:tr>
      <w:tr>
        <w:trPr>
          <w:trHeight w:val="223"/>
        </w:trPr>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651,004</w:t>
            </w:r>
          </w:p>
        </w:tc>
        <w:tc>
          <w:tcPr>
            <w:tcW w:w="1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458,356</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1,477</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1,110,868</w:t>
            </w:r>
          </w:p>
        </w:tc>
        <w:tc>
          <w:tcPr>
            <w:tcW w:w="0" w:type="dxa"/>
            <w:vAlign w:val="bottom"/>
          </w:tcPr>
          <w:p>
            <w:pPr>
              <w:spacing w:after="0"/>
              <w:rPr>
                <w:sz w:val="1"/>
                <w:szCs w:val="1"/>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620" w:space="100"/>
            <w:col w:w="5500"/>
          </w:cols>
          <w:pgMar w:left="340" w:top="101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12" w:right="339" w:bottom="1440" w:gutter="0" w:footer="0" w:header="0"/>
          <w:type w:val="continuous"/>
        </w:sectPr>
      </w:pPr>
    </w:p>
    <w:bookmarkStart w:id="52" w:name="page53"/>
    <w:bookmarkEnd w:id="52"/>
    <w:p>
      <w:pPr>
        <w:jc w:val="center"/>
        <w:ind w:right="-3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520" w:type="dxa"/>
            <w:vAlign w:val="bottom"/>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64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9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0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73,828</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60,478</w:t>
            </w: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61,515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9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0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92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106,439</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96,474</w:t>
            </w: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91,622</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Deferred income taxes</w:t>
            </w:r>
          </w:p>
        </w:tc>
        <w:tc>
          <w:tcPr>
            <w:tcW w:w="9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(3,244)</w:t>
            </w:r>
          </w:p>
        </w:tc>
        <w:tc>
          <w:tcPr>
            <w:tcW w:w="1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(2,851)</w:t>
            </w:r>
          </w:p>
        </w:tc>
        <w:tc>
          <w:tcPr>
            <w:tcW w:w="1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(5,497)</w:t>
            </w:r>
          </w:p>
        </w:tc>
        <w:tc>
          <w:tcPr>
            <w:tcW w:w="0" w:type="dxa"/>
            <w:vAlign w:val="bottom"/>
          </w:tcPr>
          <w:p>
            <w:pPr>
              <w:spacing w:after="0"/>
              <w:rPr>
                <w:sz w:val="1"/>
                <w:szCs w:val="1"/>
                <w:color w:val="auto"/>
              </w:rPr>
            </w:pPr>
          </w:p>
        </w:tc>
      </w:tr>
      <w:tr>
        <w:trPr>
          <w:trHeight w:val="182"/>
        </w:trPr>
        <w:tc>
          <w:tcPr>
            <w:tcW w:w="6400" w:type="dxa"/>
            <w:vAlign w:val="bottom"/>
          </w:tcPr>
          <w:p>
            <w:pPr>
              <w:ind w:left="360"/>
              <w:spacing w:after="0"/>
              <w:rPr>
                <w:sz w:val="20"/>
                <w:szCs w:val="20"/>
                <w:color w:val="auto"/>
              </w:rPr>
            </w:pPr>
            <w:r>
              <w:rPr>
                <w:rFonts w:ascii="Arial" w:cs="Arial" w:eastAsia="Arial" w:hAnsi="Arial"/>
                <w:sz w:val="14"/>
                <w:szCs w:val="14"/>
                <w:color w:val="auto"/>
              </w:rPr>
              <w:t>Share-based compensation</w:t>
            </w:r>
          </w:p>
        </w:tc>
        <w:tc>
          <w:tcPr>
            <w:tcW w:w="92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4,791</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4,246</w:t>
            </w: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3,553</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Gain on sale of TWA, real estate investments and nonutility properties</w:t>
            </w:r>
          </w:p>
        </w:tc>
        <w:tc>
          <w:tcPr>
            <w:tcW w:w="9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(6,197)</w:t>
            </w:r>
          </w:p>
        </w:tc>
        <w:tc>
          <w:tcPr>
            <w:tcW w:w="1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(11,421)</w:t>
            </w:r>
          </w:p>
        </w:tc>
        <w:tc>
          <w:tcPr>
            <w:tcW w:w="1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(948)</w:t>
            </w:r>
          </w:p>
        </w:tc>
        <w:tc>
          <w:tcPr>
            <w:tcW w:w="0" w:type="dxa"/>
            <w:vAlign w:val="bottom"/>
          </w:tcPr>
          <w:p>
            <w:pPr>
              <w:spacing w:after="0"/>
              <w:rPr>
                <w:sz w:val="1"/>
                <w:szCs w:val="1"/>
                <w:color w:val="auto"/>
              </w:rPr>
            </w:pPr>
          </w:p>
        </w:tc>
      </w:tr>
      <w:tr>
        <w:trPr>
          <w:trHeight w:val="182"/>
        </w:trPr>
        <w:tc>
          <w:tcPr>
            <w:tcW w:w="6400" w:type="dxa"/>
            <w:vAlign w:val="bottom"/>
          </w:tcPr>
          <w:p>
            <w:pPr>
              <w:ind w:left="360"/>
              <w:spacing w:after="0"/>
              <w:rPr>
                <w:sz w:val="20"/>
                <w:szCs w:val="20"/>
                <w:color w:val="auto"/>
              </w:rPr>
            </w:pPr>
            <w:r>
              <w:rPr>
                <w:rFonts w:ascii="Arial" w:cs="Arial" w:eastAsia="Arial" w:hAnsi="Arial"/>
                <w:sz w:val="14"/>
                <w:szCs w:val="14"/>
                <w:color w:val="auto"/>
              </w:rPr>
              <w:t>Allowance for equity funds used during construction</w:t>
            </w:r>
          </w:p>
        </w:tc>
        <w:tc>
          <w:tcPr>
            <w:tcW w:w="9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(1,551)</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(1,926)</w:t>
            </w: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(1,249)</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Impairment of long-lived asset</w:t>
            </w:r>
          </w:p>
        </w:tc>
        <w:tc>
          <w:tcPr>
            <w:tcW w:w="9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2,211</w:t>
            </w:r>
          </w:p>
        </w:tc>
        <w:tc>
          <w:tcPr>
            <w:tcW w:w="1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6400" w:type="dxa"/>
            <w:vAlign w:val="bottom"/>
          </w:tcPr>
          <w:p>
            <w:pPr>
              <w:ind w:left="140"/>
              <w:spacing w:after="0"/>
              <w:rPr>
                <w:sz w:val="20"/>
                <w:szCs w:val="20"/>
                <w:color w:val="auto"/>
              </w:rPr>
            </w:pPr>
            <w:r>
              <w:rPr>
                <w:rFonts w:ascii="Arial" w:cs="Arial" w:eastAsia="Arial" w:hAnsi="Arial"/>
                <w:sz w:val="14"/>
                <w:szCs w:val="14"/>
                <w:color w:val="auto"/>
              </w:rPr>
              <w:t>Changes in operating assets and liabilities, net of acquired assets and liabilities:</w:t>
            </w: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Accounts receivable and accrued unbilled utility revenue</w:t>
            </w:r>
          </w:p>
        </w:tc>
        <w:tc>
          <w:tcPr>
            <w:tcW w:w="9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(8,222)</w:t>
            </w:r>
          </w:p>
        </w:tc>
        <w:tc>
          <w:tcPr>
            <w:tcW w:w="1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(5,931)</w:t>
            </w:r>
          </w:p>
        </w:tc>
        <w:tc>
          <w:tcPr>
            <w:tcW w:w="1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(18,918)</w:t>
            </w:r>
          </w:p>
        </w:tc>
        <w:tc>
          <w:tcPr>
            <w:tcW w:w="0" w:type="dxa"/>
            <w:vAlign w:val="bottom"/>
          </w:tcPr>
          <w:p>
            <w:pPr>
              <w:spacing w:after="0"/>
              <w:rPr>
                <w:sz w:val="1"/>
                <w:szCs w:val="1"/>
                <w:color w:val="auto"/>
              </w:rPr>
            </w:pPr>
          </w:p>
        </w:tc>
      </w:tr>
      <w:tr>
        <w:trPr>
          <w:trHeight w:val="182"/>
        </w:trPr>
        <w:tc>
          <w:tcPr>
            <w:tcW w:w="6400" w:type="dxa"/>
            <w:vAlign w:val="bottom"/>
          </w:tcPr>
          <w:p>
            <w:pPr>
              <w:ind w:left="360"/>
              <w:spacing w:after="0"/>
              <w:rPr>
                <w:sz w:val="20"/>
                <w:szCs w:val="20"/>
                <w:color w:val="auto"/>
              </w:rPr>
            </w:pPr>
            <w:r>
              <w:rPr>
                <w:rFonts w:ascii="Arial" w:cs="Arial" w:eastAsia="Arial" w:hAnsi="Arial"/>
                <w:sz w:val="14"/>
                <w:szCs w:val="14"/>
                <w:color w:val="auto"/>
              </w:rPr>
              <w:t>Accounts payable and other current liabilities</w:t>
            </w:r>
          </w:p>
        </w:tc>
        <w:tc>
          <w:tcPr>
            <w:tcW w:w="9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(1,388)</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4,843</w:t>
            </w: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Accrued groundwater extraction charges, purchased water and power</w:t>
            </w:r>
          </w:p>
        </w:tc>
        <w:tc>
          <w:tcPr>
            <w:tcW w:w="9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2,507</w:t>
            </w:r>
          </w:p>
        </w:tc>
        <w:tc>
          <w:tcPr>
            <w:tcW w:w="1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(1,984)</w:t>
            </w:r>
          </w:p>
        </w:tc>
        <w:tc>
          <w:tcPr>
            <w:tcW w:w="1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1,973</w:t>
            </w:r>
          </w:p>
        </w:tc>
        <w:tc>
          <w:tcPr>
            <w:tcW w:w="0" w:type="dxa"/>
            <w:vAlign w:val="bottom"/>
          </w:tcPr>
          <w:p>
            <w:pPr>
              <w:spacing w:after="0"/>
              <w:rPr>
                <w:sz w:val="1"/>
                <w:szCs w:val="1"/>
                <w:color w:val="auto"/>
              </w:rPr>
            </w:pPr>
          </w:p>
        </w:tc>
      </w:tr>
      <w:tr>
        <w:trPr>
          <w:trHeight w:val="182"/>
        </w:trPr>
        <w:tc>
          <w:tcPr>
            <w:tcW w:w="6400" w:type="dxa"/>
            <w:vAlign w:val="bottom"/>
          </w:tcPr>
          <w:p>
            <w:pPr>
              <w:ind w:left="360"/>
              <w:spacing w:after="0"/>
              <w:rPr>
                <w:sz w:val="20"/>
                <w:szCs w:val="20"/>
                <w:color w:val="auto"/>
              </w:rPr>
            </w:pPr>
            <w:r>
              <w:rPr>
                <w:rFonts w:ascii="Arial" w:cs="Arial" w:eastAsia="Arial" w:hAnsi="Arial"/>
                <w:sz w:val="14"/>
                <w:szCs w:val="14"/>
                <w:color w:val="auto"/>
              </w:rPr>
              <w:t>Tax receivable and accrued taxes</w:t>
            </w:r>
          </w:p>
        </w:tc>
        <w:tc>
          <w:tcPr>
            <w:tcW w:w="9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(11,954)</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(6,416)</w:t>
            </w: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(3,557)</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Postretirement benefits</w:t>
            </w:r>
          </w:p>
        </w:tc>
        <w:tc>
          <w:tcPr>
            <w:tcW w:w="9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(7,108)</w:t>
            </w:r>
          </w:p>
        </w:tc>
        <w:tc>
          <w:tcPr>
            <w:tcW w:w="1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(4,312)</w:t>
            </w:r>
          </w:p>
        </w:tc>
        <w:tc>
          <w:tcPr>
            <w:tcW w:w="1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(2,965)</w:t>
            </w:r>
          </w:p>
        </w:tc>
        <w:tc>
          <w:tcPr>
            <w:tcW w:w="0" w:type="dxa"/>
            <w:vAlign w:val="bottom"/>
          </w:tcPr>
          <w:p>
            <w:pPr>
              <w:spacing w:after="0"/>
              <w:rPr>
                <w:sz w:val="1"/>
                <w:szCs w:val="1"/>
                <w:color w:val="auto"/>
              </w:rPr>
            </w:pPr>
          </w:p>
        </w:tc>
      </w:tr>
      <w:tr>
        <w:trPr>
          <w:trHeight w:val="135"/>
        </w:trPr>
        <w:tc>
          <w:tcPr>
            <w:tcW w:w="6400" w:type="dxa"/>
            <w:vAlign w:val="bottom"/>
          </w:tcPr>
          <w:p>
            <w:pPr>
              <w:ind w:left="360"/>
              <w:spacing w:after="0" w:line="135" w:lineRule="exact"/>
              <w:rPr>
                <w:sz w:val="20"/>
                <w:szCs w:val="20"/>
                <w:color w:val="auto"/>
              </w:rPr>
            </w:pPr>
            <w:r>
              <w:rPr>
                <w:rFonts w:ascii="Arial" w:cs="Arial" w:eastAsia="Arial" w:hAnsi="Arial"/>
                <w:sz w:val="14"/>
                <w:szCs w:val="14"/>
                <w:color w:val="auto"/>
                <w:w w:val="97"/>
              </w:rPr>
              <w:t>Regulatory assets and liabilities excluding income tax temporary differences, net and postretirement</w:t>
            </w:r>
          </w:p>
        </w:tc>
        <w:tc>
          <w:tcPr>
            <w:tcW w:w="920" w:type="dxa"/>
            <w:vAlign w:val="bottom"/>
          </w:tcPr>
          <w:p>
            <w:pPr>
              <w:spacing w:after="0"/>
              <w:rPr>
                <w:sz w:val="11"/>
                <w:szCs w:val="11"/>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1,714</w:t>
            </w:r>
          </w:p>
        </w:tc>
        <w:tc>
          <w:tcPr>
            <w:tcW w:w="10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(14,629)</w:t>
            </w:r>
          </w:p>
        </w:tc>
        <w:tc>
          <w:tcPr>
            <w:tcW w:w="12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(14,459)</w:t>
            </w:r>
          </w:p>
        </w:tc>
        <w:tc>
          <w:tcPr>
            <w:tcW w:w="0" w:type="dxa"/>
            <w:vAlign w:val="bottom"/>
          </w:tcPr>
          <w:p>
            <w:pPr>
              <w:spacing w:after="0"/>
              <w:rPr>
                <w:sz w:val="1"/>
                <w:szCs w:val="1"/>
                <w:color w:val="auto"/>
              </w:rPr>
            </w:pPr>
          </w:p>
        </w:tc>
      </w:tr>
      <w:tr>
        <w:trPr>
          <w:trHeight w:val="182"/>
        </w:trPr>
        <w:tc>
          <w:tcPr>
            <w:tcW w:w="6400" w:type="dxa"/>
            <w:vAlign w:val="bottom"/>
          </w:tcPr>
          <w:p>
            <w:pPr>
              <w:ind w:left="360"/>
              <w:spacing w:after="0"/>
              <w:rPr>
                <w:sz w:val="20"/>
                <w:szCs w:val="20"/>
                <w:color w:val="auto"/>
              </w:rPr>
            </w:pPr>
            <w:r>
              <w:rPr>
                <w:rFonts w:ascii="Arial" w:cs="Arial" w:eastAsia="Arial" w:hAnsi="Arial"/>
                <w:sz w:val="14"/>
                <w:szCs w:val="14"/>
                <w:color w:val="auto"/>
              </w:rPr>
              <w:t>benefits</w:t>
            </w:r>
          </w:p>
        </w:tc>
        <w:tc>
          <w:tcPr>
            <w:tcW w:w="9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Up-front service concession payment</w:t>
            </w:r>
          </w:p>
        </w:tc>
        <w:tc>
          <w:tcPr>
            <w:tcW w:w="9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(1,600)</w:t>
            </w:r>
          </w:p>
        </w:tc>
        <w:tc>
          <w:tcPr>
            <w:tcW w:w="10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82"/>
        </w:trPr>
        <w:tc>
          <w:tcPr>
            <w:tcW w:w="6400" w:type="dxa"/>
            <w:vAlign w:val="bottom"/>
          </w:tcPr>
          <w:p>
            <w:pPr>
              <w:ind w:left="360"/>
              <w:spacing w:after="0"/>
              <w:rPr>
                <w:sz w:val="20"/>
                <w:szCs w:val="20"/>
                <w:color w:val="auto"/>
              </w:rPr>
            </w:pPr>
            <w:r>
              <w:rPr>
                <w:rFonts w:ascii="Arial" w:cs="Arial" w:eastAsia="Arial" w:hAnsi="Arial"/>
                <w:sz w:val="14"/>
                <w:szCs w:val="14"/>
                <w:color w:val="auto"/>
              </w:rPr>
              <w:t>Other noncurrent assets and noncurrent liabilities</w:t>
            </w:r>
          </w:p>
        </w:tc>
        <w:tc>
          <w:tcPr>
            <w:tcW w:w="92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17,923</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13,381</w:t>
            </w: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751</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Other changes, net</w:t>
            </w:r>
          </w:p>
        </w:tc>
        <w:tc>
          <w:tcPr>
            <w:tcW w:w="9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261</w:t>
            </w:r>
          </w:p>
        </w:tc>
        <w:tc>
          <w:tcPr>
            <w:tcW w:w="1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(2,123)</w:t>
            </w:r>
          </w:p>
        </w:tc>
        <w:tc>
          <w:tcPr>
            <w:tcW w:w="1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(2,413)</w:t>
            </w:r>
          </w:p>
        </w:tc>
        <w:tc>
          <w:tcPr>
            <w:tcW w:w="0" w:type="dxa"/>
            <w:vAlign w:val="bottom"/>
          </w:tcPr>
          <w:p>
            <w:pPr>
              <w:spacing w:after="0"/>
              <w:rPr>
                <w:sz w:val="1"/>
                <w:szCs w:val="1"/>
                <w:color w:val="auto"/>
              </w:rPr>
            </w:pPr>
          </w:p>
        </w:tc>
      </w:tr>
      <w:tr>
        <w:trPr>
          <w:trHeight w:val="176"/>
        </w:trPr>
        <w:tc>
          <w:tcPr>
            <w:tcW w:w="6400" w:type="dxa"/>
            <w:vAlign w:val="bottom"/>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9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166,199</w:t>
            </w:r>
          </w:p>
        </w:tc>
        <w:tc>
          <w:tcPr>
            <w:tcW w:w="100" w:type="dxa"/>
            <w:vAlign w:val="bottom"/>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130,040</w:t>
            </w:r>
          </w:p>
        </w:tc>
        <w:tc>
          <w:tcPr>
            <w:tcW w:w="120" w:type="dxa"/>
            <w:vAlign w:val="bottom"/>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104,051</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9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00" w:type="dxa"/>
            <w:vAlign w:val="bottom"/>
          </w:tcPr>
          <w:p>
            <w:pPr>
              <w:ind w:left="140"/>
              <w:spacing w:after="0"/>
              <w:rPr>
                <w:sz w:val="20"/>
                <w:szCs w:val="20"/>
                <w:color w:val="auto"/>
              </w:rPr>
            </w:pPr>
            <w:r>
              <w:rPr>
                <w:rFonts w:ascii="Arial" w:cs="Arial" w:eastAsia="Arial" w:hAnsi="Arial"/>
                <w:sz w:val="14"/>
                <w:szCs w:val="14"/>
                <w:color w:val="auto"/>
              </w:rPr>
              <w:t>Additions to utility plant:</w:t>
            </w: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Company-funded</w:t>
            </w:r>
          </w:p>
        </w:tc>
        <w:tc>
          <w:tcPr>
            <w:tcW w:w="9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(218,784)</w:t>
            </w:r>
          </w:p>
        </w:tc>
        <w:tc>
          <w:tcPr>
            <w:tcW w:w="1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(233,933)</w:t>
            </w:r>
          </w:p>
        </w:tc>
        <w:tc>
          <w:tcPr>
            <w:tcW w:w="1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(195,323)</w:t>
            </w:r>
          </w:p>
        </w:tc>
        <w:tc>
          <w:tcPr>
            <w:tcW w:w="0" w:type="dxa"/>
            <w:vAlign w:val="bottom"/>
          </w:tcPr>
          <w:p>
            <w:pPr>
              <w:spacing w:after="0"/>
              <w:rPr>
                <w:sz w:val="1"/>
                <w:szCs w:val="1"/>
                <w:color w:val="auto"/>
              </w:rPr>
            </w:pPr>
          </w:p>
        </w:tc>
      </w:tr>
      <w:tr>
        <w:trPr>
          <w:trHeight w:val="182"/>
        </w:trPr>
        <w:tc>
          <w:tcPr>
            <w:tcW w:w="6400" w:type="dxa"/>
            <w:vAlign w:val="bottom"/>
          </w:tcPr>
          <w:p>
            <w:pPr>
              <w:ind w:left="360"/>
              <w:spacing w:after="0"/>
              <w:rPr>
                <w:sz w:val="20"/>
                <w:szCs w:val="20"/>
                <w:color w:val="auto"/>
              </w:rPr>
            </w:pPr>
            <w:r>
              <w:rPr>
                <w:rFonts w:ascii="Arial" w:cs="Arial" w:eastAsia="Arial" w:hAnsi="Arial"/>
                <w:sz w:val="14"/>
                <w:szCs w:val="14"/>
                <w:color w:val="auto"/>
              </w:rPr>
              <w:t>Contributions in aid of construction</w:t>
            </w:r>
          </w:p>
        </w:tc>
        <w:tc>
          <w:tcPr>
            <w:tcW w:w="9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(22,935)</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(17,096)</w:t>
            </w: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(17,096)</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Additions to real estate investment</w:t>
            </w:r>
          </w:p>
        </w:tc>
        <w:tc>
          <w:tcPr>
            <w:tcW w:w="9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(631)</w:t>
            </w:r>
          </w:p>
        </w:tc>
        <w:tc>
          <w:tcPr>
            <w:tcW w:w="1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(826)</w:t>
            </w:r>
          </w:p>
        </w:tc>
        <w:tc>
          <w:tcPr>
            <w:tcW w:w="1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0" w:type="dxa"/>
            <w:vAlign w:val="bottom"/>
          </w:tcPr>
          <w:p>
            <w:pPr>
              <w:spacing w:after="0"/>
              <w:rPr>
                <w:sz w:val="1"/>
                <w:szCs w:val="1"/>
                <w:color w:val="auto"/>
              </w:rPr>
            </w:pPr>
          </w:p>
        </w:tc>
      </w:tr>
      <w:tr>
        <w:trPr>
          <w:trHeight w:val="182"/>
        </w:trPr>
        <w:tc>
          <w:tcPr>
            <w:tcW w:w="6400" w:type="dxa"/>
            <w:vAlign w:val="bottom"/>
          </w:tcPr>
          <w:p>
            <w:pPr>
              <w:ind w:left="140"/>
              <w:spacing w:after="0"/>
              <w:rPr>
                <w:sz w:val="20"/>
                <w:szCs w:val="20"/>
                <w:color w:val="auto"/>
              </w:rPr>
            </w:pPr>
            <w:r>
              <w:rPr>
                <w:rFonts w:ascii="Arial" w:cs="Arial" w:eastAsia="Arial" w:hAnsi="Arial"/>
                <w:sz w:val="14"/>
                <w:szCs w:val="14"/>
                <w:color w:val="auto"/>
              </w:rPr>
              <w:t>Payments for business/asset acquisitions</w:t>
            </w:r>
          </w:p>
        </w:tc>
        <w:tc>
          <w:tcPr>
            <w:tcW w:w="9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(433)</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(23,587)</w:t>
            </w: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Cost to retire utility plant, net of salvage</w:t>
            </w:r>
          </w:p>
        </w:tc>
        <w:tc>
          <w:tcPr>
            <w:tcW w:w="9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(2,520)</w:t>
            </w:r>
          </w:p>
        </w:tc>
        <w:tc>
          <w:tcPr>
            <w:tcW w:w="1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(2,781)</w:t>
            </w:r>
          </w:p>
        </w:tc>
        <w:tc>
          <w:tcPr>
            <w:tcW w:w="1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(2,556)</w:t>
            </w:r>
          </w:p>
        </w:tc>
        <w:tc>
          <w:tcPr>
            <w:tcW w:w="0" w:type="dxa"/>
            <w:vAlign w:val="bottom"/>
          </w:tcPr>
          <w:p>
            <w:pPr>
              <w:spacing w:after="0"/>
              <w:rPr>
                <w:sz w:val="1"/>
                <w:szCs w:val="1"/>
                <w:color w:val="auto"/>
              </w:rPr>
            </w:pPr>
          </w:p>
        </w:tc>
      </w:tr>
      <w:tr>
        <w:trPr>
          <w:trHeight w:val="182"/>
        </w:trPr>
        <w:tc>
          <w:tcPr>
            <w:tcW w:w="6400" w:type="dxa"/>
            <w:vAlign w:val="bottom"/>
          </w:tcPr>
          <w:p>
            <w:pPr>
              <w:ind w:left="140"/>
              <w:spacing w:after="0"/>
              <w:rPr>
                <w:sz w:val="20"/>
                <w:szCs w:val="20"/>
                <w:color w:val="auto"/>
              </w:rPr>
            </w:pPr>
            <w:r>
              <w:rPr>
                <w:rFonts w:ascii="Arial" w:cs="Arial" w:eastAsia="Arial" w:hAnsi="Arial"/>
                <w:sz w:val="14"/>
                <w:szCs w:val="14"/>
                <w:color w:val="auto"/>
              </w:rPr>
              <w:t>Proceeds from sale of TWA, real estate investments and nonutility properties</w:t>
            </w:r>
          </w:p>
        </w:tc>
        <w:tc>
          <w:tcPr>
            <w:tcW w:w="92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975</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18,228</w:t>
            </w: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1,151</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9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(244,328)</w:t>
            </w:r>
          </w:p>
        </w:tc>
        <w:tc>
          <w:tcPr>
            <w:tcW w:w="1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(259,995)</w:t>
            </w:r>
          </w:p>
        </w:tc>
        <w:tc>
          <w:tcPr>
            <w:tcW w:w="1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(214,259)</w:t>
            </w:r>
          </w:p>
        </w:tc>
        <w:tc>
          <w:tcPr>
            <w:tcW w:w="0" w:type="dxa"/>
            <w:vAlign w:val="bottom"/>
          </w:tcPr>
          <w:p>
            <w:pPr>
              <w:spacing w:after="0"/>
              <w:rPr>
                <w:sz w:val="1"/>
                <w:szCs w:val="1"/>
                <w:color w:val="auto"/>
              </w:rPr>
            </w:pPr>
          </w:p>
        </w:tc>
      </w:tr>
      <w:tr>
        <w:trPr>
          <w:trHeight w:val="174"/>
        </w:trPr>
        <w:tc>
          <w:tcPr>
            <w:tcW w:w="640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9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Borrowings from lines of credit</w:t>
            </w:r>
          </w:p>
        </w:tc>
        <w:tc>
          <w:tcPr>
            <w:tcW w:w="9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158,779</w:t>
            </w:r>
          </w:p>
        </w:tc>
        <w:tc>
          <w:tcPr>
            <w:tcW w:w="1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96,625</w:t>
            </w:r>
          </w:p>
        </w:tc>
        <w:tc>
          <w:tcPr>
            <w:tcW w:w="12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276,174</w:t>
            </w:r>
          </w:p>
        </w:tc>
        <w:tc>
          <w:tcPr>
            <w:tcW w:w="0" w:type="dxa"/>
            <w:vAlign w:val="bottom"/>
          </w:tcPr>
          <w:p>
            <w:pPr>
              <w:spacing w:after="0"/>
              <w:rPr>
                <w:sz w:val="1"/>
                <w:szCs w:val="1"/>
                <w:color w:val="auto"/>
              </w:rPr>
            </w:pPr>
          </w:p>
        </w:tc>
      </w:tr>
      <w:tr>
        <w:trPr>
          <w:trHeight w:val="182"/>
        </w:trPr>
        <w:tc>
          <w:tcPr>
            <w:tcW w:w="6400" w:type="dxa"/>
            <w:vAlign w:val="bottom"/>
          </w:tcPr>
          <w:p>
            <w:pPr>
              <w:ind w:left="140"/>
              <w:spacing w:after="0"/>
              <w:rPr>
                <w:sz w:val="20"/>
                <w:szCs w:val="20"/>
                <w:color w:val="auto"/>
              </w:rPr>
            </w:pPr>
            <w:r>
              <w:rPr>
                <w:rFonts w:ascii="Arial" w:cs="Arial" w:eastAsia="Arial" w:hAnsi="Arial"/>
                <w:sz w:val="14"/>
                <w:szCs w:val="14"/>
                <w:color w:val="auto"/>
              </w:rPr>
              <w:t>Repayments of lines of credit</w:t>
            </w:r>
          </w:p>
        </w:tc>
        <w:tc>
          <w:tcPr>
            <w:tcW w:w="9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(62,197)</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(208,722)</w:t>
            </w: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(218,289)</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Long-term borrowings</w:t>
            </w:r>
          </w:p>
        </w:tc>
        <w:tc>
          <w:tcPr>
            <w:tcW w:w="9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55,000</w:t>
            </w:r>
          </w:p>
        </w:tc>
        <w:tc>
          <w:tcPr>
            <w:tcW w:w="1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247,000</w:t>
            </w:r>
          </w:p>
        </w:tc>
        <w:tc>
          <w:tcPr>
            <w:tcW w:w="1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85,000</w:t>
            </w:r>
          </w:p>
        </w:tc>
        <w:tc>
          <w:tcPr>
            <w:tcW w:w="0" w:type="dxa"/>
            <w:vAlign w:val="bottom"/>
          </w:tcPr>
          <w:p>
            <w:pPr>
              <w:spacing w:after="0"/>
              <w:rPr>
                <w:sz w:val="1"/>
                <w:szCs w:val="1"/>
                <w:color w:val="auto"/>
              </w:rPr>
            </w:pPr>
          </w:p>
        </w:tc>
      </w:tr>
      <w:tr>
        <w:trPr>
          <w:trHeight w:val="182"/>
        </w:trPr>
        <w:tc>
          <w:tcPr>
            <w:tcW w:w="6400" w:type="dxa"/>
            <w:vAlign w:val="bottom"/>
          </w:tcPr>
          <w:p>
            <w:pPr>
              <w:ind w:left="140"/>
              <w:spacing w:after="0"/>
              <w:rPr>
                <w:sz w:val="20"/>
                <w:szCs w:val="20"/>
                <w:color w:val="auto"/>
              </w:rPr>
            </w:pPr>
            <w:r>
              <w:rPr>
                <w:rFonts w:ascii="Arial" w:cs="Arial" w:eastAsia="Arial" w:hAnsi="Arial"/>
                <w:sz w:val="14"/>
                <w:szCs w:val="14"/>
                <w:color w:val="auto"/>
              </w:rPr>
              <w:t>Long-term borrowings held as restricted cash</w:t>
            </w:r>
          </w:p>
        </w:tc>
        <w:tc>
          <w:tcPr>
            <w:tcW w:w="92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Repayments of long-term borrowings</w:t>
            </w:r>
          </w:p>
        </w:tc>
        <w:tc>
          <w:tcPr>
            <w:tcW w:w="9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(89,177)</w:t>
            </w:r>
          </w:p>
        </w:tc>
        <w:tc>
          <w:tcPr>
            <w:tcW w:w="1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(76,113)</w:t>
            </w:r>
          </w:p>
        </w:tc>
        <w:tc>
          <w:tcPr>
            <w:tcW w:w="1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(28,931)</w:t>
            </w:r>
          </w:p>
        </w:tc>
        <w:tc>
          <w:tcPr>
            <w:tcW w:w="0" w:type="dxa"/>
            <w:vAlign w:val="bottom"/>
          </w:tcPr>
          <w:p>
            <w:pPr>
              <w:spacing w:after="0"/>
              <w:rPr>
                <w:sz w:val="1"/>
                <w:szCs w:val="1"/>
                <w:color w:val="auto"/>
              </w:rPr>
            </w:pPr>
          </w:p>
        </w:tc>
      </w:tr>
      <w:tr>
        <w:trPr>
          <w:trHeight w:val="182"/>
        </w:trPr>
        <w:tc>
          <w:tcPr>
            <w:tcW w:w="6400" w:type="dxa"/>
            <w:vAlign w:val="bottom"/>
          </w:tcPr>
          <w:p>
            <w:pPr>
              <w:ind w:left="140"/>
              <w:spacing w:after="0"/>
              <w:rPr>
                <w:sz w:val="20"/>
                <w:szCs w:val="20"/>
                <w:color w:val="auto"/>
              </w:rPr>
            </w:pPr>
            <w:r>
              <w:rPr>
                <w:rFonts w:ascii="Arial" w:cs="Arial" w:eastAsia="Arial" w:hAnsi="Arial"/>
                <w:sz w:val="14"/>
                <w:szCs w:val="14"/>
                <w:color w:val="auto"/>
              </w:rPr>
              <w:t>Dividends paid</w:t>
            </w:r>
          </w:p>
        </w:tc>
        <w:tc>
          <w:tcPr>
            <w:tcW w:w="9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(43,582)</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(40,137)</w:t>
            </w: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(36,509)</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Receipts of advances and contributions in aid of construction</w:t>
            </w:r>
          </w:p>
        </w:tc>
        <w:tc>
          <w:tcPr>
            <w:tcW w:w="9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23,820</w:t>
            </w:r>
          </w:p>
        </w:tc>
        <w:tc>
          <w:tcPr>
            <w:tcW w:w="1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26,438</w:t>
            </w:r>
          </w:p>
        </w:tc>
        <w:tc>
          <w:tcPr>
            <w:tcW w:w="1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23,874</w:t>
            </w:r>
          </w:p>
        </w:tc>
        <w:tc>
          <w:tcPr>
            <w:tcW w:w="0" w:type="dxa"/>
            <w:vAlign w:val="bottom"/>
          </w:tcPr>
          <w:p>
            <w:pPr>
              <w:spacing w:after="0"/>
              <w:rPr>
                <w:sz w:val="1"/>
                <w:szCs w:val="1"/>
                <w:color w:val="auto"/>
              </w:rPr>
            </w:pPr>
          </w:p>
        </w:tc>
      </w:tr>
      <w:tr>
        <w:trPr>
          <w:trHeight w:val="182"/>
        </w:trPr>
        <w:tc>
          <w:tcPr>
            <w:tcW w:w="6400" w:type="dxa"/>
            <w:vAlign w:val="bottom"/>
          </w:tcPr>
          <w:p>
            <w:pPr>
              <w:ind w:left="140"/>
              <w:spacing w:after="0"/>
              <w:rPr>
                <w:sz w:val="20"/>
                <w:szCs w:val="20"/>
                <w:color w:val="auto"/>
              </w:rPr>
            </w:pPr>
            <w:r>
              <w:rPr>
                <w:rFonts w:ascii="Arial" w:cs="Arial" w:eastAsia="Arial" w:hAnsi="Arial"/>
                <w:sz w:val="14"/>
                <w:szCs w:val="14"/>
                <w:color w:val="auto"/>
              </w:rPr>
              <w:t>Refunds of advances for construction</w:t>
            </w:r>
          </w:p>
        </w:tc>
        <w:tc>
          <w:tcPr>
            <w:tcW w:w="9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(2,859)</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(2,852)</w:t>
            </w: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(2,767)</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Issuance of common stock, net of issuance costs</w:t>
            </w:r>
          </w:p>
        </w:tc>
        <w:tc>
          <w:tcPr>
            <w:tcW w:w="9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39,085</w:t>
            </w:r>
          </w:p>
        </w:tc>
        <w:tc>
          <w:tcPr>
            <w:tcW w:w="1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91,028</w:t>
            </w:r>
          </w:p>
        </w:tc>
        <w:tc>
          <w:tcPr>
            <w:tcW w:w="1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6400" w:type="dxa"/>
            <w:vAlign w:val="bottom"/>
          </w:tcPr>
          <w:p>
            <w:pPr>
              <w:ind w:left="140"/>
              <w:spacing w:after="0"/>
              <w:rPr>
                <w:sz w:val="20"/>
                <w:szCs w:val="20"/>
                <w:color w:val="auto"/>
              </w:rPr>
            </w:pPr>
            <w:r>
              <w:rPr>
                <w:rFonts w:ascii="Arial" w:cs="Arial" w:eastAsia="Arial" w:hAnsi="Arial"/>
                <w:sz w:val="14"/>
                <w:szCs w:val="14"/>
                <w:color w:val="auto"/>
              </w:rPr>
              <w:t>Other changes, net</w:t>
            </w:r>
          </w:p>
        </w:tc>
        <w:tc>
          <w:tcPr>
            <w:tcW w:w="9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(515)</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(462)</w:t>
            </w: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(1,019)</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financing activities</w:t>
            </w:r>
          </w:p>
        </w:tc>
        <w:tc>
          <w:tcPr>
            <w:tcW w:w="9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78,354</w:t>
            </w:r>
          </w:p>
        </w:tc>
        <w:tc>
          <w:tcPr>
            <w:tcW w:w="1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132,805</w:t>
            </w:r>
          </w:p>
        </w:tc>
        <w:tc>
          <w:tcPr>
            <w:tcW w:w="1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101,533</w:t>
            </w:r>
          </w:p>
        </w:tc>
        <w:tc>
          <w:tcPr>
            <w:tcW w:w="0" w:type="dxa"/>
            <w:vAlign w:val="bottom"/>
          </w:tcPr>
          <w:p>
            <w:pPr>
              <w:spacing w:after="0"/>
              <w:rPr>
                <w:sz w:val="1"/>
                <w:szCs w:val="1"/>
                <w:color w:val="auto"/>
              </w:rPr>
            </w:pPr>
          </w:p>
        </w:tc>
      </w:tr>
      <w:tr>
        <w:trPr>
          <w:trHeight w:val="176"/>
        </w:trPr>
        <w:tc>
          <w:tcPr>
            <w:tcW w:w="6400" w:type="dxa"/>
            <w:vAlign w:val="bottom"/>
          </w:tcPr>
          <w:p>
            <w:pPr>
              <w:ind w:left="20"/>
              <w:spacing w:after="0"/>
              <w:rPr>
                <w:sz w:val="20"/>
                <w:szCs w:val="20"/>
                <w:color w:val="auto"/>
              </w:rPr>
            </w:pPr>
            <w:r>
              <w:rPr>
                <w:rFonts w:ascii="Arial" w:cs="Arial" w:eastAsia="Arial" w:hAnsi="Arial"/>
                <w:sz w:val="14"/>
                <w:szCs w:val="14"/>
                <w:b w:val="1"/>
                <w:bCs w:val="1"/>
                <w:color w:val="auto"/>
              </w:rPr>
              <w:t>Net change in cash, cash equivalents and restricted cash</w:t>
            </w:r>
          </w:p>
        </w:tc>
        <w:tc>
          <w:tcPr>
            <w:tcW w:w="9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2,850</w:t>
            </w:r>
          </w:p>
        </w:tc>
        <w:tc>
          <w:tcPr>
            <w:tcW w:w="120" w:type="dxa"/>
            <w:vAlign w:val="bottom"/>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(8,675)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 beginning of year</w:t>
            </w:r>
          </w:p>
        </w:tc>
        <w:tc>
          <w:tcPr>
            <w:tcW w:w="9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12,119</w:t>
            </w:r>
          </w:p>
        </w:tc>
        <w:tc>
          <w:tcPr>
            <w:tcW w:w="100" w:type="dxa"/>
            <w:vAlign w:val="bottom"/>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9,269</w:t>
            </w:r>
          </w:p>
        </w:tc>
        <w:tc>
          <w:tcPr>
            <w:tcW w:w="120" w:type="dxa"/>
            <w:vAlign w:val="bottom"/>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17,944</w:t>
            </w:r>
          </w:p>
        </w:tc>
        <w:tc>
          <w:tcPr>
            <w:tcW w:w="0" w:type="dxa"/>
            <w:vAlign w:val="bottom"/>
          </w:tcPr>
          <w:p>
            <w:pPr>
              <w:spacing w:after="0"/>
              <w:rPr>
                <w:sz w:val="1"/>
                <w:szCs w:val="1"/>
                <w:color w:val="auto"/>
              </w:rPr>
            </w:pPr>
          </w:p>
        </w:tc>
      </w:tr>
      <w:tr>
        <w:trPr>
          <w:trHeight w:val="176"/>
        </w:trPr>
        <w:tc>
          <w:tcPr>
            <w:tcW w:w="6400" w:type="dxa"/>
            <w:vAlign w:val="bottom"/>
          </w:tcPr>
          <w:p>
            <w:pPr>
              <w:ind w:left="20"/>
              <w:spacing w:after="0"/>
              <w:rPr>
                <w:sz w:val="20"/>
                <w:szCs w:val="20"/>
                <w:color w:val="auto"/>
              </w:rPr>
            </w:pPr>
            <w:r>
              <w:rPr>
                <w:rFonts w:ascii="Arial" w:cs="Arial" w:eastAsia="Arial" w:hAnsi="Arial"/>
                <w:sz w:val="14"/>
                <w:szCs w:val="14"/>
                <w:b w:val="1"/>
                <w:bCs w:val="1"/>
                <w:color w:val="auto"/>
              </w:rPr>
              <w:t>Cash, cash equivalents and restricted cash, end of year</w:t>
            </w:r>
          </w:p>
        </w:tc>
        <w:tc>
          <w:tcPr>
            <w:tcW w:w="92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12,344</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12,119</w:t>
            </w: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9,269</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Less restricted cash, end of year</w:t>
            </w:r>
          </w:p>
        </w:tc>
        <w:tc>
          <w:tcPr>
            <w:tcW w:w="9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1,211</w:t>
            </w: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176"/>
        </w:trPr>
        <w:tc>
          <w:tcPr>
            <w:tcW w:w="640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end of year</w:t>
            </w:r>
          </w:p>
        </w:tc>
        <w:tc>
          <w:tcPr>
            <w:tcW w:w="920" w:type="dxa"/>
            <w:vAlign w:val="bottom"/>
            <w:tcBorders>
              <w:top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12,344</w:t>
            </w:r>
          </w:p>
        </w:tc>
        <w:tc>
          <w:tcPr>
            <w:tcW w:w="100" w:type="dxa"/>
            <w:vAlign w:val="bottom"/>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10,908</w:t>
            </w:r>
          </w:p>
        </w:tc>
        <w:tc>
          <w:tcPr>
            <w:tcW w:w="120" w:type="dxa"/>
            <w:vAlign w:val="bottom"/>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5,269</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400" w:type="dxa"/>
            <w:vAlign w:val="bottom"/>
          </w:tcPr>
          <w:p>
            <w:pPr>
              <w:ind w:left="20"/>
              <w:spacing w:after="0"/>
              <w:rPr>
                <w:sz w:val="20"/>
                <w:szCs w:val="20"/>
                <w:color w:val="auto"/>
              </w:rPr>
            </w:pPr>
            <w:r>
              <w:rPr>
                <w:rFonts w:ascii="Arial" w:cs="Arial" w:eastAsia="Arial" w:hAnsi="Arial"/>
                <w:sz w:val="14"/>
                <w:szCs w:val="14"/>
                <w:b w:val="1"/>
                <w:bCs w:val="1"/>
                <w:color w:val="auto"/>
              </w:rPr>
              <w:t>Cash paid during the year for:</w:t>
            </w: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Interest</w:t>
            </w:r>
          </w:p>
        </w:tc>
        <w:tc>
          <w:tcPr>
            <w:tcW w:w="920" w:type="dxa"/>
            <w:vAlign w:val="bottom"/>
            <w:tcBorders>
              <w:bottom w:val="single" w:sz="8" w:color="CCEEFF"/>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63,677</w:t>
            </w:r>
          </w:p>
        </w:tc>
        <w:tc>
          <w:tcPr>
            <w:tcW w:w="1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58,175</w:t>
            </w:r>
          </w:p>
        </w:tc>
        <w:tc>
          <w:tcPr>
            <w:tcW w:w="12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59,955</w:t>
            </w:r>
          </w:p>
        </w:tc>
        <w:tc>
          <w:tcPr>
            <w:tcW w:w="0" w:type="dxa"/>
            <w:vAlign w:val="bottom"/>
          </w:tcPr>
          <w:p>
            <w:pPr>
              <w:spacing w:after="0"/>
              <w:rPr>
                <w:sz w:val="1"/>
                <w:szCs w:val="1"/>
                <w:color w:val="auto"/>
              </w:rPr>
            </w:pPr>
          </w:p>
        </w:tc>
      </w:tr>
      <w:tr>
        <w:trPr>
          <w:trHeight w:val="182"/>
        </w:trPr>
        <w:tc>
          <w:tcPr>
            <w:tcW w:w="6400" w:type="dxa"/>
            <w:vAlign w:val="bottom"/>
          </w:tcPr>
          <w:p>
            <w:pPr>
              <w:ind w:left="140"/>
              <w:spacing w:after="0"/>
              <w:rPr>
                <w:sz w:val="20"/>
                <w:szCs w:val="20"/>
                <w:color w:val="auto"/>
              </w:rPr>
            </w:pPr>
            <w:r>
              <w:rPr>
                <w:rFonts w:ascii="Arial" w:cs="Arial" w:eastAsia="Arial" w:hAnsi="Arial"/>
                <w:sz w:val="14"/>
                <w:szCs w:val="14"/>
                <w:color w:val="auto"/>
              </w:rPr>
              <w:t>Income taxes</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6,853</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8,466</w:t>
            </w: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10,380</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activities:</w:t>
            </w:r>
          </w:p>
        </w:tc>
        <w:tc>
          <w:tcPr>
            <w:tcW w:w="9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6400" w:type="dxa"/>
            <w:vAlign w:val="bottom"/>
          </w:tcPr>
          <w:p>
            <w:pPr>
              <w:ind w:left="140"/>
              <w:spacing w:after="0"/>
              <w:rPr>
                <w:sz w:val="20"/>
                <w:szCs w:val="20"/>
                <w:color w:val="auto"/>
              </w:rPr>
            </w:pPr>
            <w:r>
              <w:rPr>
                <w:rFonts w:ascii="Arial" w:cs="Arial" w:eastAsia="Arial" w:hAnsi="Arial"/>
                <w:sz w:val="14"/>
                <w:szCs w:val="14"/>
                <w:color w:val="auto"/>
              </w:rPr>
              <w:t>Accrued payables for additions to utility plant</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22,561</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20,579</w:t>
            </w: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24,571</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Utility property installed by developers</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2,433</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2,659</w:t>
            </w: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9,779</w:t>
            </w:r>
          </w:p>
        </w:tc>
        <w:tc>
          <w:tcPr>
            <w:tcW w:w="0" w:type="dxa"/>
            <w:vAlign w:val="bottom"/>
          </w:tcPr>
          <w:p>
            <w:pPr>
              <w:spacing w:after="0"/>
              <w:rPr>
                <w:sz w:val="1"/>
                <w:szCs w:val="1"/>
                <w:color w:val="auto"/>
              </w:rPr>
            </w:pPr>
          </w:p>
        </w:tc>
      </w:tr>
      <w:tr>
        <w:trPr>
          <w:trHeight w:val="20"/>
        </w:trPr>
        <w:tc>
          <w:tcPr>
            <w:tcW w:w="64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00"/>
          </w:cols>
          <w:pgMar w:left="320" w:top="101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type w:val="continuous"/>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Organization and Operations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 and include the accounts of SJW Group, its wholly owned subsidiaries, and two variable interest entities in which two SJW Group subsidiaries are the primary beneficiaries. The accounting policies of SJW Group’s subsidiaries comply with the applicable uniform system of accounts prescribed by the respective regulators. All intercompany transactions and balances have been eliminated in consolidation. The accounting policies of SJW Group’s subsidiaries comply with the applicable uniform system of accounts prescribed by the respective regulators and conform to generally accepted accounting principles for rate-regulated public utilities.</w:t>
      </w:r>
    </w:p>
    <w:p>
      <w:pPr>
        <w:spacing w:after="0" w:line="8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SJW Group is a holding company of San Jose Water Company (“SJWC”), SJWNE LLC, SJWTX, Inc. (“SJWTX”), SJW Land Company and SJWTX Holdings. SJWNE LLC is a special purpose entity holding company for Connecticut Water Service, Inc. (“CTWS”) (and its wholly subsidiaries, The Connecticut Water Company (“Connecticut Water”), The Maine Water Company (“Maine Water”), Chester Realty, Inc. and New England Water Utility Services, Inc. (“NEWUS”). SJWTX has a 25% interest in Acequia Water Supply Corporation (“Acequia”). Acequia has been determined to be a variable interest entity within the scope of Accounting Standards Codification (“ASC”) Topic 810 with SJWTX as the primary beneficiary. As a result, Acequia has been consolidated with SJWTX. SJW Group, through its wholly-owned subsidiaries, primarily provides water utility and other related services in California, Connecticut, Maine and Texas. SJW Group has business in property management and real estate investment activity conducted by SJW Land Company and Chester Realty, Inc.</w:t>
      </w:r>
    </w:p>
    <w:p>
      <w:pPr>
        <w:spacing w:after="0" w:line="8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SJWTX is undergoing a corporate reorganization to separate regulated operations from non-tariffed activities. In 2021, SJWTX Holdings, Inc. (“SJWTX Holdings”) and Texas Water Operation Services LLC (“TWOS”) were formed for the purpose of effecting a corporate reorganization of our water services organization in Texas. TWOS was created for non-tariffed operations and is wholly-owned by SJWTX Holdings. SJWTX Holdings is a wholly-owned subsidiary of SJW Group, incorporated to hold the investments in SJWTX and TWOS. In 2022, SJWTX filed with the State of Texas an assumed named certificate to operate under the name The Texas Water Company. SJWTX Holdings intends to create a new subsidiary to hold future wholesale water supply assets in 2023.</w:t>
      </w:r>
    </w:p>
    <w:p>
      <w:pPr>
        <w:spacing w:after="0" w:line="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Water sales are seasonal in nature and influenced by weather conditions. The timing of precipitation and climatic conditions can cause seasonal water consumption by customers to vary significantly. Revenue is generally higher in the warm, dry summer months when water usage and sales are greater and lower in the winter months when cooler temperatures and increased rainfall curtail water usage and sales.</w:t>
      </w:r>
    </w:p>
    <w:p>
      <w:pPr>
        <w:spacing w:after="0" w:line="26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preparation of the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Depreciable Utility Plant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major components of depreciable plant and equipment as of December 31, 2022 and 2021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540" w:type="dxa"/>
            <w:vAlign w:val="bottom"/>
          </w:tcPr>
          <w:p>
            <w:pPr>
              <w:jc w:val="right"/>
              <w:ind w:right="534"/>
              <w:spacing w:after="0"/>
              <w:rPr>
                <w:sz w:val="20"/>
                <w:szCs w:val="20"/>
                <w:color w:val="auto"/>
              </w:rPr>
            </w:pPr>
            <w:r>
              <w:rPr>
                <w:rFonts w:ascii="Arial" w:cs="Arial" w:eastAsia="Arial" w:hAnsi="Arial"/>
                <w:sz w:val="14"/>
                <w:szCs w:val="14"/>
                <w:b w:val="1"/>
                <w:bCs w:val="1"/>
                <w:color w:val="auto"/>
              </w:rPr>
              <w:t>2021</w:t>
            </w:r>
          </w:p>
        </w:tc>
      </w:tr>
      <w:tr>
        <w:trPr>
          <w:trHeight w:val="25"/>
        </w:trPr>
        <w:tc>
          <w:tcPr>
            <w:tcW w:w="8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652,723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598,285</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Transmission and distribution plant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2,649,476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1,802,008</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buildings and other structures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359,086</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981,615</w:t>
            </w:r>
          </w:p>
        </w:tc>
      </w:tr>
      <w:tr>
        <w:trPr>
          <w:trHeight w:val="223"/>
        </w:trPr>
        <w:tc>
          <w:tcPr>
            <w:tcW w:w="8060" w:type="dxa"/>
            <w:vAlign w:val="bottom"/>
          </w:tcPr>
          <w:p>
            <w:pPr>
              <w:ind w:left="140"/>
              <w:spacing w:after="0"/>
              <w:rPr>
                <w:sz w:val="20"/>
                <w:szCs w:val="20"/>
                <w:color w:val="auto"/>
              </w:rPr>
            </w:pPr>
            <w:r>
              <w:rPr>
                <w:rFonts w:ascii="Arial" w:cs="Arial" w:eastAsia="Arial" w:hAnsi="Arial"/>
                <w:sz w:val="18"/>
                <w:szCs w:val="18"/>
                <w:color w:val="auto"/>
              </w:rPr>
              <w:t>Total depreciable plant and equipment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3,661,285</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3,381,908</w:t>
            </w:r>
          </w:p>
        </w:tc>
      </w:tr>
      <w:tr>
        <w:trPr>
          <w:trHeight w:val="20"/>
        </w:trPr>
        <w:tc>
          <w:tcPr>
            <w:tcW w:w="8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54" w:name="page55"/>
    <w:bookmarkEnd w:id="54"/>
    <w:p>
      <w:pPr>
        <w:ind w:right="480"/>
        <w:spacing w:after="0" w:line="277" w:lineRule="auto"/>
        <w:rPr>
          <w:sz w:val="20"/>
          <w:szCs w:val="20"/>
          <w:color w:val="auto"/>
        </w:rPr>
      </w:pPr>
      <w:r>
        <w:rPr>
          <w:rFonts w:ascii="Arial" w:cs="Arial" w:eastAsia="Arial" w:hAnsi="Arial"/>
          <w:sz w:val="18"/>
          <w:szCs w:val="18"/>
          <w:color w:val="auto"/>
        </w:rPr>
        <w:t>Depreciation is computed using the straight-line method over the estimated remaining service lives of groups of assets. The estimated service lives of depreciable plant and equipment are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20" w:type="dxa"/>
            <w:vAlign w:val="bottom"/>
          </w:tcPr>
          <w:p>
            <w:pPr>
              <w:spacing w:after="0"/>
              <w:rPr>
                <w:sz w:val="16"/>
                <w:szCs w:val="16"/>
                <w:color w:val="auto"/>
              </w:rPr>
            </w:pPr>
          </w:p>
        </w:tc>
        <w:tc>
          <w:tcPr>
            <w:tcW w:w="1520" w:type="dxa"/>
            <w:vAlign w:val="bottom"/>
          </w:tcPr>
          <w:p>
            <w:pPr>
              <w:jc w:val="right"/>
              <w:ind w:right="295"/>
              <w:spacing w:after="0"/>
              <w:rPr>
                <w:sz w:val="20"/>
                <w:szCs w:val="20"/>
                <w:color w:val="auto"/>
              </w:rPr>
            </w:pPr>
            <w:r>
              <w:rPr>
                <w:rFonts w:ascii="Arial" w:cs="Arial" w:eastAsia="Arial" w:hAnsi="Arial"/>
                <w:sz w:val="14"/>
                <w:szCs w:val="14"/>
                <w:b w:val="1"/>
                <w:bCs w:val="1"/>
                <w:color w:val="auto"/>
              </w:rPr>
              <w:t>Useful Lives</w:t>
            </w:r>
          </w:p>
        </w:tc>
      </w:tr>
      <w:tr>
        <w:trPr>
          <w:trHeight w:val="26"/>
        </w:trPr>
        <w:tc>
          <w:tcPr>
            <w:tcW w:w="97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to 35 years</w:t>
            </w:r>
          </w:p>
        </w:tc>
      </w:tr>
      <w:tr>
        <w:trPr>
          <w:trHeight w:val="229"/>
        </w:trPr>
        <w:tc>
          <w:tcPr>
            <w:tcW w:w="9720" w:type="dxa"/>
            <w:vAlign w:val="bottom"/>
          </w:tcPr>
          <w:p>
            <w:pPr>
              <w:ind w:left="20"/>
              <w:spacing w:after="0"/>
              <w:rPr>
                <w:sz w:val="20"/>
                <w:szCs w:val="20"/>
                <w:color w:val="auto"/>
              </w:rPr>
            </w:pPr>
            <w:r>
              <w:rPr>
                <w:rFonts w:ascii="Arial" w:cs="Arial" w:eastAsia="Arial" w:hAnsi="Arial"/>
                <w:sz w:val="18"/>
                <w:szCs w:val="18"/>
                <w:color w:val="auto"/>
              </w:rPr>
              <w:t>Transmission and distribution plant</w:t>
            </w:r>
          </w:p>
        </w:tc>
        <w:tc>
          <w:tcPr>
            <w:tcW w:w="1520" w:type="dxa"/>
            <w:vAlign w:val="bottom"/>
          </w:tcPr>
          <w:p>
            <w:pPr>
              <w:jc w:val="right"/>
              <w:spacing w:after="0"/>
              <w:rPr>
                <w:sz w:val="20"/>
                <w:szCs w:val="20"/>
                <w:color w:val="auto"/>
              </w:rPr>
            </w:pPr>
            <w:r>
              <w:rPr>
                <w:rFonts w:ascii="Arial" w:cs="Arial" w:eastAsia="Arial" w:hAnsi="Arial"/>
                <w:sz w:val="18"/>
                <w:szCs w:val="18"/>
                <w:color w:val="auto"/>
              </w:rPr>
              <w:t>35 to 75 years</w:t>
            </w: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buildings and other structures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to 50 years</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For the years 2022, 2021 and 2020, depreciation expense as a percent of the beginning of the year balance of depreciable plant was approximately 3.3%,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3.2% and 3.2%, respectively. Depreciation expense for utility plant for the years ended December 31, 2022, 2021 and 2020 was $99,413, $91,906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$86,823, respectively. The cost of utility plant retired, including retirement costs (less salvage), is charged to accumulated depreciation and no gain or loss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 recognized.</w:t>
      </w:r>
    </w:p>
    <w:p>
      <w:pPr>
        <w:spacing w:after="0" w:line="13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Allowance For Funds Used During Construction (“AFUDC”)</w:t>
      </w:r>
    </w:p>
    <w:p>
      <w:pPr>
        <w:spacing w:after="0" w:line="12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AFUDC represents the capitalized costs of borrowed funds or a return on equity funds used to finance utility plant under construction and is capitalized as part of construction work in progress. AFUDC is recorded to the extent approved by the respective states’ utility regulators and is recovered through water rates as the utility plant depreciates. The amount of interest capitalized in 2022, 2021 and 2020 was $4,703, $4,422 and $4,133, respectively. Interest on long-term debt is presented net of amounts capitalized on the Consolidated Statement of Comprehensive Income. The amount of equity funds capitalized in 2022, 2021 and 2020 was $1,551, $1,926 and $1,249, respectively, reflected in “Other, net” on the Consolidated Statement of Comprehensive Income.</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Intangible assets are recorded at cost and are amortized using the straight-line method over the estimated useful life of the asset, ranging from 5 to 70 years (see </w:t>
      </w:r>
      <w:r>
        <w:rPr>
          <w:rFonts w:ascii="Arial" w:cs="Arial" w:eastAsia="Arial" w:hAnsi="Arial"/>
          <w:sz w:val="18"/>
          <w:szCs w:val="18"/>
          <w:u w:val="single" w:color="auto"/>
          <w:color w:val="0000FF"/>
        </w:rPr>
        <w:t>Note 8</w:t>
      </w:r>
      <w:r>
        <w:rPr>
          <w:rFonts w:ascii="Arial" w:cs="Arial" w:eastAsia="Arial" w:hAnsi="Arial"/>
          <w:sz w:val="18"/>
          <w:szCs w:val="18"/>
          <w:color w:val="auto"/>
        </w:rPr>
        <w:t>, “Utility Plant Intangible Assets”).</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Real Estate Investments and Nonutility Properties</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Real estate investments and nonutility properties are recorded at cost and consist primarily of land and buildings. Net gains and losses from the sale of real estate investments and nonutility properties are recorded as a component of other (expense) income and operating expense, respectively, in the Consolidated Statements of Comprehensive Income. Nonutility property is property that is neither used nor useful in providing water utility services to customers and is excluded from rate base for rate-setting purposes. SJWC recognizes gain/loss on disposition of nonutility property in accordance with California Public Utilities Commission (“CPUC”) Code Section 790, whereby the net proceeds are reinvested back into property that is useful in providing water utility services to customers. CTWS and SJWTX do not have regulatory restrictions on the use of proceeds from the sale of nonutility property. There is no depreciation associated with Water Utility Services nonutility property as it is all undeveloped land.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major components of real estate investments and nonutility properties as of December 31, 2022 and 2021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535"/>
              <w:spacing w:after="0"/>
              <w:rPr>
                <w:sz w:val="20"/>
                <w:szCs w:val="20"/>
                <w:color w:val="auto"/>
              </w:rPr>
            </w:pPr>
            <w:r>
              <w:rPr>
                <w:rFonts w:ascii="Arial" w:cs="Arial" w:eastAsia="Arial" w:hAnsi="Arial"/>
                <w:sz w:val="14"/>
                <w:szCs w:val="14"/>
                <w:b w:val="1"/>
                <w:bCs w:val="1"/>
                <w:color w:val="auto"/>
              </w:rPr>
              <w:t>2021</w:t>
            </w:r>
          </w:p>
        </w:tc>
      </w:tr>
      <w:tr>
        <w:trPr>
          <w:trHeight w:val="25"/>
        </w:trPr>
        <w:tc>
          <w:tcPr>
            <w:tcW w:w="80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12,615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12,615</w:t>
            </w:r>
          </w:p>
        </w:tc>
      </w:tr>
      <w:tr>
        <w:trPr>
          <w:trHeight w:val="23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Buildings and improvements</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45,418</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45,017</w:t>
            </w:r>
          </w:p>
        </w:tc>
      </w:tr>
      <w:tr>
        <w:trPr>
          <w:trHeight w:val="248"/>
        </w:trPr>
        <w:tc>
          <w:tcPr>
            <w:tcW w:w="8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real estate investments and nonutility properties</w:t>
            </w: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58,033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57,632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Depreciation on buildings and improvements for real estate investments is computed using the straight-line method over the estimated useful lives of the assets, ranging from 7 to 39 years.</w:t>
      </w:r>
    </w:p>
    <w:p>
      <w:pPr>
        <w:spacing w:after="0" w:line="6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On October 29, 2021, SJWC sold two nonutility properties located in San Jose, California for $13,150. For the year ended December 31, 2022, SJW Group recognized the pre-tax gain on the sale of nonutility properties of $7,230, after selling expenses of $277 for one of the properties sold, and a gain of $5,442 which was deferred in 2021 pending the CPUC review. On February 15, 2022, the CPUC review was complete and SJWC recognized the deferred gain on sale of nonutility property in 2022.</w:t>
      </w:r>
    </w:p>
    <w:p>
      <w:pPr>
        <w:spacing w:after="0" w:line="79"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A former wholly owned subsidiary of SJW Group, TWA was sold to Guadalupe-Blanco River Authority (“GBRA”) in 2017. The sales agreement with GBRA included a holdback amount of $3,000 to be paid to SJW Group on June 30, 2021, subject to reduction under certain conditions. SJW Group received the holdback amount without reduction from the GBRA on June 29, 2021 and recognized a pre-tax gain on sale of $3,000.</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5" w:name="page56"/>
    <w:bookmarkEnd w:id="55"/>
    <w:p>
      <w:pPr>
        <w:ind w:right="160"/>
        <w:spacing w:after="0" w:line="277" w:lineRule="auto"/>
        <w:rPr>
          <w:sz w:val="20"/>
          <w:szCs w:val="20"/>
          <w:color w:val="auto"/>
        </w:rPr>
      </w:pPr>
      <w:r>
        <w:rPr>
          <w:rFonts w:ascii="Arial" w:cs="Arial" w:eastAsia="Arial" w:hAnsi="Arial"/>
          <w:sz w:val="18"/>
          <w:szCs w:val="18"/>
          <w:color w:val="auto"/>
        </w:rPr>
        <w:t>Also, on October 29, 2021, SJW Land sold undeveloped land located in San Jose, California for $2,600. SJW Group recognized a pre-tax gain on the sale of real estate investments of $927, after selling expenses of $121.</w:t>
      </w:r>
    </w:p>
    <w:p>
      <w:pPr>
        <w:spacing w:after="0" w:line="62"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Real estate investments include $58,730 and $58,330 as of December 31, 2022 and 2021, respectively, of assets that are leased or available for lease. The following schedule shows the future minimum rental payments to be received from third parties under operating leases that have remaining noncancelable lease terms in excess of one year as of December 31, 2022:</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0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180" w:type="dxa"/>
            <w:vAlign w:val="bottom"/>
          </w:tcPr>
          <w:p>
            <w:pPr>
              <w:spacing w:after="0"/>
              <w:rPr>
                <w:sz w:val="14"/>
                <w:szCs w:val="14"/>
                <w:color w:val="auto"/>
              </w:rPr>
            </w:pPr>
          </w:p>
        </w:tc>
        <w:tc>
          <w:tcPr>
            <w:tcW w:w="134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Rental Revenue</w:t>
            </w:r>
          </w:p>
        </w:tc>
      </w:tr>
      <w:tr>
        <w:trPr>
          <w:trHeight w:val="34"/>
        </w:trPr>
        <w:tc>
          <w:tcPr>
            <w:tcW w:w="20" w:type="dxa"/>
            <w:vAlign w:val="bottom"/>
            <w:tcBorders>
              <w:bottom w:val="single" w:sz="8" w:color="CCEEFF"/>
            </w:tcBorders>
          </w:tcPr>
          <w:p>
            <w:pPr>
              <w:spacing w:after="0"/>
              <w:rPr>
                <w:sz w:val="2"/>
                <w:szCs w:val="2"/>
                <w:color w:val="auto"/>
              </w:rPr>
            </w:pPr>
          </w:p>
        </w:tc>
        <w:tc>
          <w:tcPr>
            <w:tcW w:w="1620" w:type="dxa"/>
            <w:vAlign w:val="bottom"/>
            <w:tcBorders>
              <w:top w:val="single" w:sz="8" w:color="auto"/>
              <w:bottom w:val="single" w:sz="8" w:color="CCEEFF"/>
            </w:tcBorders>
          </w:tcPr>
          <w:p>
            <w:pPr>
              <w:spacing w:after="0"/>
              <w:rPr>
                <w:sz w:val="2"/>
                <w:szCs w:val="2"/>
                <w:color w:val="auto"/>
              </w:rPr>
            </w:pPr>
          </w:p>
        </w:tc>
        <w:tc>
          <w:tcPr>
            <w:tcW w:w="8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1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0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w:t>
            </w:r>
          </w:p>
        </w:tc>
      </w:tr>
      <w:tr>
        <w:trPr>
          <w:trHeight w:val="230"/>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8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3,157</w:t>
            </w:r>
          </w:p>
        </w:tc>
      </w:tr>
      <w:tr>
        <w:trPr>
          <w:trHeight w:val="229"/>
        </w:trPr>
        <w:tc>
          <w:tcPr>
            <w:tcW w:w="1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w:t>
            </w:r>
          </w:p>
        </w:tc>
      </w:tr>
      <w:tr>
        <w:trPr>
          <w:trHeight w:val="229"/>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8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3,197</w:t>
            </w:r>
          </w:p>
        </w:tc>
      </w:tr>
      <w:tr>
        <w:trPr>
          <w:trHeight w:val="230"/>
        </w:trPr>
        <w:tc>
          <w:tcPr>
            <w:tcW w:w="1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8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r>
      <w:tr>
        <w:trPr>
          <w:trHeight w:val="230"/>
        </w:trPr>
        <w:tc>
          <w:tcPr>
            <w:tcW w:w="20" w:type="dxa"/>
            <w:vAlign w:val="bottom"/>
          </w:tcPr>
          <w:p>
            <w:pPr>
              <w:spacing w:after="0"/>
              <w:rPr>
                <w:sz w:val="20"/>
                <w:szCs w:val="20"/>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1,679</w:t>
            </w:r>
          </w:p>
        </w:tc>
      </w:tr>
    </w:tbl>
    <w:p>
      <w:pPr>
        <w:spacing w:after="0" w:line="21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 xml:space="preserve">SJW Group applies the provisions of ASC Topic 805—“Business Combinations” for the purchase accounting related to business acquisitions. Topic 805 requires SJW Group to recognize separately from goodwill the assets acquired and the liabilities assumed at the acquisition date fair values. Goodwill as of the acquisition date is measured as the excess of consideration transferred over the net of the acquisition date fair values of the assets acquired and the liabilities assumed. While SJW Group uses best available estimates and assumptions to accurately value assets acquired and liabilities assumed at the acquisition date, such estimates are inherently uncertain and subject to refinement. As a result, during the one year measurement period from the acquisition date, we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our Consolidated Statements of Comprehensive Income. Accounting for business combinations requires SJW Group to make significant estimates and assumptions, especially at the acquisition date, including estimates for intangible assets, contractual obligations assumed and pre-acquisition contingencies. Although SJW Group believes that the assumptions and estimates we make are reasonable and appropriate, they are based in part on historical experience and information obtained from the acquired company’s management and are inherently uncertain. Events and circumstances may occur that may affect the accuracy or validity of such assumptions, estimates or actual results. The purchase price allocation process requires management to make significant estimates and assumptions with respect to intangible assets. Although SJW Group believes the assumptions and estimates made are reasonable, they are based in part on historical experience, market conditions and information obtained from management of the acquired companies and are inherently uncertain. Examples of critical estimates in valuing certain of the intangible assets we have acquired include, but are not limited to: future expected cash flows from services; historical and expected customer attrition rates and anticipated growth in revenue from acquired customers; the expected use of the acquired assets; and discount rates. See </w:t>
      </w:r>
      <w:r>
        <w:rPr>
          <w:rFonts w:ascii="Arial" w:cs="Arial" w:eastAsia="Arial" w:hAnsi="Arial"/>
          <w:sz w:val="16"/>
          <w:szCs w:val="16"/>
          <w:u w:val="single" w:color="auto"/>
          <w:color w:val="0000FF"/>
        </w:rPr>
        <w:t>Note 14</w:t>
      </w:r>
      <w:r>
        <w:rPr>
          <w:rFonts w:ascii="Arial" w:cs="Arial" w:eastAsia="Arial" w:hAnsi="Arial"/>
          <w:sz w:val="16"/>
          <w:szCs w:val="16"/>
          <w:color w:val="auto"/>
        </w:rPr>
        <w:t>, “Business Combinations” for further discussion.</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Impairment of Long-Lived Assets and Goodwill</w:t>
      </w:r>
    </w:p>
    <w:p>
      <w:pPr>
        <w:spacing w:after="0" w:line="1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accordance with the requirements of Financial Accounting Standards Board (“FASB”) ASC Topic 360—“Property, Plant and Equipment,” the long-lived assets of SJW Group are reviewed for impairment when changes in circumstances or events require adjustments to the carrying values of the assets. When such changes in circumstances or events occur, the company assesses recoverability by determining whether the carrying value of such assets will be recovered through the undiscounted expected future cash flows. To the extent an impairment exists, the asset is written down to its estimated fair value with a corresponding charge to operations in the period in which the impairment is identified. Long-lived assets consist primarily of utility plant in service, goodwill, regulatory assets, real estate investments and intangible assets. SJW Group first performs a qualitative assessment to determine whether it is necessary to perform the quantitative impairment test. In assessing the qualitative factors, SJW Group considers the impact of these key factors: change in industry and competitive environment, financial performance, and other relevant Company-specific events. If SJW Group determines that as a result of the qualitative assessment it is more likely than not (&gt; 50% likelihood) that the fair value is less than carrying amount, then a quantitative test is performed. No impairments occurred during 2022 and 2020. During the year ended December 31, 2021, SJW Group determined that an implementation project for a customer care billing system at SJWTX will no longer be pursued and accordingly wrote-off $2,211 of accumulated costs for the project that were previously recorded as construction in progress on the consolidated balance sheets.</w:t>
      </w:r>
    </w:p>
    <w:p>
      <w:pPr>
        <w:spacing w:after="0" w:line="6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Goodwill represents the excess of the purchase price paid over the estimated fair value of the assets acquired and liabilities assumed in the acquisition of a business. Goodwill is not amortized but is tested for impairment annually on October 1st or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6" w:name="page57"/>
    <w:bookmarkEnd w:id="56"/>
    <w:p>
      <w:pPr>
        <w:ind w:right="120"/>
        <w:spacing w:after="0" w:line="291" w:lineRule="auto"/>
        <w:rPr>
          <w:sz w:val="20"/>
          <w:szCs w:val="20"/>
          <w:color w:val="auto"/>
        </w:rPr>
      </w:pPr>
      <w:r>
        <w:rPr>
          <w:rFonts w:ascii="Arial" w:cs="Arial" w:eastAsia="Arial" w:hAnsi="Arial"/>
          <w:sz w:val="16"/>
          <w:szCs w:val="16"/>
          <w:color w:val="auto"/>
        </w:rPr>
        <w:t>more frequently if an event occurs or circumstances change that would more likely than not, reduce the fair value of a reporting unit below its carrying amount. SJW Group first performs a qualitative assessment to determine whether it is necessary to perform the quantitative impairment test. In assessing the qualitative factors, SJW Group considers the impact of these key factors: change in industry and competitive environment, financial performance, macroeconomic conditions, and other relevant Company-specific events. If SJW Group determines that as a result of the qualitative assessment it is more likely than not (&gt; 50% likelihood) that the fair value is less than carrying amount, then a quantitative test is performed. SJW Group’s goodwill is primarily associated with the recent merger with CTWS in 2019. As of October 1, 2021, SJW Group performed a qualitative assessment and found no indicators of impairment and therefore did not perform the quantitative impairment test. No goodwill impairments occurred during 2022, 2021 or 2020.</w:t>
      </w:r>
    </w:p>
    <w:p>
      <w:pPr>
        <w:spacing w:after="0" w:line="9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Cash and cash equivalents primarily consist of cash on deposit with banks with maturities of three months or less from the date of purchase. Restricted funds consist of proceeds from state revolving fund bond issuances to Maine Water of $4,000 on December 23, 2020, for capital expenditures. Proceeds were held by a trustee for the bonds and released when the funding conditions are met. As of December 31, 2021, $2,789 of the proceeds from the December 23, 2020, bond were released by the trustee, and a balance of $1,211 remains.</w:t>
      </w:r>
    </w:p>
    <w:p>
      <w:pPr>
        <w:spacing w:after="0" w:line="8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Financial Instruments and Investments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The following instruments are not measured at fair value on the company’s consolidated balance sheets but require disclosure of fair values: cash and cash equivalents, accounts receivable and accounts payable. The estimated fair value of such instruments approximates their carrying value as reported on the consolidated balance sheets. The fair value of such financial instruments are determined using the income approach based on the present value of estimated future cash flows. The fair value of these instruments would be categorized as Level 2 in the fair value hierarchy, with the exception of cash and cash equivalents, which would be categorized as Level 1. The fair value of long-term debt is discussed in </w:t>
      </w:r>
      <w:r>
        <w:rPr>
          <w:rFonts w:ascii="Arial" w:cs="Arial" w:eastAsia="Arial" w:hAnsi="Arial"/>
          <w:sz w:val="18"/>
          <w:szCs w:val="18"/>
          <w:u w:val="single" w:color="auto"/>
          <w:color w:val="0000FF"/>
        </w:rPr>
        <w:t>Note 6</w:t>
      </w:r>
      <w:r>
        <w:rPr>
          <w:rFonts w:ascii="Arial" w:cs="Arial" w:eastAsia="Arial" w:hAnsi="Arial"/>
          <w:sz w:val="18"/>
          <w:szCs w:val="18"/>
          <w:color w:val="auto"/>
        </w:rPr>
        <w:t xml:space="preserve">, “Long-Term Debt” and pension plan assets in </w:t>
      </w:r>
      <w:r>
        <w:rPr>
          <w:rFonts w:ascii="Arial" w:cs="Arial" w:eastAsia="Arial" w:hAnsi="Arial"/>
          <w:sz w:val="18"/>
          <w:szCs w:val="18"/>
          <w:u w:val="single" w:color="auto"/>
          <w:color w:val="0000FF"/>
        </w:rPr>
        <w:t>Note 11</w:t>
      </w:r>
      <w:r>
        <w:rPr>
          <w:rFonts w:ascii="Arial" w:cs="Arial" w:eastAsia="Arial" w:hAnsi="Arial"/>
          <w:sz w:val="18"/>
          <w:szCs w:val="18"/>
          <w:color w:val="000000"/>
        </w:rPr>
        <w:t>, “Benefit Plans”.</w:t>
      </w:r>
    </w:p>
    <w:p>
      <w:pPr>
        <w:spacing w:after="0" w:line="8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 xml:space="preserve">SJW Group has investments in company owned life insurance which are valued at cash surrender value of the policies as reported by the insurer. The value of these contracts is based principally on a referenced pool of investment funds that actively redeem shares, are observable and measurable, and are presented in “Other investments” on SJW Group’s Consolidated Balance Sheets. As of December 31, 2022 and 2021, the value of the company owned life insurance was $7,342 and $8,026, respectively, of which $3,420 and $4,191, respectively, was related to assets to fund CTWS’ supplemental retirement plan agreements. See discussion on pension plans in </w:t>
      </w:r>
      <w:r>
        <w:rPr>
          <w:rFonts w:ascii="Arial" w:cs="Arial" w:eastAsia="Arial" w:hAnsi="Arial"/>
          <w:sz w:val="17"/>
          <w:szCs w:val="17"/>
          <w:u w:val="single" w:color="auto"/>
          <w:color w:val="0000FF"/>
        </w:rPr>
        <w:t>Note 11</w:t>
      </w:r>
      <w:r>
        <w:rPr>
          <w:rFonts w:ascii="Arial" w:cs="Arial" w:eastAsia="Arial" w:hAnsi="Arial"/>
          <w:sz w:val="17"/>
          <w:szCs w:val="17"/>
          <w:color w:val="auto"/>
        </w:rPr>
        <w:t>, “Benefit Plans”.</w:t>
      </w:r>
    </w:p>
    <w:p>
      <w:pPr>
        <w:spacing w:after="0" w:line="10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Income taxes are accounted for using the asset and liability method. Deferred tax assets and liabilities are recognized for the effect of temporary differences between financial and tax reporting. Deferred tax assets and liabilities are measured using current tax rates in effect. The effect on deferred tax assets and liabilities of a change in tax rates is recognized in the period that includes the enactment date.</w:t>
      </w:r>
    </w:p>
    <w:p>
      <w:pPr>
        <w:spacing w:after="0" w:line="7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To the extent permitted by the regulators, investment tax credits resulting from utility plant additions are deferred and amortized over the estimated useful lives of the related property.</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Advances for Construction and Contributions in Aid of Construction</w:t>
      </w:r>
    </w:p>
    <w:p>
      <w:pPr>
        <w:spacing w:after="0" w:line="121"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In California, advances for construction received after 1981 are primarily refunded ratably over 40 years. In Connecticut and Maine, advances for construction are refunded as services are connected to the main, over periods not exceeding 15 years and in Texas advances for construction are non-refundable. Estimated refunds for the next five years and thereafter are shown below:</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Estimated Refunds</w:t>
            </w:r>
          </w:p>
        </w:tc>
      </w:tr>
      <w:tr>
        <w:trPr>
          <w:trHeight w:val="25"/>
        </w:trPr>
        <w:tc>
          <w:tcPr>
            <w:tcW w:w="9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3,332</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2026</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2,931</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47,370</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advances for construction were $137,696 of which $46,380 was related to non-refundable advances for construction and $28,427 was related to advances which are refunded based on service connections made. As of</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color w:val="auto"/>
        </w:rPr>
        <w:t>December 31, 2022 and 2021, the fair value of the advances for construction refunded ratably over 40 years is $44,715 and $51,067, respectively.</w:t>
      </w:r>
    </w:p>
    <w:p>
      <w:pPr>
        <w:spacing w:after="0" w:line="1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Contributions in aid of construction represent funds received from developers that are not refundable under applicable regulations. Depreciation applicable to utility plant constructed with these contributions is charged to contributions in aid of construction.</w:t>
      </w:r>
    </w:p>
    <w:p>
      <w:pPr>
        <w:spacing w:after="0" w:line="6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Customer advances and contributions in aid of construction received subsequent to 1986 and prior to June 12, 1996, generally must be included in federal taxable income, except for CTWS. Taxes paid relating to advances and contributions are recorded as deferred tax assets for financial reporting purposes and are amortized over 40 years for advances and over the tax depreciable life of the related asset for contributions. Receipts subsequent to June 12, 1996, are generally exempt from federal taxable income, unless specifically prescribed under treasury regulations, including CTWS.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Advances and contributions received subsequent to 1991 and prior to 1997 are included in state taxable income, except for CTWS.</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Asset Retirement Obligation</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SJW Group’s asset retirement obligation is recorded as a liability included in other non-current liabilities. It reflects principally the retirement costs of wells and other anticipated clean-up costs, which by law, must be remediated upon retirement. Retirement costs have historically been recovered through rates at the time of retirement. As a result, a regulatory asset is also recorded.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and 2021, the asset retirement obligation is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ind w:right="595"/>
              <w:spacing w:after="0"/>
              <w:rPr>
                <w:sz w:val="20"/>
                <w:szCs w:val="20"/>
                <w:color w:val="auto"/>
              </w:rPr>
            </w:pPr>
            <w:r>
              <w:rPr>
                <w:rFonts w:ascii="Arial" w:cs="Arial" w:eastAsia="Arial" w:hAnsi="Arial"/>
                <w:sz w:val="14"/>
                <w:szCs w:val="14"/>
                <w:b w:val="1"/>
                <w:bCs w:val="1"/>
                <w:color w:val="auto"/>
              </w:rPr>
              <w:t>2021</w:t>
            </w:r>
          </w:p>
        </w:tc>
      </w:tr>
      <w:tr>
        <w:trPr>
          <w:trHeight w:val="26"/>
        </w:trPr>
        <w:tc>
          <w:tcPr>
            <w:tcW w:w="78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future retirement costs</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3"/>
              </w:rPr>
              <w:t>4,426</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4,511</w:t>
            </w: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Retirement obligation, present value</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925</w:t>
            </w:r>
          </w:p>
        </w:tc>
      </w:tr>
    </w:tbl>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determined that the company has principally five categories of revenues.</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first category is recognized in accordance with ASC Topic 606—“Revenue from Contracts with Customers” and represents metered revenue of Water Utility Services which includes billings to customers based on meter readings plus an estimate of water used between the customers’ last meter reading and the end of the accounting period. SJW Group satisfies its performance obligation upon delivery of water to the customer at which time the customer consumes the benefits provided by the company. The customer is typically billed on a quarterly or bi-monthly basis after water delivery has occurred. The customer is charged both a service charge which is based upon meter size and covers a portion of the fixed costs of furnishing water to the customer and a consumption charge based on actual water usage. Unbilled revenue from the last meter reading date to the end of the accounting period is estimated based on the most recent usage patterns, production records and the effective tariff rates. As the company has the right to bill for services that it has provided, SJW Group estimates the dollar value of deliveries during the unbilled period and recognizes the associated revenue. Actual results could differ from those estimates, which may result in an adjustment to revenue when billed in a subsequent period.</w:t>
      </w:r>
    </w:p>
    <w:p>
      <w:pPr>
        <w:spacing w:after="0" w:line="58"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second category is recognized in accordance with ASC Topic 980-605-25—“Alternative Revenue Programs”. Under Programs established by the CPUC and Public Utilities Regulatory Authority of Connecticut (“PURA”), allowing for automatic adjustment of future rates, the company recognizes revenue when it is objectively determinable, probable of recovery and expected to be collected within 24 months of the year-end in which the revenue is recognized. A reserve, based on an estimate of actual usage over the recovery period, is recorded for amounts SJW Group estimates will not be collected within the 24-month period. SJW Group’s alternative revenue programs include SJWC’s Water Conservation Memorandum Account (“WCMA”) and CTWS’s Water Rate Adjustment mechanism (“WRA”).</w:t>
      </w:r>
    </w:p>
    <w:p>
      <w:pPr>
        <w:spacing w:after="0" w:line="84" w:lineRule="exact"/>
        <w:rPr>
          <w:sz w:val="20"/>
          <w:szCs w:val="20"/>
          <w:color w:val="auto"/>
        </w:rPr>
      </w:pPr>
    </w:p>
    <w:p>
      <w:pPr>
        <w:ind w:left="660" w:right="20" w:hanging="328"/>
        <w:spacing w:after="0" w:line="293" w:lineRule="auto"/>
        <w:tabs>
          <w:tab w:leader="none" w:pos="6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WCMA allows SJWC to track lost revenue, net of related water costs, associated with reduced sales due to water conservation and associated calls for water use reductions. SJWC records the lost revenue captured in the WCMA balancing accounts. In 2021, with the declaration of a drought emergency and conservation mandates in California by Governor Gavin Newsom and Santa Clara Valley Water District (“Valley Water”), SJWC obtained approval to reestablish a WCMA effective July 20, 2021. For the year ended December 31, 2022 and 2021, SJWC recognized $4,041 and $3,243, respectively, in lost revenues accumulated in the WCMA. Effective on November 11, 2022, the CPUC approved the net refund of the overcollected drought surcharges of $23,753 and lost revenues in WCMA of $3,279 in Advice Letter No. 582.</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8" w:name="page59"/>
    <w:bookmarkEnd w:id="58"/>
    <w:p>
      <w:pPr>
        <w:ind w:left="660" w:hanging="328"/>
        <w:spacing w:after="0" w:line="279"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WRA allows Connecticut Water to mitigate risk associated with changes in demand. The WRA is used to reconcile actual water demands with the demands projected in the most recent general rate case and allows companies to implement a surcharge or surcredit as necessary to recover the revenues approved in the general rate case. The WRA allows the company to defer, as a regulatory asset or liability, the amount by which actual revenues deviate from the revenues allowed in the most recent general rate proceedings.</w:t>
      </w:r>
    </w:p>
    <w:p>
      <w:pPr>
        <w:spacing w:after="0" w:line="63"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third and fourth category represents the impact of other balancing and memorandum accounts and other regulatory mechanisms that are accounted for under FASB ASC Topic 980—“Regulated Operations”. Balancing and memorandum accounts are recognized by SJWC when it is probable that future recovery of previously incurred costs or future refunds that are to be credited to customers will occur through the ratemaking process.</w:t>
      </w:r>
    </w:p>
    <w:p>
      <w:pPr>
        <w:spacing w:after="0" w:line="4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last category, rental income, represents lease rental income. Tenants pay monthly in accordance with lease agreements and SJW Group recognizes the income ratably over the lease term as this is the most representative of the pattern in which the benefit is expected to be derived from SJW Group’s underlying asset.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major streams of revenue for SJW Group are as follows:</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520" w:type="dxa"/>
            <w:vAlign w:val="bottom"/>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540" w:type="dxa"/>
            <w:vAlign w:val="bottom"/>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6380" w:type="dxa"/>
            <w:vAlign w:val="bottom"/>
            <w:vMerge w:val="restart"/>
          </w:tcPr>
          <w:p>
            <w:pPr>
              <w:ind w:left="20"/>
              <w:spacing w:after="0"/>
              <w:rPr>
                <w:sz w:val="20"/>
                <w:szCs w:val="20"/>
                <w:color w:val="auto"/>
              </w:rPr>
            </w:pPr>
            <w:r>
              <w:rPr>
                <w:rFonts w:ascii="Arial" w:cs="Arial" w:eastAsia="Arial" w:hAnsi="Arial"/>
                <w:sz w:val="18"/>
                <w:szCs w:val="18"/>
                <w:color w:val="auto"/>
              </w:rPr>
              <w:t>Revenue from contracts with customers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380" w:type="dxa"/>
            <w:vAlign w:val="bottom"/>
            <w:vMerge w:val="continue"/>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586,918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559,568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549,270</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Alternative revenue programs,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color w:val="auto"/>
              </w:rPr>
              <w:t>Other balancing and memorandum accounts,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30,179</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5,138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11,856</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regulatory mechanisms,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30"/>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Rental income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5,605</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5,379</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5,532</w:t>
            </w:r>
          </w:p>
        </w:tc>
        <w:tc>
          <w:tcPr>
            <w:tcW w:w="0" w:type="dxa"/>
            <w:vAlign w:val="bottom"/>
          </w:tcPr>
          <w:p>
            <w:pPr>
              <w:spacing w:after="0"/>
              <w:rPr>
                <w:sz w:val="1"/>
                <w:szCs w:val="1"/>
                <w:color w:val="auto"/>
              </w:rPr>
            </w:pPr>
          </w:p>
        </w:tc>
      </w:tr>
      <w:tr>
        <w:trPr>
          <w:trHeight w:val="248"/>
        </w:trPr>
        <w:tc>
          <w:tcPr>
            <w:tcW w:w="6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620,698</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573,686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564,526</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Revenue also includes a surcharge collected from regulated customers that is paid to the CPUC. This surcharge is recorded both in operating revenues and administrative and general expenses. For the years ended December 31, 2022, 2021 and 2020, the surcharge was $6,121, $5,691 and $4,911, respectively.</w:t>
      </w:r>
    </w:p>
    <w:p>
      <w:pPr>
        <w:spacing w:after="0" w:line="5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SJW Group calculates the fair value of service-based and performance-based restricted stock awards based on the grant date fair value of the company’s stock price reduced by the present value of the dividends expected to be declared on outstanding shares.</w:t>
      </w:r>
    </w:p>
    <w:p>
      <w:pPr>
        <w:spacing w:after="0" w:line="6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SJW Group utilizes the Monte Carlo valuation model, which requires the use of subjective assumptions, to compute the fair value of market-vesting restricted stock units.</w:t>
      </w:r>
    </w:p>
    <w:p>
      <w:pPr>
        <w:spacing w:after="0" w:line="62"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The compensation cost for service-based restricted stock awards are charged to income on a straight-line basis over the requisite service period, which is the vesting period. For performance-based stock awards, compensation expense is charged to income on a straight-line basis over the requisite service period based on expected attainment of performance targets. Changes in the estimates of the expected attainment of performance targets will result in a change in the number of shares that are expected to vest which may cause a cumulative catch up for the amount of share-based compensation expense during each reporting period in which such estimates are altered. Forfeitures are accounted for as they occur.</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Basic earnings per share is calculated using income available to common stockholders, divided by the weighted average number of shares outstanding during the year. Diluted earnings per share is calculated using income available to common stockholders divided by the weighted average number of shares of common stock including both shares outstanding and shares potentially issuable in connection with deferred restricted common stock awards under SJW Group’s Long-Term Incentive Plan and shares potentially issuable under the Employee Stock Purchase Plans. Restricted common stock units of 25,127, 16,347 and 22,396 as of December 31, 2022, 2021 and 2020, respectively, were excluded from the dilutive earnings per share calculation as their effect would have been anti-dilutive.</w:t>
      </w:r>
    </w:p>
    <w:p>
      <w:pPr>
        <w:spacing w:after="0" w:line="21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Regulatory Matters</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Water Utility Services are subject to rate regulation based on cost recovery and meets the criteria of accounting guidance for rate-regulated operations, which considers the timing of the recognition of certain revenues and expenses. SJW Group’s consolidated financial statements reflect the effects of the rate-making process. The rate-making process is intended to provide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9" w:name="page60"/>
    <w:bookmarkEnd w:id="59"/>
    <w:p>
      <w:pPr>
        <w:ind w:right="20"/>
        <w:spacing w:after="0" w:line="277" w:lineRule="auto"/>
        <w:rPr>
          <w:sz w:val="20"/>
          <w:szCs w:val="20"/>
          <w:color w:val="auto"/>
        </w:rPr>
      </w:pPr>
      <w:r>
        <w:rPr>
          <w:rFonts w:ascii="Arial" w:cs="Arial" w:eastAsia="Arial" w:hAnsi="Arial"/>
          <w:sz w:val="18"/>
          <w:szCs w:val="18"/>
          <w:color w:val="auto"/>
        </w:rPr>
        <w:t>revenues sufficient to recover normal operating expenses, provide funds for replacement of water infrastructure and produce a fair and reasonable return on stockholder common equity.</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Regulatory Assets, Net</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Water Utility Services recognizes regulatory assets and liabilities for amounts that are deemed probable of recovery from, or refund to, customers. Determining probability requires significant judgement by management and includes assessing evidence that may exist prior to regulatory authorization, including regulatory rules and decisions, historical ratemaking practices, and other facts and circumstances that would indicate that recovery or refund is probable.</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the utility determines that it is no longer probable that regulatory assets would be recovered or reflected in future rates, or if the utility ceased to be subject to rate regulation, the regulatory assets would be charged against income in the period in which that determination was made. If regulatory accounting did not apply, the utility’s future financial results could become more volatile as compared to historical financial results due to the differences in the timing of expense or revenue recognition.</w:t>
      </w:r>
    </w:p>
    <w:p>
      <w:pPr>
        <w:spacing w:after="0" w:line="7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 adjusts the related asset and liabilities for these items through its regulatory asset and liability accounts at year-end, except for certain postretirement benefit costs and balancing and memorandum accounts which are adjusted monthly.</w:t>
      </w:r>
    </w:p>
    <w:p>
      <w:pPr>
        <w:spacing w:after="0" w:line="6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Rate-regulated enterprises are required to charge a regulatory asset to earnings if and when it is determined that the asset is no longer probable of recovery. SJW Group continually evaluates the recoverability of regulatory assets by assessing whether the amortization of the balance over the remaining life can be recovered through expected and undiscounted future cash flows.</w:t>
      </w:r>
    </w:p>
    <w:p>
      <w:pPr>
        <w:spacing w:after="0" w:line="76"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SJW Group’s net regulatory assets not earning a return primarily included postretirement pensions and other medical benefits unfunded amounts, and business combinations debt premium, net. The total amount of net regulatory assets not earning a return at December 31, 2022 and 2021, either by interest on the regulatory asset/liability or as a component of rate base at the allowed rate of return was $52,066 and $84,887, respectively.</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Regulatory assets, net are comprised of the following as of December 31: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520" w:type="dxa"/>
            <w:vAlign w:val="bottom"/>
          </w:tcPr>
          <w:p>
            <w:pPr>
              <w:jc w:val="right"/>
              <w:ind w:right="532"/>
              <w:spacing w:after="0"/>
              <w:rPr>
                <w:sz w:val="20"/>
                <w:szCs w:val="20"/>
                <w:color w:val="auto"/>
              </w:rPr>
            </w:pPr>
            <w:r>
              <w:rPr>
                <w:rFonts w:ascii="Arial" w:cs="Arial" w:eastAsia="Arial" w:hAnsi="Arial"/>
                <w:sz w:val="14"/>
                <w:szCs w:val="14"/>
                <w:b w:val="1"/>
                <w:bCs w:val="1"/>
                <w:color w:val="auto"/>
              </w:rPr>
              <w:t>2021</w:t>
            </w:r>
          </w:p>
        </w:tc>
      </w:tr>
      <w:tr>
        <w:trPr>
          <w:trHeight w:val="26"/>
        </w:trPr>
        <w:tc>
          <w:tcPr>
            <w:tcW w:w="8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Income tax temporary differences, net (a)</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43,434</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22,420</w:t>
            </w: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Postretirement pensions and other medical benefits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62,197</w:t>
            </w:r>
          </w:p>
        </w:tc>
      </w:tr>
      <w:tr>
        <w:trPr>
          <w:trHeight w:val="229"/>
        </w:trPr>
        <w:tc>
          <w:tcPr>
            <w:tcW w:w="8040" w:type="dxa"/>
            <w:vAlign w:val="bottom"/>
          </w:tcPr>
          <w:p>
            <w:pPr>
              <w:ind w:left="140"/>
              <w:spacing w:after="0"/>
              <w:rPr>
                <w:sz w:val="20"/>
                <w:szCs w:val="20"/>
                <w:color w:val="auto"/>
              </w:rPr>
            </w:pPr>
            <w:r>
              <w:rPr>
                <w:rFonts w:ascii="Arial" w:cs="Arial" w:eastAsia="Arial" w:hAnsi="Arial"/>
                <w:sz w:val="18"/>
                <w:szCs w:val="18"/>
                <w:color w:val="auto"/>
              </w:rPr>
              <w:t>Business combinations debt premium</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17,396</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19,937</w:t>
            </w: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Balancing and memorandum accounts,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38,334</w:t>
            </w: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WRA (b)</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(4,488)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2,588</w:t>
            </w: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 (c)</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9,739</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9,145</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Total regulatory assets,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143,343</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154,621</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regulatory asset,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16,068</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Total regulatory assets, net, less current portion</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127,275</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151,992</w:t>
            </w: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17"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company expects to recover regulatory assets related to plant depreciation income tax temporary differences over the average lives of the plant assets of between 5 to 75 years.</w:t>
      </w:r>
    </w:p>
    <w:p>
      <w:pPr>
        <w:spacing w:after="0" w:line="20" w:lineRule="exact"/>
        <w:rPr>
          <w:rFonts w:ascii="Arial" w:cs="Arial" w:eastAsia="Arial" w:hAnsi="Arial"/>
          <w:sz w:val="13"/>
          <w:szCs w:val="13"/>
          <w:color w:val="auto"/>
        </w:rPr>
      </w:pPr>
    </w:p>
    <w:p>
      <w:pPr>
        <w:ind w:left="660" w:right="200" w:hanging="652"/>
        <w:spacing w:after="0" w:line="281" w:lineRule="auto"/>
        <w:tabs>
          <w:tab w:leader="none" w:pos="652" w:val="left"/>
        </w:tabs>
        <w:numPr>
          <w:ilvl w:val="0"/>
          <w:numId w:val="22"/>
        </w:numPr>
        <w:rPr>
          <w:rFonts w:ascii="Arial" w:cs="Arial" w:eastAsia="Arial" w:hAnsi="Arial"/>
          <w:sz w:val="13"/>
          <w:szCs w:val="13"/>
          <w:color w:val="auto"/>
        </w:rPr>
      </w:pPr>
      <w:r>
        <w:rPr>
          <w:rFonts w:ascii="Arial" w:cs="Arial" w:eastAsia="Arial" w:hAnsi="Arial"/>
          <w:sz w:val="13"/>
          <w:szCs w:val="13"/>
          <w:color w:val="auto"/>
        </w:rPr>
        <w:t>WRA is a Connecticut Water decoupling mechanism that qualifies as an alternative revenue program. It is used to reconcile actual water demands with the demands projected in the most recent general rate case and allows companies to implement a surcharge or surcredit as necessary to recover the revenues approved in the general rate case.</w:t>
      </w:r>
    </w:p>
    <w:p>
      <w:pPr>
        <w:ind w:left="660" w:hanging="652"/>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Other, net includes other regulatory mechanisms, accrued benefits for vacation, and asset retirement obligations that have not yet been passed through in rates.</w:t>
      </w:r>
    </w:p>
    <w:p>
      <w:pPr>
        <w:spacing w:after="0" w:line="14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Balancing and Memorandum Accounts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California, the CPUC has established a balancing account mechanism for the purpose of tracking the under-collection or over-collection associated with expense changes and the revenue authorized by the CPUC to offset those expense changes. SJWC also maintains memorandum accounts to track revenue impacts due to catastrophic events, certain unforeseen water quality expenses related to new federal and state water quality standards, energy efficiency, water conservation, water tariffs, and other approved activities or as directed by the CPUC.</w:t>
      </w:r>
    </w:p>
    <w:p>
      <w:pPr>
        <w:spacing w:after="0" w:line="63"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All balancing accounts and memorandum-type accounts not included for recovery or refund in the current general rate case will be reviewed by the CPUC in SJWC’s next general rate case or at the time an individual account balance reaches a threshold of 2% of authorized revenue, whichever occurs first. As of December 31, 2022, the total balance in SJWC’s balancing and memorandum accounts combined, including interest, that has not been recorded into the financial statements was a net under-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60" w:name="page61"/>
    <w:bookmarkEnd w:id="60"/>
    <w:p>
      <w:pPr>
        <w:ind w:right="40"/>
        <w:spacing w:after="0" w:line="277" w:lineRule="auto"/>
        <w:rPr>
          <w:sz w:val="20"/>
          <w:szCs w:val="20"/>
          <w:color w:val="auto"/>
        </w:rPr>
      </w:pPr>
      <w:r>
        <w:rPr>
          <w:rFonts w:ascii="Arial" w:cs="Arial" w:eastAsia="Arial" w:hAnsi="Arial"/>
          <w:sz w:val="18"/>
          <w:szCs w:val="18"/>
          <w:color w:val="auto"/>
        </w:rPr>
        <w:t>collection of $655. On October 11, 2022, the CPUC issued General Rate Case Decision No. 22-10-005, which approved a recovery of $18,174 in balancing and memorandum accounts from customers.</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SJWC met the recognition requirements for certain of its balancing and memorandum accounts and certain amounts subject to balancing and memorandum accounts and recorded regulatory assets, net,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60" w:type="dxa"/>
            <w:vAlign w:val="bottom"/>
            <w:gridSpan w:val="4"/>
          </w:tcPr>
          <w:p>
            <w:pPr>
              <w:ind w:left="380"/>
              <w:spacing w:after="0"/>
              <w:rPr>
                <w:sz w:val="20"/>
                <w:szCs w:val="20"/>
                <w:color w:val="auto"/>
              </w:rPr>
            </w:pPr>
            <w:r>
              <w:rPr>
                <w:rFonts w:ascii="Arial" w:cs="Arial" w:eastAsia="Arial" w:hAnsi="Arial"/>
                <w:sz w:val="14"/>
                <w:szCs w:val="14"/>
                <w:b w:val="1"/>
                <w:bCs w:val="1"/>
                <w:color w:val="auto"/>
              </w:rPr>
              <w:t>For the year ended December 31, 2022</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Beginning Balance</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Regulatory Asset</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Refunds (Collections)</w:t>
            </w:r>
          </w:p>
        </w:tc>
        <w:tc>
          <w:tcPr>
            <w:tcW w:w="1540" w:type="dxa"/>
            <w:vAlign w:val="bottom"/>
          </w:tcPr>
          <w:p>
            <w:pPr>
              <w:ind w:left="52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96"/>
        </w:trPr>
        <w:tc>
          <w:tcPr>
            <w:tcW w:w="4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Increase (Decrease)</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Adjustments</w:t>
            </w:r>
          </w:p>
        </w:tc>
        <w:tc>
          <w:tcPr>
            <w:tcW w:w="1540" w:type="dxa"/>
            <w:vAlign w:val="bottom"/>
          </w:tcPr>
          <w:p>
            <w:pPr>
              <w:ind w:left="5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69"/>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 accounts:</w:t>
            </w: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380" w:type="dxa"/>
            <w:vAlign w:val="bottom"/>
            <w:tcBorders>
              <w:top w:val="single" w:sz="8" w:color="auto"/>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5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5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54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760" w:type="dxa"/>
            <w:vAlign w:val="bottom"/>
          </w:tcPr>
          <w:p>
            <w:pPr>
              <w:ind w:left="140"/>
              <w:spacing w:after="0"/>
              <w:rPr>
                <w:sz w:val="20"/>
                <w:szCs w:val="20"/>
                <w:color w:val="auto"/>
              </w:rPr>
            </w:pPr>
            <w:r>
              <w:rPr>
                <w:rFonts w:ascii="Arial" w:cs="Arial" w:eastAsia="Arial" w:hAnsi="Arial"/>
                <w:sz w:val="14"/>
                <w:szCs w:val="14"/>
                <w:color w:val="auto"/>
              </w:rPr>
              <w:t>Monterey Water Revenue Adjustment Mechanism (“MWRAM”)</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ind w:right="7"/>
              <w:spacing w:after="0"/>
              <w:rPr>
                <w:sz w:val="20"/>
                <w:szCs w:val="20"/>
                <w:color w:val="auto"/>
              </w:rPr>
            </w:pPr>
            <w:r>
              <w:rPr>
                <w:rFonts w:ascii="Arial" w:cs="Arial" w:eastAsia="Arial" w:hAnsi="Arial"/>
                <w:sz w:val="14"/>
                <w:szCs w:val="14"/>
                <w:color w:val="auto"/>
              </w:rPr>
              <w:t>16,866</w:t>
            </w: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6,089</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(12,091)</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10,864</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WCMA (a)</w:t>
            </w:r>
          </w:p>
        </w:tc>
        <w:tc>
          <w:tcPr>
            <w:tcW w:w="14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3,534</w:t>
            </w:r>
          </w:p>
        </w:tc>
        <w:tc>
          <w:tcPr>
            <w:tcW w:w="16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4,041</w:t>
            </w:r>
          </w:p>
        </w:tc>
        <w:tc>
          <w:tcPr>
            <w:tcW w:w="1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(12,614)</w:t>
            </w:r>
          </w:p>
        </w:tc>
        <w:tc>
          <w:tcPr>
            <w:tcW w:w="1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(5,039)</w:t>
            </w:r>
          </w:p>
        </w:tc>
        <w:tc>
          <w:tcPr>
            <w:tcW w:w="0" w:type="dxa"/>
            <w:vAlign w:val="bottom"/>
          </w:tcPr>
          <w:p>
            <w:pPr>
              <w:spacing w:after="0"/>
              <w:rPr>
                <w:sz w:val="1"/>
                <w:szCs w:val="1"/>
                <w:color w:val="auto"/>
              </w:rPr>
            </w:pPr>
          </w:p>
        </w:tc>
      </w:tr>
      <w:tr>
        <w:trPr>
          <w:trHeight w:val="182"/>
        </w:trPr>
        <w:tc>
          <w:tcPr>
            <w:tcW w:w="4760" w:type="dxa"/>
            <w:vAlign w:val="bottom"/>
          </w:tcPr>
          <w:p>
            <w:pPr>
              <w:ind w:left="140"/>
              <w:spacing w:after="0"/>
              <w:rPr>
                <w:sz w:val="20"/>
                <w:szCs w:val="20"/>
                <w:color w:val="auto"/>
              </w:rPr>
            </w:pPr>
            <w:r>
              <w:rPr>
                <w:rFonts w:ascii="Arial" w:cs="Arial" w:eastAsia="Arial" w:hAnsi="Arial"/>
                <w:sz w:val="14"/>
                <w:szCs w:val="14"/>
                <w:color w:val="auto"/>
              </w:rPr>
              <w:t>Cost of capital memorandum accounts</w:t>
            </w: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(1,563)</w:t>
            </w: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1,416</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2022 GRC interim memorandum account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20,650</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20,650</w:t>
            </w:r>
          </w:p>
        </w:tc>
        <w:tc>
          <w:tcPr>
            <w:tcW w:w="0" w:type="dxa"/>
            <w:vAlign w:val="bottom"/>
          </w:tcPr>
          <w:p>
            <w:pPr>
              <w:spacing w:after="0"/>
              <w:rPr>
                <w:sz w:val="1"/>
                <w:szCs w:val="1"/>
                <w:color w:val="auto"/>
              </w:rPr>
            </w:pPr>
          </w:p>
        </w:tc>
      </w:tr>
      <w:tr>
        <w:trPr>
          <w:trHeight w:val="182"/>
        </w:trPr>
        <w:tc>
          <w:tcPr>
            <w:tcW w:w="4760" w:type="dxa"/>
            <w:vAlign w:val="bottom"/>
          </w:tcPr>
          <w:p>
            <w:pPr>
              <w:ind w:left="140"/>
              <w:spacing w:after="0"/>
              <w:rPr>
                <w:sz w:val="20"/>
                <w:szCs w:val="20"/>
                <w:color w:val="auto"/>
              </w:rPr>
            </w:pPr>
            <w:r>
              <w:rPr>
                <w:rFonts w:ascii="Arial" w:cs="Arial" w:eastAsia="Arial" w:hAnsi="Arial"/>
                <w:sz w:val="14"/>
                <w:szCs w:val="14"/>
                <w:color w:val="auto"/>
              </w:rPr>
              <w:t>All others</w:t>
            </w: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(386)</w:t>
            </w: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2,034</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795</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2,443</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 accounts</w:t>
            </w:r>
          </w:p>
        </w:tc>
        <w:tc>
          <w:tcPr>
            <w:tcW w:w="1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18,451</w:t>
            </w:r>
          </w:p>
        </w:tc>
        <w:tc>
          <w:tcPr>
            <w:tcW w:w="16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32,786</w:t>
            </w:r>
          </w:p>
        </w:tc>
        <w:tc>
          <w:tcPr>
            <w:tcW w:w="1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(22,494)</w:t>
            </w:r>
          </w:p>
        </w:tc>
        <w:tc>
          <w:tcPr>
            <w:tcW w:w="1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28,743</w:t>
            </w:r>
          </w:p>
        </w:tc>
        <w:tc>
          <w:tcPr>
            <w:tcW w:w="0" w:type="dxa"/>
            <w:vAlign w:val="bottom"/>
          </w:tcPr>
          <w:p>
            <w:pPr>
              <w:spacing w:after="0"/>
              <w:rPr>
                <w:sz w:val="1"/>
                <w:szCs w:val="1"/>
                <w:color w:val="auto"/>
              </w:rPr>
            </w:pPr>
          </w:p>
        </w:tc>
      </w:tr>
      <w:tr>
        <w:trPr>
          <w:trHeight w:val="196"/>
        </w:trPr>
        <w:tc>
          <w:tcPr>
            <w:tcW w:w="47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Cost-recovery accounts:</w:t>
            </w:r>
          </w:p>
        </w:tc>
        <w:tc>
          <w:tcPr>
            <w:tcW w:w="14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60" w:type="dxa"/>
            <w:vAlign w:val="bottom"/>
          </w:tcPr>
          <w:p>
            <w:pPr>
              <w:ind w:left="140"/>
              <w:spacing w:after="0"/>
              <w:rPr>
                <w:sz w:val="20"/>
                <w:szCs w:val="20"/>
                <w:color w:val="auto"/>
              </w:rPr>
            </w:pPr>
            <w:r>
              <w:rPr>
                <w:rFonts w:ascii="Arial" w:cs="Arial" w:eastAsia="Arial" w:hAnsi="Arial"/>
                <w:sz w:val="14"/>
                <w:szCs w:val="14"/>
                <w:color w:val="auto"/>
              </w:rPr>
              <w:t>Water supply costs</w:t>
            </w:r>
          </w:p>
        </w:tc>
        <w:tc>
          <w:tcPr>
            <w:tcW w:w="140" w:type="dxa"/>
            <w:vAlign w:val="bottom"/>
          </w:tcPr>
          <w:p>
            <w:pPr>
              <w:spacing w:after="0"/>
              <w:rPr>
                <w:sz w:val="15"/>
                <w:szCs w:val="15"/>
                <w:color w:val="auto"/>
              </w:rPr>
            </w:pPr>
          </w:p>
        </w:tc>
        <w:tc>
          <w:tcPr>
            <w:tcW w:w="1380" w:type="dxa"/>
            <w:vAlign w:val="bottom"/>
          </w:tcPr>
          <w:p>
            <w:pPr>
              <w:jc w:val="right"/>
              <w:ind w:right="7"/>
              <w:spacing w:after="0"/>
              <w:rPr>
                <w:sz w:val="20"/>
                <w:szCs w:val="20"/>
                <w:color w:val="auto"/>
              </w:rPr>
            </w:pPr>
            <w:r>
              <w:rPr>
                <w:rFonts w:ascii="Arial" w:cs="Arial" w:eastAsia="Arial" w:hAnsi="Arial"/>
                <w:sz w:val="14"/>
                <w:szCs w:val="14"/>
                <w:color w:val="auto"/>
              </w:rPr>
              <w:t>10,545</w:t>
            </w: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3,830</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(4,502)</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9,873</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Pension</w:t>
            </w:r>
          </w:p>
        </w:tc>
        <w:tc>
          <w:tcPr>
            <w:tcW w:w="14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4,941</w:t>
            </w:r>
          </w:p>
        </w:tc>
        <w:tc>
          <w:tcPr>
            <w:tcW w:w="16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(1,857)</w:t>
            </w:r>
          </w:p>
        </w:tc>
        <w:tc>
          <w:tcPr>
            <w:tcW w:w="1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2,835</w:t>
            </w:r>
          </w:p>
        </w:tc>
        <w:tc>
          <w:tcPr>
            <w:tcW w:w="0" w:type="dxa"/>
            <w:vAlign w:val="bottom"/>
          </w:tcPr>
          <w:p>
            <w:pPr>
              <w:spacing w:after="0"/>
              <w:rPr>
                <w:sz w:val="1"/>
                <w:szCs w:val="1"/>
                <w:color w:val="auto"/>
              </w:rPr>
            </w:pPr>
          </w:p>
        </w:tc>
      </w:tr>
      <w:tr>
        <w:trPr>
          <w:trHeight w:val="182"/>
        </w:trPr>
        <w:tc>
          <w:tcPr>
            <w:tcW w:w="4760" w:type="dxa"/>
            <w:vAlign w:val="bottom"/>
          </w:tcPr>
          <w:p>
            <w:pPr>
              <w:ind w:left="140"/>
              <w:spacing w:after="0"/>
              <w:rPr>
                <w:sz w:val="20"/>
                <w:szCs w:val="20"/>
                <w:color w:val="auto"/>
              </w:rPr>
            </w:pPr>
            <w:r>
              <w:rPr>
                <w:rFonts w:ascii="Arial" w:cs="Arial" w:eastAsia="Arial" w:hAnsi="Arial"/>
                <w:sz w:val="14"/>
                <w:szCs w:val="14"/>
                <w:color w:val="auto"/>
              </w:rPr>
              <w:t>PRVMA (b)</w:t>
            </w:r>
          </w:p>
        </w:tc>
        <w:tc>
          <w:tcPr>
            <w:tcW w:w="140" w:type="dxa"/>
            <w:vAlign w:val="bottom"/>
          </w:tcPr>
          <w:p>
            <w:pPr>
              <w:spacing w:after="0"/>
              <w:rPr>
                <w:sz w:val="15"/>
                <w:szCs w:val="15"/>
                <w:color w:val="auto"/>
              </w:rPr>
            </w:pPr>
          </w:p>
        </w:tc>
        <w:tc>
          <w:tcPr>
            <w:tcW w:w="1380" w:type="dxa"/>
            <w:vAlign w:val="bottom"/>
          </w:tcPr>
          <w:p>
            <w:pPr>
              <w:jc w:val="right"/>
              <w:ind w:right="7"/>
              <w:spacing w:after="0"/>
              <w:rPr>
                <w:sz w:val="20"/>
                <w:szCs w:val="20"/>
                <w:color w:val="auto"/>
              </w:rPr>
            </w:pPr>
            <w:r>
              <w:rPr>
                <w:rFonts w:ascii="Arial" w:cs="Arial" w:eastAsia="Arial" w:hAnsi="Arial"/>
                <w:sz w:val="14"/>
                <w:szCs w:val="14"/>
                <w:color w:val="auto"/>
              </w:rPr>
              <w:t>707</w:t>
            </w: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CEMA (c)</w:t>
            </w:r>
          </w:p>
        </w:tc>
        <w:tc>
          <w:tcPr>
            <w:tcW w:w="14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3,245</w:t>
            </w:r>
          </w:p>
        </w:tc>
        <w:tc>
          <w:tcPr>
            <w:tcW w:w="16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3,485</w:t>
            </w:r>
          </w:p>
        </w:tc>
        <w:tc>
          <w:tcPr>
            <w:tcW w:w="0" w:type="dxa"/>
            <w:vAlign w:val="bottom"/>
          </w:tcPr>
          <w:p>
            <w:pPr>
              <w:spacing w:after="0"/>
              <w:rPr>
                <w:sz w:val="1"/>
                <w:szCs w:val="1"/>
                <w:color w:val="auto"/>
              </w:rPr>
            </w:pPr>
          </w:p>
        </w:tc>
      </w:tr>
      <w:tr>
        <w:trPr>
          <w:trHeight w:val="182"/>
        </w:trPr>
        <w:tc>
          <w:tcPr>
            <w:tcW w:w="4760" w:type="dxa"/>
            <w:vAlign w:val="bottom"/>
          </w:tcPr>
          <w:p>
            <w:pPr>
              <w:ind w:left="140"/>
              <w:spacing w:after="0"/>
              <w:rPr>
                <w:sz w:val="20"/>
                <w:szCs w:val="20"/>
                <w:color w:val="auto"/>
              </w:rPr>
            </w:pPr>
            <w:r>
              <w:rPr>
                <w:rFonts w:ascii="Arial" w:cs="Arial" w:eastAsia="Arial" w:hAnsi="Arial"/>
                <w:sz w:val="14"/>
                <w:szCs w:val="14"/>
                <w:color w:val="auto"/>
              </w:rPr>
              <w:t>All others</w:t>
            </w:r>
          </w:p>
        </w:tc>
        <w:tc>
          <w:tcPr>
            <w:tcW w:w="140" w:type="dxa"/>
            <w:vAlign w:val="bottom"/>
          </w:tcPr>
          <w:p>
            <w:pPr>
              <w:spacing w:after="0"/>
              <w:rPr>
                <w:sz w:val="15"/>
                <w:szCs w:val="15"/>
                <w:color w:val="auto"/>
              </w:rPr>
            </w:pPr>
          </w:p>
        </w:tc>
        <w:tc>
          <w:tcPr>
            <w:tcW w:w="1380" w:type="dxa"/>
            <w:vAlign w:val="bottom"/>
          </w:tcPr>
          <w:p>
            <w:pPr>
              <w:jc w:val="right"/>
              <w:ind w:right="7"/>
              <w:spacing w:after="0"/>
              <w:rPr>
                <w:sz w:val="20"/>
                <w:szCs w:val="20"/>
                <w:color w:val="auto"/>
              </w:rPr>
            </w:pPr>
            <w:r>
              <w:rPr>
                <w:rFonts w:ascii="Arial" w:cs="Arial" w:eastAsia="Arial" w:hAnsi="Arial"/>
                <w:sz w:val="14"/>
                <w:szCs w:val="14"/>
                <w:color w:val="auto"/>
              </w:rPr>
              <w:t>445</w:t>
            </w: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1,830</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(1,793)</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482</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cost-recovery accounts</w:t>
            </w:r>
          </w:p>
        </w:tc>
        <w:tc>
          <w:tcPr>
            <w:tcW w:w="1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19,883</w:t>
            </w:r>
          </w:p>
        </w:tc>
        <w:tc>
          <w:tcPr>
            <w:tcW w:w="16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5,660</w:t>
            </w:r>
          </w:p>
        </w:tc>
        <w:tc>
          <w:tcPr>
            <w:tcW w:w="1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(8,517)</w:t>
            </w:r>
          </w:p>
        </w:tc>
        <w:tc>
          <w:tcPr>
            <w:tcW w:w="1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17,026</w:t>
            </w:r>
          </w:p>
        </w:tc>
        <w:tc>
          <w:tcPr>
            <w:tcW w:w="0" w:type="dxa"/>
            <w:vAlign w:val="bottom"/>
          </w:tcPr>
          <w:p>
            <w:pPr>
              <w:spacing w:after="0"/>
              <w:rPr>
                <w:sz w:val="1"/>
                <w:szCs w:val="1"/>
                <w:color w:val="auto"/>
              </w:rPr>
            </w:pPr>
          </w:p>
        </w:tc>
      </w:tr>
      <w:tr>
        <w:trPr>
          <w:trHeight w:val="196"/>
        </w:trPr>
        <w:tc>
          <w:tcPr>
            <w:tcW w:w="47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38,334</w:t>
            </w:r>
          </w:p>
        </w:tc>
        <w:tc>
          <w:tcPr>
            <w:tcW w:w="16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38,446</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(31,011)</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45,769</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60" w:type="dxa"/>
            <w:vAlign w:val="bottom"/>
            <w:gridSpan w:val="4"/>
          </w:tcPr>
          <w:p>
            <w:pPr>
              <w:ind w:left="380"/>
              <w:spacing w:after="0"/>
              <w:rPr>
                <w:sz w:val="20"/>
                <w:szCs w:val="20"/>
                <w:color w:val="auto"/>
              </w:rPr>
            </w:pPr>
            <w:r>
              <w:rPr>
                <w:rFonts w:ascii="Arial" w:cs="Arial" w:eastAsia="Arial" w:hAnsi="Arial"/>
                <w:sz w:val="14"/>
                <w:szCs w:val="14"/>
                <w:b w:val="1"/>
                <w:bCs w:val="1"/>
                <w:color w:val="auto"/>
              </w:rPr>
              <w:t>For the year ended December 31, 2021</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Beginning Balance</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Regulatory Asset</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Refunds (Collections)</w:t>
            </w:r>
          </w:p>
        </w:tc>
        <w:tc>
          <w:tcPr>
            <w:tcW w:w="1540" w:type="dxa"/>
            <w:vAlign w:val="bottom"/>
          </w:tcPr>
          <w:p>
            <w:pPr>
              <w:ind w:left="52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92"/>
        </w:trPr>
        <w:tc>
          <w:tcPr>
            <w:tcW w:w="4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Increase (Decrease)</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Adjustments</w:t>
            </w:r>
          </w:p>
        </w:tc>
        <w:tc>
          <w:tcPr>
            <w:tcW w:w="1540" w:type="dxa"/>
            <w:vAlign w:val="bottom"/>
          </w:tcPr>
          <w:p>
            <w:pPr>
              <w:ind w:left="5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68"/>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 accounts:</w:t>
            </w: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380" w:type="dxa"/>
            <w:vAlign w:val="bottom"/>
            <w:tcBorders>
              <w:top w:val="single" w:sz="8" w:color="auto"/>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5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5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54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760" w:type="dxa"/>
            <w:vAlign w:val="bottom"/>
          </w:tcPr>
          <w:p>
            <w:pPr>
              <w:ind w:left="140"/>
              <w:spacing w:after="0"/>
              <w:rPr>
                <w:sz w:val="20"/>
                <w:szCs w:val="20"/>
                <w:color w:val="auto"/>
              </w:rPr>
            </w:pPr>
            <w:r>
              <w:rPr>
                <w:rFonts w:ascii="Arial" w:cs="Arial" w:eastAsia="Arial" w:hAnsi="Arial"/>
                <w:sz w:val="14"/>
                <w:szCs w:val="14"/>
                <w:color w:val="auto"/>
              </w:rPr>
              <w:t>MWRAM</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ind w:right="7"/>
              <w:spacing w:after="0"/>
              <w:rPr>
                <w:sz w:val="20"/>
                <w:szCs w:val="20"/>
                <w:color w:val="auto"/>
              </w:rPr>
            </w:pPr>
            <w:r>
              <w:rPr>
                <w:rFonts w:ascii="Arial" w:cs="Arial" w:eastAsia="Arial" w:hAnsi="Arial"/>
                <w:sz w:val="14"/>
                <w:szCs w:val="14"/>
                <w:color w:val="auto"/>
              </w:rPr>
              <w:t>12,077</w:t>
            </w: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4,788</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16,866</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WCMA (a)</w:t>
            </w:r>
          </w:p>
        </w:tc>
        <w:tc>
          <w:tcPr>
            <w:tcW w:w="14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666</w:t>
            </w:r>
          </w:p>
        </w:tc>
        <w:tc>
          <w:tcPr>
            <w:tcW w:w="16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3,243</w:t>
            </w:r>
          </w:p>
        </w:tc>
        <w:tc>
          <w:tcPr>
            <w:tcW w:w="1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1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3,534</w:t>
            </w:r>
          </w:p>
        </w:tc>
        <w:tc>
          <w:tcPr>
            <w:tcW w:w="0" w:type="dxa"/>
            <w:vAlign w:val="bottom"/>
          </w:tcPr>
          <w:p>
            <w:pPr>
              <w:spacing w:after="0"/>
              <w:rPr>
                <w:sz w:val="1"/>
                <w:szCs w:val="1"/>
                <w:color w:val="auto"/>
              </w:rPr>
            </w:pPr>
          </w:p>
        </w:tc>
      </w:tr>
      <w:tr>
        <w:trPr>
          <w:trHeight w:val="182"/>
        </w:trPr>
        <w:tc>
          <w:tcPr>
            <w:tcW w:w="4760" w:type="dxa"/>
            <w:vAlign w:val="bottom"/>
          </w:tcPr>
          <w:p>
            <w:pPr>
              <w:ind w:left="140"/>
              <w:spacing w:after="0"/>
              <w:rPr>
                <w:sz w:val="20"/>
                <w:szCs w:val="20"/>
                <w:color w:val="auto"/>
              </w:rPr>
            </w:pPr>
            <w:r>
              <w:rPr>
                <w:rFonts w:ascii="Arial" w:cs="Arial" w:eastAsia="Arial" w:hAnsi="Arial"/>
                <w:sz w:val="14"/>
                <w:szCs w:val="14"/>
                <w:color w:val="auto"/>
              </w:rPr>
              <w:t>Cost of capital memorandum accounts</w:t>
            </w: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(1,561)</w:t>
            </w: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(1,563)</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All others</w:t>
            </w:r>
          </w:p>
        </w:tc>
        <w:tc>
          <w:tcPr>
            <w:tcW w:w="1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(1,139)</w:t>
            </w:r>
          </w:p>
        </w:tc>
        <w:tc>
          <w:tcPr>
            <w:tcW w:w="16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1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176"/>
        </w:trPr>
        <w:tc>
          <w:tcPr>
            <w:tcW w:w="4760" w:type="dxa"/>
            <w:vAlign w:val="bottom"/>
          </w:tcPr>
          <w:p>
            <w:pPr>
              <w:ind w:left="20"/>
              <w:spacing w:after="0"/>
              <w:rPr>
                <w:sz w:val="20"/>
                <w:szCs w:val="20"/>
                <w:color w:val="auto"/>
              </w:rPr>
            </w:pPr>
            <w:r>
              <w:rPr>
                <w:rFonts w:ascii="Arial" w:cs="Arial" w:eastAsia="Arial" w:hAnsi="Arial"/>
                <w:sz w:val="14"/>
                <w:szCs w:val="14"/>
                <w:color w:val="auto"/>
              </w:rPr>
              <w:t>Total revenue accounts</w:t>
            </w:r>
          </w:p>
        </w:tc>
        <w:tc>
          <w:tcPr>
            <w:tcW w:w="1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7"/>
              <w:spacing w:after="0"/>
              <w:rPr>
                <w:sz w:val="20"/>
                <w:szCs w:val="20"/>
                <w:color w:val="auto"/>
              </w:rPr>
            </w:pPr>
            <w:r>
              <w:rPr>
                <w:rFonts w:ascii="Arial" w:cs="Arial" w:eastAsia="Arial" w:hAnsi="Arial"/>
                <w:sz w:val="14"/>
                <w:szCs w:val="14"/>
                <w:color w:val="auto"/>
              </w:rPr>
              <w:t>10,043</w:t>
            </w:r>
          </w:p>
        </w:tc>
        <w:tc>
          <w:tcPr>
            <w:tcW w:w="160" w:type="dxa"/>
            <w:vAlign w:val="bottom"/>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8,779</w:t>
            </w:r>
          </w:p>
        </w:tc>
        <w:tc>
          <w:tcPr>
            <w:tcW w:w="100" w:type="dxa"/>
            <w:vAlign w:val="bottom"/>
          </w:tcPr>
          <w:p>
            <w:pPr>
              <w:spacing w:after="0"/>
              <w:rPr>
                <w:sz w:val="15"/>
                <w:szCs w:val="15"/>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(371)</w:t>
            </w:r>
          </w:p>
        </w:tc>
        <w:tc>
          <w:tcPr>
            <w:tcW w:w="100" w:type="dxa"/>
            <w:vAlign w:val="bottom"/>
          </w:tcPr>
          <w:p>
            <w:pPr>
              <w:spacing w:after="0"/>
              <w:rPr>
                <w:sz w:val="15"/>
                <w:szCs w:val="15"/>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18,451</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760" w:type="dxa"/>
            <w:vAlign w:val="bottom"/>
          </w:tcPr>
          <w:p>
            <w:pPr>
              <w:ind w:left="20"/>
              <w:spacing w:after="0"/>
              <w:rPr>
                <w:sz w:val="20"/>
                <w:szCs w:val="20"/>
                <w:color w:val="auto"/>
              </w:rPr>
            </w:pPr>
            <w:r>
              <w:rPr>
                <w:rFonts w:ascii="Arial" w:cs="Arial" w:eastAsia="Arial" w:hAnsi="Arial"/>
                <w:sz w:val="14"/>
                <w:szCs w:val="14"/>
                <w:color w:val="auto"/>
              </w:rPr>
              <w:t>Cost-recovery accounts:</w:t>
            </w: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Water supply costs</w:t>
            </w:r>
          </w:p>
        </w:tc>
        <w:tc>
          <w:tcPr>
            <w:tcW w:w="14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8,123</w:t>
            </w:r>
          </w:p>
        </w:tc>
        <w:tc>
          <w:tcPr>
            <w:tcW w:w="16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2,421</w:t>
            </w:r>
          </w:p>
        </w:tc>
        <w:tc>
          <w:tcPr>
            <w:tcW w:w="1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10,545</w:t>
            </w:r>
          </w:p>
        </w:tc>
        <w:tc>
          <w:tcPr>
            <w:tcW w:w="0" w:type="dxa"/>
            <w:vAlign w:val="bottom"/>
          </w:tcPr>
          <w:p>
            <w:pPr>
              <w:spacing w:after="0"/>
              <w:rPr>
                <w:sz w:val="1"/>
                <w:szCs w:val="1"/>
                <w:color w:val="auto"/>
              </w:rPr>
            </w:pPr>
          </w:p>
        </w:tc>
      </w:tr>
      <w:tr>
        <w:trPr>
          <w:trHeight w:val="182"/>
        </w:trPr>
        <w:tc>
          <w:tcPr>
            <w:tcW w:w="4760" w:type="dxa"/>
            <w:vAlign w:val="bottom"/>
          </w:tcPr>
          <w:p>
            <w:pPr>
              <w:ind w:left="140"/>
              <w:spacing w:after="0"/>
              <w:rPr>
                <w:sz w:val="20"/>
                <w:szCs w:val="20"/>
                <w:color w:val="auto"/>
              </w:rPr>
            </w:pPr>
            <w:r>
              <w:rPr>
                <w:rFonts w:ascii="Arial" w:cs="Arial" w:eastAsia="Arial" w:hAnsi="Arial"/>
                <w:sz w:val="14"/>
                <w:szCs w:val="14"/>
                <w:color w:val="auto"/>
              </w:rPr>
              <w:t>Pension</w:t>
            </w:r>
          </w:p>
        </w:tc>
        <w:tc>
          <w:tcPr>
            <w:tcW w:w="140" w:type="dxa"/>
            <w:vAlign w:val="bottom"/>
          </w:tcPr>
          <w:p>
            <w:pPr>
              <w:spacing w:after="0"/>
              <w:rPr>
                <w:sz w:val="15"/>
                <w:szCs w:val="15"/>
                <w:color w:val="auto"/>
              </w:rPr>
            </w:pPr>
          </w:p>
        </w:tc>
        <w:tc>
          <w:tcPr>
            <w:tcW w:w="1380" w:type="dxa"/>
            <w:vAlign w:val="bottom"/>
          </w:tcPr>
          <w:p>
            <w:pPr>
              <w:jc w:val="right"/>
              <w:ind w:right="7"/>
              <w:spacing w:after="0"/>
              <w:rPr>
                <w:sz w:val="20"/>
                <w:szCs w:val="20"/>
                <w:color w:val="auto"/>
              </w:rPr>
            </w:pPr>
            <w:r>
              <w:rPr>
                <w:rFonts w:ascii="Arial" w:cs="Arial" w:eastAsia="Arial" w:hAnsi="Arial"/>
                <w:sz w:val="14"/>
                <w:szCs w:val="14"/>
                <w:color w:val="auto"/>
              </w:rPr>
              <w:t>3,478</w:t>
            </w: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1,464</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4,941</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PRVMA (b)</w:t>
            </w:r>
          </w:p>
        </w:tc>
        <w:tc>
          <w:tcPr>
            <w:tcW w:w="14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1,108</w:t>
            </w:r>
          </w:p>
        </w:tc>
        <w:tc>
          <w:tcPr>
            <w:tcW w:w="16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1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707</w:t>
            </w:r>
          </w:p>
        </w:tc>
        <w:tc>
          <w:tcPr>
            <w:tcW w:w="0" w:type="dxa"/>
            <w:vAlign w:val="bottom"/>
          </w:tcPr>
          <w:p>
            <w:pPr>
              <w:spacing w:after="0"/>
              <w:rPr>
                <w:sz w:val="1"/>
                <w:szCs w:val="1"/>
                <w:color w:val="auto"/>
              </w:rPr>
            </w:pPr>
          </w:p>
        </w:tc>
      </w:tr>
      <w:tr>
        <w:trPr>
          <w:trHeight w:val="182"/>
        </w:trPr>
        <w:tc>
          <w:tcPr>
            <w:tcW w:w="4760" w:type="dxa"/>
            <w:vAlign w:val="bottom"/>
          </w:tcPr>
          <w:p>
            <w:pPr>
              <w:ind w:left="140"/>
              <w:spacing w:after="0"/>
              <w:rPr>
                <w:sz w:val="20"/>
                <w:szCs w:val="20"/>
                <w:color w:val="auto"/>
              </w:rPr>
            </w:pPr>
            <w:r>
              <w:rPr>
                <w:rFonts w:ascii="Arial" w:cs="Arial" w:eastAsia="Arial" w:hAnsi="Arial"/>
                <w:sz w:val="14"/>
                <w:szCs w:val="14"/>
                <w:color w:val="auto"/>
              </w:rPr>
              <w:t>CEMA (c)</w:t>
            </w:r>
          </w:p>
        </w:tc>
        <w:tc>
          <w:tcPr>
            <w:tcW w:w="140" w:type="dxa"/>
            <w:vAlign w:val="bottom"/>
          </w:tcPr>
          <w:p>
            <w:pPr>
              <w:spacing w:after="0"/>
              <w:rPr>
                <w:sz w:val="15"/>
                <w:szCs w:val="15"/>
                <w:color w:val="auto"/>
              </w:rPr>
            </w:pPr>
          </w:p>
        </w:tc>
        <w:tc>
          <w:tcPr>
            <w:tcW w:w="1380" w:type="dxa"/>
            <w:vAlign w:val="bottom"/>
          </w:tcPr>
          <w:p>
            <w:pPr>
              <w:jc w:val="right"/>
              <w:ind w:right="7"/>
              <w:spacing w:after="0"/>
              <w:rPr>
                <w:sz w:val="20"/>
                <w:szCs w:val="20"/>
                <w:color w:val="auto"/>
              </w:rPr>
            </w:pPr>
            <w:r>
              <w:rPr>
                <w:rFonts w:ascii="Arial" w:cs="Arial" w:eastAsia="Arial" w:hAnsi="Arial"/>
                <w:sz w:val="14"/>
                <w:szCs w:val="14"/>
                <w:color w:val="auto"/>
              </w:rPr>
              <w:t>2,266</w:t>
            </w: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979</w:t>
            </w:r>
          </w:p>
        </w:tc>
        <w:tc>
          <w:tcPr>
            <w:tcW w:w="100" w:type="dxa"/>
            <w:vAlign w:val="bottom"/>
          </w:tcPr>
          <w:p>
            <w:pPr>
              <w:spacing w:after="0"/>
              <w:rPr>
                <w:sz w:val="15"/>
                <w:szCs w:val="15"/>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3,245</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All others</w:t>
            </w:r>
          </w:p>
        </w:tc>
        <w:tc>
          <w:tcPr>
            <w:tcW w:w="1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445</w:t>
            </w:r>
          </w:p>
        </w:tc>
        <w:tc>
          <w:tcPr>
            <w:tcW w:w="16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176"/>
        </w:trPr>
        <w:tc>
          <w:tcPr>
            <w:tcW w:w="4760" w:type="dxa"/>
            <w:vAlign w:val="bottom"/>
          </w:tcPr>
          <w:p>
            <w:pPr>
              <w:ind w:left="20"/>
              <w:spacing w:after="0"/>
              <w:rPr>
                <w:sz w:val="20"/>
                <w:szCs w:val="20"/>
                <w:color w:val="auto"/>
              </w:rPr>
            </w:pPr>
            <w:r>
              <w:rPr>
                <w:rFonts w:ascii="Arial" w:cs="Arial" w:eastAsia="Arial" w:hAnsi="Arial"/>
                <w:sz w:val="14"/>
                <w:szCs w:val="14"/>
                <w:color w:val="auto"/>
              </w:rPr>
              <w:t>Total cost-recovery accounts</w:t>
            </w:r>
          </w:p>
        </w:tc>
        <w:tc>
          <w:tcPr>
            <w:tcW w:w="1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7"/>
              <w:spacing w:after="0"/>
              <w:rPr>
                <w:sz w:val="20"/>
                <w:szCs w:val="20"/>
                <w:color w:val="auto"/>
              </w:rPr>
            </w:pPr>
            <w:r>
              <w:rPr>
                <w:rFonts w:ascii="Arial" w:cs="Arial" w:eastAsia="Arial" w:hAnsi="Arial"/>
                <w:sz w:val="14"/>
                <w:szCs w:val="14"/>
                <w:color w:val="auto"/>
              </w:rPr>
              <w:t>15,420</w:t>
            </w:r>
          </w:p>
        </w:tc>
        <w:tc>
          <w:tcPr>
            <w:tcW w:w="160" w:type="dxa"/>
            <w:vAlign w:val="bottom"/>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4,865</w:t>
            </w:r>
          </w:p>
        </w:tc>
        <w:tc>
          <w:tcPr>
            <w:tcW w:w="100" w:type="dxa"/>
            <w:vAlign w:val="bottom"/>
          </w:tcPr>
          <w:p>
            <w:pPr>
              <w:spacing w:after="0"/>
              <w:rPr>
                <w:sz w:val="15"/>
                <w:szCs w:val="15"/>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15"/>
                <w:szCs w:val="15"/>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19,883</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760" w:type="dxa"/>
            <w:vAlign w:val="bottom"/>
          </w:tcPr>
          <w:p>
            <w:pPr>
              <w:ind w:left="20"/>
              <w:spacing w:after="0"/>
              <w:rPr>
                <w:sz w:val="20"/>
                <w:szCs w:val="20"/>
                <w:color w:val="auto"/>
              </w:rPr>
            </w:pPr>
            <w:r>
              <w:rPr>
                <w:rFonts w:ascii="Arial" w:cs="Arial" w:eastAsia="Arial" w:hAnsi="Arial"/>
                <w:sz w:val="14"/>
                <w:szCs w:val="14"/>
                <w:color w:val="auto"/>
              </w:rPr>
              <w:t>Total</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ind w:right="7"/>
              <w:spacing w:after="0"/>
              <w:rPr>
                <w:sz w:val="20"/>
                <w:szCs w:val="20"/>
                <w:color w:val="auto"/>
              </w:rPr>
            </w:pPr>
            <w:r>
              <w:rPr>
                <w:rFonts w:ascii="Arial" w:cs="Arial" w:eastAsia="Arial" w:hAnsi="Arial"/>
                <w:sz w:val="14"/>
                <w:szCs w:val="14"/>
                <w:color w:val="auto"/>
              </w:rPr>
              <w:t>25,463</w:t>
            </w: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13,644</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(773)</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38,334</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w:t>
            </w: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476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1"/>
        </w:trPr>
        <w:tc>
          <w:tcPr>
            <w:tcW w:w="47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right="40" w:hanging="652"/>
        <w:spacing w:after="0" w:line="241" w:lineRule="auto"/>
        <w:tabs>
          <w:tab w:leader="none" w:pos="657"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 2021, with the declaration of a drought emergency and conservation mandates in California by Governor Gavin Newsom and Valley Water, SJWC obtained approval to reestablish a WCMA effective July 20, 2021. Drought surcharges collected are used to offset the revenue losses tracked in the WCMA. For the year ended December 31, 2022 and 2021, SJWC recognized $4,041 and $3,243, respectively, in lost revenues accumulated in the WCMA. Effective on November 11, 2022, the CPUC approved the refund of the net WCMA balance of $20,474 to customers.</w:t>
      </w:r>
    </w:p>
    <w:p>
      <w:pPr>
        <w:spacing w:after="0" w:line="1" w:lineRule="exact"/>
        <w:rPr>
          <w:rFonts w:ascii="Arial" w:cs="Arial" w:eastAsia="Arial" w:hAnsi="Arial"/>
          <w:sz w:val="14"/>
          <w:szCs w:val="14"/>
          <w:color w:val="auto"/>
        </w:rPr>
      </w:pPr>
    </w:p>
    <w:p>
      <w:pPr>
        <w:ind w:left="640" w:hanging="632"/>
        <w:spacing w:after="0"/>
        <w:tabs>
          <w:tab w:leader="none" w:pos="6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On August 27, 2020, the Hydro Generation Research, Development and Demonstration Memorandum Account (“PRVMA”) costs of $1,219 were approved for recovery by the CPUC.</w:t>
      </w:r>
    </w:p>
    <w:p>
      <w:pPr>
        <w:spacing w:after="0" w:line="12" w:lineRule="exact"/>
        <w:rPr>
          <w:rFonts w:ascii="Arial" w:cs="Arial" w:eastAsia="Arial" w:hAnsi="Arial"/>
          <w:sz w:val="13"/>
          <w:szCs w:val="13"/>
          <w:color w:val="auto"/>
        </w:rPr>
      </w:pPr>
    </w:p>
    <w:p>
      <w:pPr>
        <w:ind w:left="660" w:right="140" w:hanging="652"/>
        <w:spacing w:after="0" w:line="239" w:lineRule="auto"/>
        <w:tabs>
          <w:tab w:leader="none" w:pos="657" w:val="left"/>
        </w:tabs>
        <w:numPr>
          <w:ilvl w:val="0"/>
          <w:numId w:val="23"/>
        </w:numPr>
        <w:rPr>
          <w:rFonts w:ascii="Arial" w:cs="Arial" w:eastAsia="Arial" w:hAnsi="Arial"/>
          <w:sz w:val="14"/>
          <w:szCs w:val="14"/>
          <w:color w:val="auto"/>
        </w:rPr>
      </w:pPr>
      <w:r>
        <w:rPr>
          <w:rFonts w:ascii="Arial" w:cs="Arial" w:eastAsia="Arial" w:hAnsi="Arial"/>
          <w:sz w:val="14"/>
          <w:szCs w:val="14"/>
          <w:color w:val="auto"/>
        </w:rPr>
        <w:t>On March 4, 2020, the California Governor declared a State of Emergency related to COVID-19. In response, the CPUC ordered its regulated water utilities to implement emergency customer protections in accordance with the Company’s Disaster Relief Customer Protections and Outreach Plan, including waiving reconnection deposits, offering payment arrangements, suspending water service disconnections due to non-payment and requiring water utilities to develop a transition plan regarding shutoffs and terminations with customers once the moratorium ends. The customer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1" w:name="page62"/>
    <w:bookmarkEnd w:id="61"/>
    <w:p>
      <w:pPr>
        <w:ind w:left="660" w:right="260"/>
        <w:spacing w:after="0" w:line="273" w:lineRule="auto"/>
        <w:rPr>
          <w:sz w:val="20"/>
          <w:szCs w:val="20"/>
          <w:color w:val="auto"/>
        </w:rPr>
      </w:pPr>
      <w:r>
        <w:rPr>
          <w:rFonts w:ascii="Arial" w:cs="Arial" w:eastAsia="Arial" w:hAnsi="Arial"/>
          <w:sz w:val="13"/>
          <w:szCs w:val="13"/>
          <w:color w:val="auto"/>
        </w:rPr>
        <w:t>protections extended through to February 1, 2022. CPUC authorized water utilities to activate a COVID-19 Catastrophic Event Memorandum Account (“CEMA") in order to track savings and costs related to SJWC’s response, which includes labor and materials, increases in bad debt from the suspension of shutoffs for non-payment, waived deposits and reconnection fees, and divergence from actual versus authorized usage. The CEMA was activated for SJWC through the filing of Advice Letter No. 546 on March 19, 2020. SJWC anticipates requesting recovery of the COVID-19 pandemic response costs in a future general rate case or other filings. SJWC has determined that future recovery of the account is probable and recognized a regulatory asset of $240 and $979 in the years ended December 31, 2022 and 2021, respectively.</w:t>
      </w:r>
    </w:p>
    <w:p>
      <w:pPr>
        <w:spacing w:after="0" w:line="3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Capitalization</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SJW Group is authorized to issue 70,000,000 shares of common stock of $0.001 par value per share. At December 31, 2022 and 2021, 30,801,912 and 30,181,348, respectively, shares of common stock were issued and outstanding.</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December 31, 2022 and 2021, 1,000,000 shares of preferred stock of $0.001 par value per share were authorized for SJW Group. At December 31, 2022 and 2021, no shares of preferred stock were issued or outstanding.</w:t>
      </w:r>
    </w:p>
    <w:p>
      <w:pPr>
        <w:spacing w:after="0" w:line="6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November 17, 2021, SJW Group entered into an equity distribution agreement (the “Equity Distribution Agreement”) with J.P. Morgan Securities LLC, Janney Montgomery Scott LLC, RBC Capital Markets, LLC and Wells Fargo Securities, LLC, pursuant to which the Company may offer and sell shares of its common stock, $0.001 par value per share, from time to time in “at-the-market” offerings, having an aggregate gross sales price of up to $100,000. For the twelve months ended December 31, 2022, SJW Group issued and sold a total of 529,736 shares of common stock with a weighted average price of $75.49 per share and received approximately $39,179 in net proceeds under the Equity Distribution Agreement. Since the inception of the Equity Distribution Agreement, SJW Group has issued and sold 884,851 shares of common stock with a weighted average price of $73.44 for a total net proceeds of $63,432 and has a remaining $35,012 under the Equity Distribution Agreement to issue into shares.</w:t>
      </w:r>
    </w:p>
    <w:p>
      <w:pPr>
        <w:spacing w:after="0" w:line="6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On March 8, 2021, SJW Group entered into an underwriting agreement with J.P. Morgan Securities LLC, as the representative of the several underwriters named therein (the “Underwriters”), which provided for the issuance and sale by SJW Group to the Underwriters 1,030,000 shares of common stock, par value $0.001 per share, in an underwritten public offering (the “Offering”). The shares in the Offering were sold at a public offering price of $59.00 per share. SJW Group also granted the Underwriters an option to purchase up to 154,500 additional shares of common stock, which was exercised in full. The Offering closed on March 11, 2021, and the offering of option shares closed on March 16, 2021. SJW Group received net proceeds of approximately $66,775 from the Offering and the sale of option shares, after deducting the underwriting discounts and commissions and offering expenses.</w:t>
      </w:r>
    </w:p>
    <w:p>
      <w:pPr>
        <w:spacing w:after="0" w:line="29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Lines of Credit</w:t>
      </w:r>
    </w:p>
    <w:p>
      <w:pPr>
        <w:spacing w:after="0" w:line="1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SJW Group and its subsidiaries have unsecured line of credit agreements where borrowings are used to refinance existing debt, for working capital, and for general corporate purposes. A summary of the line of agreements as of December 31, 2022 and 2021 are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25"/>
        </w:trPr>
        <w:tc>
          <w:tcPr>
            <w:tcW w:w="3120" w:type="dxa"/>
            <w:vAlign w:val="bottom"/>
          </w:tcPr>
          <w:p>
            <w:pPr>
              <w:spacing w:after="0"/>
              <w:rPr>
                <w:sz w:val="2"/>
                <w:szCs w:val="2"/>
                <w:color w:val="auto"/>
              </w:rPr>
            </w:pPr>
          </w:p>
        </w:tc>
        <w:tc>
          <w:tcPr>
            <w:tcW w:w="2300" w:type="dxa"/>
            <w:vAlign w:val="bottom"/>
            <w:gridSpan w:val="3"/>
          </w:tcPr>
          <w:p>
            <w:pPr>
              <w:spacing w:after="0"/>
              <w:rPr>
                <w:sz w:val="2"/>
                <w:szCs w:val="2"/>
                <w:color w:val="auto"/>
              </w:rPr>
            </w:pPr>
          </w:p>
        </w:tc>
        <w:tc>
          <w:tcPr>
            <w:tcW w:w="1280" w:type="dxa"/>
            <w:vAlign w:val="bottom"/>
            <w:gridSpan w:val="2"/>
          </w:tcPr>
          <w:p>
            <w:pPr>
              <w:spacing w:after="0"/>
              <w:rPr>
                <w:sz w:val="2"/>
                <w:szCs w:val="2"/>
                <w:color w:val="auto"/>
              </w:rPr>
            </w:pPr>
          </w:p>
        </w:tc>
        <w:tc>
          <w:tcPr>
            <w:tcW w:w="1560" w:type="dxa"/>
            <w:vAlign w:val="bottom"/>
            <w:gridSpan w:val="2"/>
          </w:tcPr>
          <w:p>
            <w:pPr>
              <w:spacing w:after="0"/>
              <w:rPr>
                <w:sz w:val="2"/>
                <w:szCs w:val="2"/>
                <w:color w:val="auto"/>
              </w:rPr>
            </w:pPr>
          </w:p>
        </w:tc>
        <w:tc>
          <w:tcPr>
            <w:tcW w:w="154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r>
      <w:tr>
        <w:trPr>
          <w:trHeight w:val="190"/>
        </w:trPr>
        <w:tc>
          <w:tcPr>
            <w:tcW w:w="3120" w:type="dxa"/>
            <w:vAlign w:val="bottom"/>
          </w:tcPr>
          <w:p>
            <w:pPr>
              <w:spacing w:after="0"/>
              <w:rPr>
                <w:sz w:val="16"/>
                <w:szCs w:val="16"/>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Maturity Date</w:t>
            </w:r>
          </w:p>
        </w:tc>
        <w:tc>
          <w:tcPr>
            <w:tcW w:w="2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Line Limit</w:t>
            </w:r>
          </w:p>
        </w:tc>
        <w:tc>
          <w:tcPr>
            <w:tcW w:w="15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Amounts Outstanding</w:t>
            </w:r>
          </w:p>
        </w:tc>
        <w:tc>
          <w:tcPr>
            <w:tcW w:w="1420" w:type="dxa"/>
            <w:vAlign w:val="bottom"/>
            <w:tcBorders>
              <w:top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Unused Portion</w:t>
            </w:r>
          </w:p>
        </w:tc>
        <w:tc>
          <w:tcPr>
            <w:tcW w:w="120" w:type="dxa"/>
            <w:vAlign w:val="bottom"/>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Amounts Outstanding</w:t>
            </w:r>
          </w:p>
        </w:tc>
      </w:tr>
      <w:tr>
        <w:trPr>
          <w:trHeight w:val="229"/>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Syndicated credit agreement:</w:t>
            </w: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August 2, 2027</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r>
      <w:tr>
        <w:trPr>
          <w:trHeight w:val="230"/>
        </w:trPr>
        <w:tc>
          <w:tcPr>
            <w:tcW w:w="3120" w:type="dxa"/>
            <w:vAlign w:val="bottom"/>
          </w:tcPr>
          <w:p>
            <w:pPr>
              <w:ind w:left="140"/>
              <w:spacing w:after="0"/>
              <w:rPr>
                <w:sz w:val="20"/>
                <w:szCs w:val="20"/>
                <w:color w:val="auto"/>
              </w:rPr>
            </w:pPr>
            <w:r>
              <w:rPr>
                <w:rFonts w:ascii="Arial" w:cs="Arial" w:eastAsia="Arial" w:hAnsi="Arial"/>
                <w:sz w:val="18"/>
                <w:szCs w:val="18"/>
                <w:color w:val="auto"/>
              </w:rPr>
              <w:t>SJW Group</w:t>
            </w:r>
          </w:p>
        </w:tc>
        <w:tc>
          <w:tcPr>
            <w:tcW w:w="23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SJWC</w:t>
            </w:r>
          </w:p>
        </w:tc>
        <w:tc>
          <w:tcPr>
            <w:tcW w:w="1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120" w:type="dxa"/>
            <w:vAlign w:val="bottom"/>
          </w:tcPr>
          <w:p>
            <w:pPr>
              <w:ind w:left="140"/>
              <w:spacing w:after="0"/>
              <w:rPr>
                <w:sz w:val="20"/>
                <w:szCs w:val="20"/>
                <w:color w:val="auto"/>
              </w:rPr>
            </w:pPr>
            <w:r>
              <w:rPr>
                <w:rFonts w:ascii="Arial" w:cs="Arial" w:eastAsia="Arial" w:hAnsi="Arial"/>
                <w:sz w:val="18"/>
                <w:szCs w:val="18"/>
                <w:color w:val="auto"/>
              </w:rPr>
              <w:t>CTWS</w:t>
            </w: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70,000</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SJWTX</w:t>
            </w:r>
          </w:p>
        </w:tc>
        <w:tc>
          <w:tcPr>
            <w:tcW w:w="1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Pr>
          <w:p>
            <w:pPr>
              <w:ind w:left="360"/>
              <w:spacing w:after="0"/>
              <w:rPr>
                <w:sz w:val="20"/>
                <w:szCs w:val="20"/>
                <w:color w:val="auto"/>
              </w:rPr>
            </w:pPr>
            <w:r>
              <w:rPr>
                <w:rFonts w:ascii="Arial" w:cs="Arial" w:eastAsia="Arial" w:hAnsi="Arial"/>
                <w:sz w:val="18"/>
                <w:szCs w:val="18"/>
                <w:color w:val="auto"/>
              </w:rPr>
              <w:t>Total syndicated credit agreement</w:t>
            </w: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115,000</w:t>
            </w:r>
          </w:p>
        </w:tc>
        <w:tc>
          <w:tcPr>
            <w:tcW w:w="12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185,000</w:t>
            </w:r>
          </w:p>
        </w:tc>
        <w:tc>
          <w:tcPr>
            <w:tcW w:w="12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CTWS credit agreement</w:t>
            </w:r>
          </w:p>
        </w:tc>
        <w:tc>
          <w:tcPr>
            <w:tcW w:w="2300" w:type="dxa"/>
            <w:vAlign w:val="bottom"/>
            <w:gridSpan w:val="3"/>
            <w:shd w:val="clear" w:color="auto" w:fill="CCEEFF"/>
          </w:tcPr>
          <w:p>
            <w:pPr>
              <w:jc w:val="center"/>
              <w:ind w:right="290"/>
              <w:spacing w:after="0"/>
              <w:rPr>
                <w:sz w:val="20"/>
                <w:szCs w:val="20"/>
                <w:color w:val="auto"/>
              </w:rPr>
            </w:pPr>
            <w:r>
              <w:rPr>
                <w:rFonts w:ascii="Arial" w:cs="Arial" w:eastAsia="Arial" w:hAnsi="Arial"/>
                <w:sz w:val="18"/>
                <w:szCs w:val="18"/>
                <w:color w:val="auto"/>
                <w:w w:val="88"/>
              </w:rPr>
              <w:t>December 14, 2023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22,996</w:t>
            </w: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CTWS credit agreement</w:t>
            </w:r>
          </w:p>
        </w:tc>
        <w:tc>
          <w:tcPr>
            <w:tcW w:w="2300" w:type="dxa"/>
            <w:vAlign w:val="bottom"/>
            <w:gridSpan w:val="3"/>
          </w:tcPr>
          <w:p>
            <w:pPr>
              <w:jc w:val="center"/>
              <w:ind w:right="290"/>
              <w:spacing w:after="0"/>
              <w:rPr>
                <w:sz w:val="20"/>
                <w:szCs w:val="20"/>
                <w:color w:val="auto"/>
              </w:rPr>
            </w:pPr>
            <w:r>
              <w:rPr>
                <w:rFonts w:ascii="Arial" w:cs="Arial" w:eastAsia="Arial" w:hAnsi="Arial"/>
                <w:sz w:val="18"/>
                <w:szCs w:val="18"/>
                <w:color w:val="auto"/>
                <w:w w:val="91"/>
              </w:rPr>
              <w:t>May 15, 2025</w:t>
            </w:r>
          </w:p>
        </w:tc>
        <w:tc>
          <w:tcPr>
            <w:tcW w:w="118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48"/>
        </w:trPr>
        <w:tc>
          <w:tcPr>
            <w:tcW w:w="312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62,996</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On August 2, 2022, SJW Group, SJWC, SJWTX, and CTWS entered into a $300,000 credit agreement (the “Credit Agreement”) with JPMorgan Chase Bank, N.A., as Administrative Agent (“JP Morgan”), Wells Fargo Bank, National Association, as Documentation Agent, and a syndicate of banks. Proceeds of borrowings under the Credit Agreement will be used for refinancing existing debt, working capital, and general corporate purposes. The Credit Agreement has a maturity date of August 2, 2027.</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62" w:name="page63"/>
    <w:bookmarkEnd w:id="62"/>
    <w:p>
      <w:pPr>
        <w:ind w:right="40"/>
        <w:spacing w:after="0" w:line="263" w:lineRule="auto"/>
        <w:rPr>
          <w:sz w:val="20"/>
          <w:szCs w:val="20"/>
          <w:color w:val="auto"/>
        </w:rPr>
      </w:pPr>
      <w:r>
        <w:rPr>
          <w:rFonts w:ascii="Arial" w:cs="Arial" w:eastAsia="Arial" w:hAnsi="Arial"/>
          <w:sz w:val="18"/>
          <w:szCs w:val="18"/>
          <w:color w:val="auto"/>
        </w:rPr>
        <w:t>Under the terms of the Credit Agreement, each of SJW Group, SJWC, SJWTX, and CTWS is a borrower with several and not joint liability. Each borrower has an initial borrowing entitlement, or sublimit, which can be periodically adjusted from time to time as set forth in the Credit Agreement. The initial sublimit of each borrower is as presented in the table above.</w:t>
      </w:r>
    </w:p>
    <w:p>
      <w:pPr>
        <w:spacing w:after="0" w:line="76"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Borrowings under the Credit Agreement bear interest at either the Alternative Base Rate (as defined in the Credit Agreement and hereinafter referred to as “ABR”) or the Adjusted Term Secured Overnight Financing Rate (as defined in the Credit Agreement and hereinafter referred to as “SOFR”). ABR borrowings (which are borrowings bearing interest at a rate determined by reference to ABR) will bear interest at a rate per annum equal to ABR plus the applicable rate. SOFR borrowings (which are borrowings bearing interest at a rate determined by reference to SOFR) will bear interest at a rate per annum equal to SOFR plus the applicable rate. The applicable rate and pricing is variable depending on credit ratings of the borrower.</w:t>
      </w:r>
    </w:p>
    <w:p>
      <w:pPr>
        <w:spacing w:after="0" w:line="5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Credit Agreement contains customary representations, warranties and events of default, as well as certain restrictive covenants customary for facilities of this type, including restrictions on indebtedness, liens, asset sales, and fundamental changes. The Credit Agreement also includes a financial covenant that requires each of the borrowers to maintain its funded debt to capitalization ratio at or below 70%.</w:t>
      </w:r>
    </w:p>
    <w:p>
      <w:pPr>
        <w:spacing w:after="0" w:line="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Credit Agreement replaces the existing $140,000 credit agreement, dated April 23, 2021, between SJWC and JP Morgan and the existing $5,000 credit agreement, dated April 23, 2021, between SJWTX and JP Morgan, with SJW Group as guarantor, both of which were terminated upon entering into the Credit Agreement and were set to mature on December 31, 2023. In addition, on August 2, 2022, CTWS and Citizens Bank, National Association, entered into a fourth modification to the amended and restated revolving credit facility, dated December 18, 2019, as amended, pursuant to which the credit commitment was reduced from $75,000 to $10,000.</w:t>
      </w:r>
    </w:p>
    <w:p>
      <w:pPr>
        <w:spacing w:after="0" w:line="66" w:lineRule="exact"/>
        <w:rPr>
          <w:sz w:val="20"/>
          <w:szCs w:val="20"/>
          <w:color w:val="auto"/>
        </w:rPr>
      </w:pPr>
    </w:p>
    <w:p>
      <w:pPr>
        <w:ind w:right="520"/>
        <w:spacing w:after="0" w:line="324" w:lineRule="auto"/>
        <w:rPr>
          <w:sz w:val="20"/>
          <w:szCs w:val="20"/>
          <w:color w:val="auto"/>
        </w:rPr>
      </w:pPr>
      <w:r>
        <w:rPr>
          <w:rFonts w:ascii="Arial" w:cs="Arial" w:eastAsia="Arial" w:hAnsi="Arial"/>
          <w:sz w:val="16"/>
          <w:szCs w:val="16"/>
          <w:color w:val="auto"/>
        </w:rPr>
        <w:t>On October 31, 2022, CTWS and Citizens Bank, National Association, entered into a fifth modification to the amended and restated revolving credit facility to update the interest rate from London Interbank Offered Rate (“LIBOR”) plus the applicable rate to SOFR plus the applicable rate.</w:t>
      </w:r>
    </w:p>
    <w:p>
      <w:pPr>
        <w:spacing w:after="0" w:line="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February 6, 2023, CTWS modified its existing $40,000 credit agreement with CoBank to update the interest rate from LIBOR plus the applicable rate to SOFR plus the applicable rate.</w:t>
      </w:r>
    </w:p>
    <w:p>
      <w:pPr>
        <w:spacing w:after="0" w:line="62"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On February 6, 2023, CTWS entered into a third amendment to the amended and restated promissory note and supplement with CoBank to update the one of the stated terms regarding one of interest rate options from LIBOR plus the applicable rate to SOFR plus the applicable rate. CTWS previously locked the interest rate under this agreement such that this amendment has no impact.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Cost of borrowing on the lines of credit averaged 3.41% and 1.32% as of December 31, 2022 and 2021, respectively.</w:t>
      </w:r>
    </w:p>
    <w:p>
      <w:pPr>
        <w:spacing w:after="0" w:line="117"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All of SJW Group’s and subsidiaries lines of credit contain customary representations, warranties and events of default, as well as certain restrictive covenants customary for facilities of this type, including restrictions on indebtedness, liens, acquisitions and investments, restricted payments, asset sales, and fundamental changes. The lines of credit also include certain customary financial covenants such as a funded debt to capitalization ratio and a minimum interest coverage ratio. As of December 31, 2022, SJW Group and its subsidiaries were in compliance with all covenants on the lines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Note 6.</w:t>
            </w:r>
          </w:p>
        </w:tc>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Long-Term Debt</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24"/>
        </w:trPr>
        <w:tc>
          <w:tcPr>
            <w:tcW w:w="5820" w:type="dxa"/>
            <w:vAlign w:val="bottom"/>
            <w:gridSpan w:val="4"/>
          </w:tcPr>
          <w:p>
            <w:pPr>
              <w:spacing w:after="0"/>
              <w:rPr>
                <w:sz w:val="20"/>
                <w:szCs w:val="20"/>
                <w:color w:val="auto"/>
              </w:rPr>
            </w:pPr>
            <w:r>
              <w:rPr>
                <w:rFonts w:ascii="Arial" w:cs="Arial" w:eastAsia="Arial" w:hAnsi="Arial"/>
                <w:sz w:val="18"/>
                <w:szCs w:val="18"/>
                <w:color w:val="auto"/>
              </w:rPr>
              <w:t>Long-term debt as of December 31 was as follows:</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4540" w:type="dxa"/>
            <w:vAlign w:val="bottom"/>
          </w:tcPr>
          <w:p>
            <w:pPr>
              <w:spacing w:after="0"/>
              <w:rPr>
                <w:sz w:val="23"/>
                <w:szCs w:val="23"/>
                <w:color w:val="auto"/>
              </w:rPr>
            </w:pPr>
          </w:p>
        </w:tc>
        <w:tc>
          <w:tcPr>
            <w:tcW w:w="1540" w:type="dxa"/>
            <w:vAlign w:val="bottom"/>
            <w:gridSpan w:val="2"/>
          </w:tcPr>
          <w:p>
            <w:pPr>
              <w:ind w:left="560"/>
              <w:spacing w:after="0"/>
              <w:rPr>
                <w:sz w:val="20"/>
                <w:szCs w:val="20"/>
                <w:color w:val="auto"/>
              </w:rPr>
            </w:pPr>
            <w:r>
              <w:rPr>
                <w:rFonts w:ascii="Arial" w:cs="Arial" w:eastAsia="Arial" w:hAnsi="Arial"/>
                <w:sz w:val="14"/>
                <w:szCs w:val="14"/>
                <w:b w:val="1"/>
                <w:bCs w:val="1"/>
                <w:color w:val="auto"/>
              </w:rPr>
              <w:t>Rate</w:t>
            </w:r>
          </w:p>
        </w:tc>
        <w:tc>
          <w:tcPr>
            <w:tcW w:w="1300" w:type="dxa"/>
            <w:vAlign w:val="bottom"/>
            <w:gridSpan w:val="2"/>
          </w:tcPr>
          <w:p>
            <w:pPr>
              <w:ind w:left="300"/>
              <w:spacing w:after="0"/>
              <w:rPr>
                <w:sz w:val="20"/>
                <w:szCs w:val="20"/>
                <w:color w:val="auto"/>
              </w:rPr>
            </w:pPr>
            <w:r>
              <w:rPr>
                <w:rFonts w:ascii="Arial" w:cs="Arial" w:eastAsia="Arial" w:hAnsi="Arial"/>
                <w:sz w:val="14"/>
                <w:szCs w:val="14"/>
                <w:b w:val="1"/>
                <w:bCs w:val="1"/>
                <w:color w:val="auto"/>
              </w:rPr>
              <w:t>Maturity</w:t>
            </w:r>
          </w:p>
        </w:tc>
        <w:tc>
          <w:tcPr>
            <w:tcW w:w="260" w:type="dxa"/>
            <w:vAlign w:val="bottom"/>
          </w:tcPr>
          <w:p>
            <w:pPr>
              <w:spacing w:after="0"/>
              <w:rPr>
                <w:sz w:val="23"/>
                <w:szCs w:val="23"/>
                <w:color w:val="auto"/>
              </w:rPr>
            </w:pPr>
          </w:p>
        </w:tc>
        <w:tc>
          <w:tcPr>
            <w:tcW w:w="940" w:type="dxa"/>
            <w:vAlign w:val="bottom"/>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23"/>
                <w:szCs w:val="23"/>
                <w:color w:val="auto"/>
              </w:rPr>
            </w:pPr>
          </w:p>
        </w:tc>
        <w:tc>
          <w:tcPr>
            <w:tcW w:w="1240" w:type="dxa"/>
            <w:vAlign w:val="bottom"/>
          </w:tcPr>
          <w:p>
            <w:pPr>
              <w:jc w:val="right"/>
              <w:ind w:right="391"/>
              <w:spacing w:after="0"/>
              <w:rPr>
                <w:sz w:val="20"/>
                <w:szCs w:val="20"/>
                <w:color w:val="auto"/>
              </w:rPr>
            </w:pPr>
            <w:r>
              <w:rPr>
                <w:rFonts w:ascii="Arial" w:cs="Arial" w:eastAsia="Arial" w:hAnsi="Arial"/>
                <w:sz w:val="14"/>
                <w:szCs w:val="14"/>
                <w:b w:val="1"/>
                <w:bCs w:val="1"/>
                <w:color w:val="auto"/>
              </w:rPr>
              <w:t>2021</w:t>
            </w:r>
          </w:p>
        </w:tc>
      </w:tr>
      <w:tr>
        <w:trPr>
          <w:trHeight w:val="34"/>
        </w:trPr>
        <w:tc>
          <w:tcPr>
            <w:tcW w:w="40" w:type="dxa"/>
            <w:vAlign w:val="bottom"/>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40" w:type="dxa"/>
            <w:vAlign w:val="bottom"/>
          </w:tcPr>
          <w:p>
            <w:pPr>
              <w:spacing w:after="0"/>
              <w:rPr>
                <w:sz w:val="19"/>
                <w:szCs w:val="19"/>
                <w:color w:val="auto"/>
              </w:rPr>
            </w:pPr>
          </w:p>
        </w:tc>
        <w:tc>
          <w:tcPr>
            <w:tcW w:w="57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SJW Group Senior notes (a)</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2.47% - 3.53%</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2029 - 2039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560,000</w:t>
            </w:r>
          </w:p>
        </w:tc>
      </w:tr>
      <w:tr>
        <w:trPr>
          <w:trHeight w:val="230"/>
        </w:trPr>
        <w:tc>
          <w:tcPr>
            <w:tcW w:w="4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SJWC:</w:t>
            </w:r>
          </w:p>
        </w:tc>
        <w:tc>
          <w:tcPr>
            <w:tcW w:w="45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7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Senior notes (a)</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3.00% - 7.37%</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2024 - 2051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w:t>
            </w:r>
          </w:p>
        </w:tc>
      </w:tr>
      <w:tr>
        <w:trPr>
          <w:trHeight w:val="230"/>
        </w:trPr>
        <w:tc>
          <w:tcPr>
            <w:tcW w:w="40" w:type="dxa"/>
            <w:vAlign w:val="bottom"/>
          </w:tcPr>
          <w:p>
            <w:pPr>
              <w:spacing w:after="0"/>
              <w:rPr>
                <w:sz w:val="19"/>
                <w:szCs w:val="19"/>
                <w:color w:val="auto"/>
              </w:rPr>
            </w:pPr>
          </w:p>
        </w:tc>
        <w:tc>
          <w:tcPr>
            <w:tcW w:w="578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California Pollution Control Financing Authority Revenue Bond</w:t>
            </w:r>
          </w:p>
        </w:tc>
        <w:tc>
          <w:tcPr>
            <w:tcW w:w="14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3"/>
              </w:rPr>
              <w:t>4.75%</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2046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70,000</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120,000</w:t>
            </w:r>
          </w:p>
        </w:tc>
      </w:tr>
      <w:tr>
        <w:trPr>
          <w:trHeight w:val="223"/>
        </w:trPr>
        <w:tc>
          <w:tcPr>
            <w:tcW w:w="40" w:type="dxa"/>
            <w:vAlign w:val="bottom"/>
          </w:tcPr>
          <w:p>
            <w:pPr>
              <w:spacing w:after="0"/>
              <w:rPr>
                <w:sz w:val="19"/>
                <w:szCs w:val="19"/>
                <w:color w:val="auto"/>
              </w:rPr>
            </w:pPr>
          </w:p>
        </w:tc>
        <w:tc>
          <w:tcPr>
            <w:tcW w:w="57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Total SJWC</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470,000</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540,000</w:t>
            </w:r>
          </w:p>
        </w:tc>
      </w:tr>
      <w:tr>
        <w:trPr>
          <w:trHeight w:val="223"/>
        </w:trPr>
        <w:tc>
          <w:tcPr>
            <w:tcW w:w="40" w:type="dxa"/>
            <w:vAlign w:val="bottom"/>
          </w:tcPr>
          <w:p>
            <w:pPr>
              <w:spacing w:after="0"/>
              <w:rPr>
                <w:sz w:val="19"/>
                <w:szCs w:val="19"/>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CTWS bank term loans</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4.09%, 4.15%</w:t>
            </w:r>
          </w:p>
        </w:tc>
        <w:tc>
          <w:tcPr>
            <w:tcW w:w="1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2027, 2037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18,444</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20,351</w:t>
            </w:r>
          </w:p>
        </w:tc>
      </w:tr>
      <w:tr>
        <w:trPr>
          <w:trHeight w:val="229"/>
        </w:trPr>
        <w:tc>
          <w:tcPr>
            <w:tcW w:w="40" w:type="dxa"/>
            <w:vAlign w:val="bottom"/>
          </w:tcPr>
          <w:p>
            <w:pPr>
              <w:spacing w:after="0"/>
              <w:rPr>
                <w:sz w:val="19"/>
                <w:szCs w:val="19"/>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Connecticut Water:</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780" w:type="dxa"/>
            <w:vAlign w:val="bottom"/>
            <w:gridSpan w:val="3"/>
          </w:tcPr>
          <w:p>
            <w:pPr>
              <w:ind w:left="120"/>
              <w:spacing w:after="0"/>
              <w:rPr>
                <w:sz w:val="20"/>
                <w:szCs w:val="20"/>
                <w:color w:val="auto"/>
              </w:rPr>
            </w:pPr>
            <w:r>
              <w:rPr>
                <w:rFonts w:ascii="Arial" w:cs="Arial" w:eastAsia="Arial" w:hAnsi="Arial"/>
                <w:sz w:val="18"/>
                <w:szCs w:val="18"/>
                <w:color w:val="auto"/>
              </w:rPr>
              <w:t>Connecticut Innovations Revenue Bonds, variable rate</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2028 - 2029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22,050</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22,050</w:t>
            </w:r>
          </w:p>
        </w:tc>
      </w:tr>
      <w:tr>
        <w:trPr>
          <w:trHeight w:val="230"/>
        </w:trPr>
        <w:tc>
          <w:tcPr>
            <w:tcW w:w="40" w:type="dxa"/>
            <w:vAlign w:val="bottom"/>
          </w:tcPr>
          <w:p>
            <w:pPr>
              <w:spacing w:after="0"/>
              <w:rPr>
                <w:sz w:val="19"/>
                <w:szCs w:val="19"/>
                <w:color w:val="auto"/>
              </w:rPr>
            </w:pPr>
          </w:p>
        </w:tc>
        <w:tc>
          <w:tcPr>
            <w:tcW w:w="57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Senior notes (a)</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3.07% - 4.71%</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2037 - 2052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195,000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w:t>
            </w:r>
          </w:p>
        </w:tc>
      </w:tr>
      <w:tr>
        <w:trPr>
          <w:trHeight w:val="229"/>
        </w:trPr>
        <w:tc>
          <w:tcPr>
            <w:tcW w:w="40" w:type="dxa"/>
            <w:vAlign w:val="bottom"/>
          </w:tcPr>
          <w:p>
            <w:pPr>
              <w:spacing w:after="0"/>
              <w:rPr>
                <w:sz w:val="19"/>
                <w:szCs w:val="19"/>
                <w:color w:val="auto"/>
              </w:rPr>
            </w:pPr>
          </w:p>
        </w:tc>
        <w:tc>
          <w:tcPr>
            <w:tcW w:w="578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Bank term loans</w:t>
            </w:r>
          </w:p>
        </w:tc>
        <w:tc>
          <w:tcPr>
            <w:tcW w:w="14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1"/>
              </w:rPr>
              <w:t>4.04% - 4.75%</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2028 - 2036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96,295</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111,090</w:t>
            </w:r>
          </w:p>
        </w:tc>
      </w:tr>
      <w:tr>
        <w:trPr>
          <w:trHeight w:val="223"/>
        </w:trPr>
        <w:tc>
          <w:tcPr>
            <w:tcW w:w="40" w:type="dxa"/>
            <w:vAlign w:val="bottom"/>
          </w:tcPr>
          <w:p>
            <w:pPr>
              <w:spacing w:after="0"/>
              <w:rPr>
                <w:sz w:val="19"/>
                <w:szCs w:val="19"/>
                <w:color w:val="auto"/>
              </w:rPr>
            </w:pPr>
          </w:p>
        </w:tc>
        <w:tc>
          <w:tcPr>
            <w:tcW w:w="57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Total Connecticut Water</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313,345</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303,140</w:t>
            </w:r>
          </w:p>
        </w:tc>
      </w:tr>
      <w:tr>
        <w:trPr>
          <w:trHeight w:val="209"/>
        </w:trPr>
        <w:tc>
          <w:tcPr>
            <w:tcW w:w="4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SJWTX:</w:t>
            </w:r>
          </w:p>
        </w:tc>
        <w:tc>
          <w:tcPr>
            <w:tcW w:w="4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Senior note (a)</w:t>
            </w:r>
          </w:p>
        </w:tc>
        <w:tc>
          <w:tcPr>
            <w:tcW w:w="454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6.27%</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29"/>
        </w:trPr>
        <w:tc>
          <w:tcPr>
            <w:tcW w:w="40" w:type="dxa"/>
            <w:vAlign w:val="bottom"/>
          </w:tcPr>
          <w:p>
            <w:pPr>
              <w:spacing w:after="0"/>
              <w:rPr>
                <w:sz w:val="19"/>
                <w:szCs w:val="19"/>
                <w:color w:val="auto"/>
              </w:rPr>
            </w:pPr>
          </w:p>
        </w:tc>
        <w:tc>
          <w:tcPr>
            <w:tcW w:w="578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Bank term loans</w:t>
            </w:r>
          </w:p>
        </w:tc>
        <w:tc>
          <w:tcPr>
            <w:tcW w:w="14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1"/>
              </w:rPr>
              <w:t>4.01% - 5.54%</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2041, 2052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45,000</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r>
      <w:tr>
        <w:trPr>
          <w:trHeight w:val="223"/>
        </w:trPr>
        <w:tc>
          <w:tcPr>
            <w:tcW w:w="40" w:type="dxa"/>
            <w:vAlign w:val="bottom"/>
          </w:tcPr>
          <w:p>
            <w:pPr>
              <w:spacing w:after="0"/>
              <w:rPr>
                <w:sz w:val="19"/>
                <w:szCs w:val="19"/>
                <w:color w:val="auto"/>
              </w:rPr>
            </w:pPr>
          </w:p>
        </w:tc>
        <w:tc>
          <w:tcPr>
            <w:tcW w:w="57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Total SJWTX</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w:t>
            </w:r>
          </w:p>
        </w:tc>
      </w:tr>
      <w:tr>
        <w:trPr>
          <w:trHeight w:val="210"/>
        </w:trPr>
        <w:tc>
          <w:tcPr>
            <w:tcW w:w="4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Maine Water:</w:t>
            </w:r>
          </w:p>
        </w:tc>
        <w:tc>
          <w:tcPr>
            <w:tcW w:w="4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57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State revolving fund loans</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0.00% - 2.23%</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2023 - 2048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15,699</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17,264</w:t>
            </w:r>
          </w:p>
        </w:tc>
      </w:tr>
      <w:tr>
        <w:trPr>
          <w:trHeight w:val="230"/>
        </w:trPr>
        <w:tc>
          <w:tcPr>
            <w:tcW w:w="40" w:type="dxa"/>
            <w:vAlign w:val="bottom"/>
          </w:tcPr>
          <w:p>
            <w:pPr>
              <w:spacing w:after="0"/>
              <w:rPr>
                <w:sz w:val="19"/>
                <w:szCs w:val="19"/>
                <w:color w:val="auto"/>
              </w:rPr>
            </w:pPr>
          </w:p>
        </w:tc>
        <w:tc>
          <w:tcPr>
            <w:tcW w:w="5780" w:type="dxa"/>
            <w:vAlign w:val="bottom"/>
            <w:gridSpan w:val="3"/>
          </w:tcPr>
          <w:p>
            <w:pPr>
              <w:ind w:left="120"/>
              <w:spacing w:after="0"/>
              <w:rPr>
                <w:sz w:val="20"/>
                <w:szCs w:val="20"/>
                <w:color w:val="auto"/>
              </w:rPr>
            </w:pPr>
            <w:r>
              <w:rPr>
                <w:rFonts w:ascii="Arial" w:cs="Arial" w:eastAsia="Arial" w:hAnsi="Arial"/>
                <w:sz w:val="18"/>
                <w:szCs w:val="18"/>
                <w:color w:val="auto"/>
              </w:rPr>
              <w:t>Other First Mortgage Bond</w:t>
            </w: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8.95%</w:t>
            </w:r>
          </w:p>
        </w:tc>
        <w:tc>
          <w:tcPr>
            <w:tcW w:w="1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2,700</w:t>
            </w:r>
          </w:p>
        </w:tc>
      </w:tr>
      <w:tr>
        <w:trPr>
          <w:trHeight w:val="229"/>
        </w:trPr>
        <w:tc>
          <w:tcPr>
            <w:tcW w:w="40" w:type="dxa"/>
            <w:vAlign w:val="bottom"/>
          </w:tcPr>
          <w:p>
            <w:pPr>
              <w:spacing w:after="0"/>
              <w:rPr>
                <w:sz w:val="19"/>
                <w:szCs w:val="19"/>
                <w:color w:val="auto"/>
              </w:rPr>
            </w:pPr>
          </w:p>
        </w:tc>
        <w:tc>
          <w:tcPr>
            <w:tcW w:w="57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Bank term loans</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3.89% - 5.51%</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2024 - 2043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49,500</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34,500</w:t>
            </w:r>
          </w:p>
        </w:tc>
      </w:tr>
      <w:tr>
        <w:trPr>
          <w:trHeight w:val="223"/>
        </w:trPr>
        <w:tc>
          <w:tcPr>
            <w:tcW w:w="40" w:type="dxa"/>
            <w:vAlign w:val="bottom"/>
          </w:tcPr>
          <w:p>
            <w:pPr>
              <w:spacing w:after="0"/>
              <w:rPr>
                <w:sz w:val="19"/>
                <w:szCs w:val="19"/>
                <w:color w:val="auto"/>
              </w:rPr>
            </w:pPr>
          </w:p>
        </w:tc>
        <w:tc>
          <w:tcPr>
            <w:tcW w:w="5780" w:type="dxa"/>
            <w:vAlign w:val="bottom"/>
            <w:tcBorders>
              <w:bottom w:val="single" w:sz="8" w:color="CCEEFF"/>
            </w:tcBorders>
            <w:gridSpan w:val="3"/>
          </w:tcPr>
          <w:p>
            <w:pPr>
              <w:ind w:left="540"/>
              <w:spacing w:after="0"/>
              <w:rPr>
                <w:sz w:val="20"/>
                <w:szCs w:val="20"/>
                <w:color w:val="auto"/>
              </w:rPr>
            </w:pPr>
            <w:r>
              <w:rPr>
                <w:rFonts w:ascii="Arial" w:cs="Arial" w:eastAsia="Arial" w:hAnsi="Arial"/>
                <w:sz w:val="18"/>
                <w:szCs w:val="18"/>
                <w:color w:val="auto"/>
              </w:rPr>
              <w:t>Total Maine Water</w:t>
            </w:r>
          </w:p>
        </w:tc>
        <w:tc>
          <w:tcPr>
            <w:tcW w:w="14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66,999</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54,464</w:t>
            </w:r>
          </w:p>
        </w:tc>
      </w:tr>
      <w:tr>
        <w:trPr>
          <w:trHeight w:val="223"/>
        </w:trPr>
        <w:tc>
          <w:tcPr>
            <w:tcW w:w="40" w:type="dxa"/>
            <w:vAlign w:val="bottom"/>
          </w:tcPr>
          <w:p>
            <w:pPr>
              <w:spacing w:after="0"/>
              <w:rPr>
                <w:sz w:val="19"/>
                <w:szCs w:val="19"/>
                <w:color w:val="auto"/>
              </w:rPr>
            </w:pP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45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1,488,788</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1,522,955</w:t>
            </w:r>
          </w:p>
        </w:tc>
      </w:tr>
      <w:tr>
        <w:trPr>
          <w:trHeight w:val="230"/>
        </w:trPr>
        <w:tc>
          <w:tcPr>
            <w:tcW w:w="40" w:type="dxa"/>
            <w:vAlign w:val="bottom"/>
          </w:tcPr>
          <w:p>
            <w:pPr>
              <w:spacing w:after="0"/>
              <w:rPr>
                <w:sz w:val="19"/>
                <w:szCs w:val="19"/>
                <w:color w:val="auto"/>
              </w:rPr>
            </w:pPr>
          </w:p>
        </w:tc>
        <w:tc>
          <w:tcPr>
            <w:tcW w:w="5780" w:type="dxa"/>
            <w:vAlign w:val="bottom"/>
            <w:gridSpan w:val="3"/>
          </w:tcPr>
          <w:p>
            <w:pPr>
              <w:ind w:left="120"/>
              <w:spacing w:after="0"/>
              <w:rPr>
                <w:sz w:val="20"/>
                <w:szCs w:val="20"/>
                <w:color w:val="auto"/>
              </w:rPr>
            </w:pPr>
            <w:r>
              <w:rPr>
                <w:rFonts w:ascii="Arial" w:cs="Arial" w:eastAsia="Arial" w:hAnsi="Arial"/>
                <w:sz w:val="18"/>
                <w:szCs w:val="18"/>
                <w:color w:val="auto"/>
              </w:rPr>
              <w:t>Unamortized debt premium, net (b)</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17,396</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19,937</w:t>
            </w:r>
          </w:p>
        </w:tc>
      </w:tr>
      <w:tr>
        <w:trPr>
          <w:trHeight w:val="230"/>
        </w:trPr>
        <w:tc>
          <w:tcPr>
            <w:tcW w:w="40" w:type="dxa"/>
            <w:vAlign w:val="bottom"/>
          </w:tcPr>
          <w:p>
            <w:pPr>
              <w:spacing w:after="0"/>
              <w:rPr>
                <w:sz w:val="19"/>
                <w:szCs w:val="19"/>
                <w:color w:val="auto"/>
              </w:rPr>
            </w:pPr>
          </w:p>
        </w:tc>
        <w:tc>
          <w:tcPr>
            <w:tcW w:w="57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Unamortized debt issuance costs</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(9,859)</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(10,851)</w:t>
            </w:r>
          </w:p>
        </w:tc>
      </w:tr>
      <w:tr>
        <w:trPr>
          <w:trHeight w:val="230"/>
        </w:trPr>
        <w:tc>
          <w:tcPr>
            <w:tcW w:w="40" w:type="dxa"/>
            <w:vAlign w:val="bottom"/>
          </w:tcPr>
          <w:p>
            <w:pPr>
              <w:spacing w:after="0"/>
              <w:rPr>
                <w:sz w:val="19"/>
                <w:szCs w:val="19"/>
                <w:color w:val="auto"/>
              </w:rPr>
            </w:pPr>
          </w:p>
        </w:tc>
        <w:tc>
          <w:tcPr>
            <w:tcW w:w="124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w w:val="93"/>
              </w:rPr>
              <w:t>Current portion</w:t>
            </w:r>
          </w:p>
        </w:tc>
        <w:tc>
          <w:tcPr>
            <w:tcW w:w="45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(4,360)</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(39,106)</w:t>
            </w:r>
          </w:p>
        </w:tc>
      </w:tr>
      <w:tr>
        <w:trPr>
          <w:trHeight w:val="248"/>
        </w:trPr>
        <w:tc>
          <w:tcPr>
            <w:tcW w:w="40" w:type="dxa"/>
            <w:vAlign w:val="bottom"/>
          </w:tcPr>
          <w:p>
            <w:pPr>
              <w:spacing w:after="0"/>
              <w:rPr>
                <w:sz w:val="21"/>
                <w:szCs w:val="21"/>
                <w:color w:val="auto"/>
              </w:rPr>
            </w:pPr>
          </w:p>
        </w:tc>
        <w:tc>
          <w:tcPr>
            <w:tcW w:w="57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Total long-term debt, less current portion</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1,491,965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1,492,935</w:t>
            </w:r>
          </w:p>
        </w:tc>
      </w:tr>
      <w:tr>
        <w:trPr>
          <w:trHeight w:val="20"/>
        </w:trPr>
        <w:tc>
          <w:tcPr>
            <w:tcW w:w="40" w:type="dxa"/>
            <w:vAlign w:val="bottom"/>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3" w:lineRule="exact"/>
        <w:rPr>
          <w:sz w:val="20"/>
          <w:szCs w:val="20"/>
          <w:color w:val="auto"/>
        </w:rPr>
      </w:pPr>
    </w:p>
    <w:p>
      <w:pPr>
        <w:ind w:left="660" w:right="280" w:hanging="652"/>
        <w:spacing w:after="0" w:line="247" w:lineRule="auto"/>
        <w:tabs>
          <w:tab w:leader="none" w:pos="657" w:val="left"/>
        </w:tabs>
        <w:numPr>
          <w:ilvl w:val="0"/>
          <w:numId w:val="24"/>
        </w:numPr>
        <w:rPr>
          <w:rFonts w:ascii="Arial" w:cs="Arial" w:eastAsia="Arial" w:hAnsi="Arial"/>
          <w:sz w:val="14"/>
          <w:szCs w:val="14"/>
          <w:color w:val="auto"/>
        </w:rPr>
      </w:pPr>
      <w:r>
        <w:rPr>
          <w:rFonts w:ascii="Arial" w:cs="Arial" w:eastAsia="Arial" w:hAnsi="Arial"/>
          <w:sz w:val="14"/>
          <w:szCs w:val="14"/>
          <w:color w:val="auto"/>
        </w:rPr>
        <w:t>Senior notes held by institutional investors are unsecured obligations of SJW Group, SJWC, Connecticut Water, SJWTX and Maine Water and require interest-only payments until maturity. To minimize issuance costs, the companies’ debt has primarily been placed privately.</w:t>
      </w:r>
    </w:p>
    <w:p>
      <w:pPr>
        <w:ind w:left="640" w:hanging="632"/>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Consists of fair value adjustments recognized through purchase accounting for the completed merger with CTWS on October 9, 2019.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table of the consolidated company’s schedule of principal payments: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Year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2023</w:t>
            </w:r>
          </w:p>
        </w:tc>
        <w:tc>
          <w:tcPr>
            <w:tcW w:w="48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4,360</w:t>
            </w: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8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48,983</w:t>
            </w: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2025</w:t>
            </w:r>
          </w:p>
        </w:tc>
        <w:tc>
          <w:tcPr>
            <w:tcW w:w="48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3,648</w:t>
            </w: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8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23,303</w:t>
            </w: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2027</w:t>
            </w:r>
          </w:p>
        </w:tc>
        <w:tc>
          <w:tcPr>
            <w:tcW w:w="48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2,299</w:t>
            </w: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8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1,406,195</w:t>
            </w:r>
          </w:p>
        </w:tc>
      </w:tr>
    </w:tbl>
    <w:p>
      <w:pPr>
        <w:spacing w:after="0" w:line="18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estimated fair value of long-term debt as of December 31, 2022 and 2021 was approximately $1,294,354 and $1,651,825, respectively, and was determined using a discounted cash flow analysis, based on the current rates for similar financial instruments of the same duration and creditworthiness of the Company. The fair value of long-term debt would be categorized as Level 2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auto"/>
        </w:rPr>
        <w:t>SJWC</w:t>
      </w:r>
    </w:p>
    <w:p>
      <w:pPr>
        <w:spacing w:after="0" w:line="117"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On July 14, 2022, SJWC entered into a note purchase agreement with certain affiliates of New York Life Insurance, Metropolitan Life Insurance, Northwestern Mutual Life Insurance, and John Hancock Life Insurance (collectively the “Purchasers”), pursuant to which the company will sell an aggregate principal amount of $70,000 of its 4.85% Senior Notes, Series P (“Series P Notes”) to the Purchasers. The Series P Notes are unsecured obligations of SJWC and are due on February 1, 2053. Interest is payable semi-annually in arrears on February 1st and August 1st of each year. The note purchase agreement contains customary affirmative and negative covenants for as long as the Series P Notes are outstanding. The Series P Notes are also subject to customary events of default. The closing of the note purchase agreement occurred on January 25, 2023.</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Connecticut Water</w:t>
      </w:r>
    </w:p>
    <w:p>
      <w:pPr>
        <w:spacing w:after="0" w:line="11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On June 28, 2022, Connecticut Water entered into a note purchase agreement with certain affiliates of New York Life Insurance Company, pursuant to which Connecticut Water sold an aggregate principal amount of $25,000 of its 4.71% Senior Notes, Series 2022, due 2052. The closing of the note purchase agreement occurred on December 14, 2022. The Series 2022 Notes are unsecured obligations of Connecticut Water. Interest is payable semi-annually in arrears on June 15th and December 15th of each year.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SJWTX</w:t>
      </w:r>
    </w:p>
    <w:p>
      <w:pPr>
        <w:spacing w:after="0" w:line="117"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On October 31, 2022, SJWTX entered into a credit with a commercial bank, pursuant to an existing master loan agreement under which the commercial bank issued SJWTX a promissory note on the same date with an aggregate principal amount of $15,000 at a fixed interest rate of 5.54% due on May 30, 2052. The notes are unsecured obligations of SJWTX. Interest is payable quarterly in arrears on the 20th day of January, April, July and October of each year.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Maine Water</w:t>
      </w:r>
    </w:p>
    <w:p>
      <w:pPr>
        <w:spacing w:after="0" w:line="104"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On April 6, 2022, Maine Water entered into a credit agreement with a commercial bank, pursuant to an existing master loan agreement under which the commercial bank issued Maine Water a promissory note on the same date with an aggregate principal amount of $15,000 at a fixed interest rate of 4.54%, due May 31, 2042. The notes are unsecured obligations of Maine Water. Interest is payable quarterly in arrears on the 20th day of January, April, July and October of each year. Proceeds from the borrowing were received on May 13, 2022.</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Covenants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debt and credit agreements of SJW Group and its subsidiaries contain various financial and other covenants. Non-compliance with these covenants could result in accelerated due dates and termination of the agreements. In addition, the credit agreements contain customary representations and warranties and subject to customary events of default, which may result in outstanding notes becoming immediately due and payable. As of December 31, 2022, SJW Group and its subsidiaries were in compliance with all covenants related to its long-term debt agreements.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Note 7.</w:t>
            </w:r>
          </w:p>
        </w:tc>
        <w:tc>
          <w:tcPr>
            <w:tcW w:w="6340" w:type="dxa"/>
            <w:vAlign w:val="bottom"/>
            <w:gridSpan w:val="2"/>
          </w:tcPr>
          <w:p>
            <w:pPr>
              <w:jc w:val="right"/>
              <w:ind w:right="4890"/>
              <w:spacing w:after="0"/>
              <w:rPr>
                <w:sz w:val="20"/>
                <w:szCs w:val="20"/>
                <w:color w:val="auto"/>
              </w:rPr>
            </w:pPr>
            <w:r>
              <w:rPr>
                <w:rFonts w:ascii="Arial" w:cs="Arial" w:eastAsia="Arial" w:hAnsi="Arial"/>
                <w:sz w:val="18"/>
                <w:szCs w:val="18"/>
                <w:b w:val="1"/>
                <w:bCs w:val="1"/>
                <w:color w:val="auto"/>
              </w:rPr>
              <w:t>Income Taxes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24"/>
        </w:trPr>
        <w:tc>
          <w:tcPr>
            <w:tcW w:w="7340" w:type="dxa"/>
            <w:vAlign w:val="bottom"/>
            <w:gridSpan w:val="3"/>
          </w:tcPr>
          <w:p>
            <w:pPr>
              <w:spacing w:after="0"/>
              <w:rPr>
                <w:sz w:val="20"/>
                <w:szCs w:val="20"/>
                <w:color w:val="auto"/>
              </w:rPr>
            </w:pPr>
            <w:r>
              <w:rPr>
                <w:rFonts w:ascii="Arial" w:cs="Arial" w:eastAsia="Arial" w:hAnsi="Arial"/>
                <w:sz w:val="18"/>
                <w:szCs w:val="18"/>
                <w:color w:val="auto"/>
              </w:rPr>
              <w:t>The components of income tax expense were: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85"/>
        </w:trPr>
        <w:tc>
          <w:tcPr>
            <w:tcW w:w="1000" w:type="dxa"/>
            <w:vAlign w:val="bottom"/>
          </w:tcPr>
          <w:p>
            <w:pPr>
              <w:spacing w:after="0"/>
              <w:rPr>
                <w:sz w:val="24"/>
                <w:szCs w:val="24"/>
                <w:color w:val="auto"/>
              </w:rPr>
            </w:pPr>
          </w:p>
        </w:tc>
        <w:tc>
          <w:tcPr>
            <w:tcW w:w="63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16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5"/>
        </w:trPr>
        <w:tc>
          <w:tcPr>
            <w:tcW w:w="1000" w:type="dxa"/>
            <w:vAlign w:val="bottom"/>
            <w:tcBorders>
              <w:bottom w:val="single" w:sz="8" w:color="CCEEFF"/>
            </w:tcBorders>
          </w:tcPr>
          <w:p>
            <w:pPr>
              <w:spacing w:after="0"/>
              <w:rPr>
                <w:sz w:val="2"/>
                <w:szCs w:val="2"/>
                <w:color w:val="auto"/>
              </w:rPr>
            </w:pPr>
          </w:p>
        </w:tc>
        <w:tc>
          <w:tcPr>
            <w:tcW w:w="54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0"/>
        </w:trPr>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5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1000" w:type="dxa"/>
            <w:vAlign w:val="bottom"/>
          </w:tcPr>
          <w:p>
            <w:pPr>
              <w:ind w:left="140"/>
              <w:spacing w:after="0"/>
              <w:rPr>
                <w:sz w:val="20"/>
                <w:szCs w:val="20"/>
                <w:color w:val="auto"/>
              </w:rPr>
            </w:pPr>
            <w:r>
              <w:rPr>
                <w:rFonts w:ascii="Arial" w:cs="Arial" w:eastAsia="Arial" w:hAnsi="Arial"/>
                <w:sz w:val="18"/>
                <w:szCs w:val="18"/>
                <w:color w:val="auto"/>
              </w:rPr>
              <w:t>Federal</w:t>
            </w:r>
          </w:p>
        </w:tc>
        <w:tc>
          <w:tcPr>
            <w:tcW w:w="634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8,570</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8,587</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11,349</w:t>
            </w:r>
          </w:p>
        </w:tc>
      </w:tr>
      <w:tr>
        <w:trPr>
          <w:trHeight w:val="230"/>
        </w:trPr>
        <w:tc>
          <w:tcPr>
            <w:tcW w:w="1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5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w:t>
            </w:r>
          </w:p>
        </w:tc>
      </w:tr>
      <w:tr>
        <w:trPr>
          <w:trHeight w:val="229"/>
        </w:trPr>
        <w:tc>
          <w:tcPr>
            <w:tcW w:w="1000" w:type="dxa"/>
            <w:vAlign w:val="bottom"/>
          </w:tcPr>
          <w:p>
            <w:pPr>
              <w:ind w:left="20"/>
              <w:spacing w:after="0"/>
              <w:rPr>
                <w:sz w:val="20"/>
                <w:szCs w:val="20"/>
                <w:color w:val="auto"/>
              </w:rPr>
            </w:pPr>
            <w:r>
              <w:rPr>
                <w:rFonts w:ascii="Arial" w:cs="Arial" w:eastAsia="Arial" w:hAnsi="Arial"/>
                <w:sz w:val="18"/>
                <w:szCs w:val="18"/>
                <w:color w:val="auto"/>
              </w:rPr>
              <w:t>Deferred:</w:t>
            </w:r>
          </w:p>
        </w:tc>
        <w:tc>
          <w:tcPr>
            <w:tcW w:w="5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1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5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(3,223)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(3,811)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(8,073)</w:t>
            </w:r>
          </w:p>
        </w:tc>
      </w:tr>
      <w:tr>
        <w:trPr>
          <w:trHeight w:val="230"/>
        </w:trPr>
        <w:tc>
          <w:tcPr>
            <w:tcW w:w="10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54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2,576</w:t>
            </w:r>
          </w:p>
        </w:tc>
      </w:tr>
      <w:tr>
        <w:trPr>
          <w:trHeight w:val="248"/>
        </w:trPr>
        <w:tc>
          <w:tcPr>
            <w:tcW w:w="1000" w:type="dxa"/>
            <w:vAlign w:val="bottom"/>
            <w:tcBorders>
              <w:bottom w:val="single" w:sz="8" w:color="CCEEFF"/>
            </w:tcBorders>
            <w:shd w:val="clear" w:color="auto" w:fill="CCEEFF"/>
          </w:tcPr>
          <w:p>
            <w:pPr>
              <w:spacing w:after="0"/>
              <w:rPr>
                <w:sz w:val="21"/>
                <w:szCs w:val="21"/>
                <w:color w:val="auto"/>
              </w:rPr>
            </w:pPr>
          </w:p>
        </w:tc>
        <w:tc>
          <w:tcPr>
            <w:tcW w:w="5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8,369</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8,380</w:t>
            </w: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65" w:name="page66"/>
    <w:bookmarkEnd w:id="65"/>
    <w:p>
      <w:pPr>
        <w:ind w:right="640"/>
        <w:spacing w:after="0" w:line="277" w:lineRule="auto"/>
        <w:rPr>
          <w:sz w:val="20"/>
          <w:szCs w:val="20"/>
          <w:color w:val="auto"/>
        </w:rPr>
      </w:pPr>
      <w:r>
        <w:rPr>
          <w:rFonts w:ascii="Arial" w:cs="Arial" w:eastAsia="Arial" w:hAnsi="Arial"/>
          <w:sz w:val="18"/>
          <w:szCs w:val="18"/>
          <w:color w:val="auto"/>
        </w:rPr>
        <w:t>The following table reconciles income tax expense to the amount computed by applying the federal statutory rate to income before income taxes of $82,324, $68,847 and $69,895 in 2022, 2021 and 2020, respectively:</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Income tax at federal statutory rate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Increase (decrease) in taxes attributable to:</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 taxes, net of federal income tax benefit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00" w:type="dxa"/>
            <w:vAlign w:val="bottom"/>
          </w:tcPr>
          <w:p>
            <w:pPr>
              <w:ind w:left="120"/>
              <w:spacing w:after="0"/>
              <w:rPr>
                <w:sz w:val="20"/>
                <w:szCs w:val="20"/>
                <w:color w:val="auto"/>
              </w:rPr>
            </w:pPr>
            <w:r>
              <w:rPr>
                <w:rFonts w:ascii="Arial" w:cs="Arial" w:eastAsia="Arial" w:hAnsi="Arial"/>
                <w:sz w:val="18"/>
                <w:szCs w:val="18"/>
                <w:color w:val="auto"/>
              </w:rPr>
              <w:t>Uncertain tax positions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flow-through</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00" w:type="dxa"/>
            <w:vAlign w:val="bottom"/>
          </w:tcPr>
          <w:p>
            <w:pPr>
              <w:ind w:left="120"/>
              <w:spacing w:after="0"/>
              <w:rPr>
                <w:sz w:val="20"/>
                <w:szCs w:val="20"/>
                <w:color w:val="auto"/>
              </w:rPr>
            </w:pPr>
            <w:r>
              <w:rPr>
                <w:rFonts w:ascii="Arial" w:cs="Arial" w:eastAsia="Arial" w:hAnsi="Arial"/>
                <w:sz w:val="18"/>
                <w:szCs w:val="18"/>
                <w:color w:val="auto"/>
              </w:rPr>
              <w:t>Capitalized merger costs</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Reversal of excess deferred taxes recognized in regulatory liability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00" w:type="dxa"/>
            <w:vAlign w:val="bottom"/>
          </w:tcPr>
          <w:p>
            <w:pPr>
              <w:ind w:left="120"/>
              <w:spacing w:after="0"/>
              <w:rPr>
                <w:sz w:val="20"/>
                <w:szCs w:val="20"/>
                <w:color w:val="auto"/>
              </w:rPr>
            </w:pPr>
            <w:r>
              <w:rPr>
                <w:rFonts w:ascii="Arial" w:cs="Arial" w:eastAsia="Arial" w:hAnsi="Arial"/>
                <w:sz w:val="18"/>
                <w:szCs w:val="18"/>
                <w:color w:val="auto"/>
              </w:rPr>
              <w:t>Pension flow-through</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items,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4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8"/>
                <w:szCs w:val="18"/>
                <w:color w:val="auto"/>
                <w:w w:val="97"/>
              </w:rPr>
              <w:t>The components of the net deferred tax liability as of December 31 was as follows:</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44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6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Deferred tax assets: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Advances and contributions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00" w:type="dxa"/>
            <w:vAlign w:val="bottom"/>
          </w:tcPr>
          <w:p>
            <w:pPr>
              <w:ind w:left="100"/>
              <w:spacing w:after="0"/>
              <w:rPr>
                <w:sz w:val="20"/>
                <w:szCs w:val="20"/>
                <w:color w:val="auto"/>
              </w:rPr>
            </w:pPr>
            <w:r>
              <w:rPr>
                <w:rFonts w:ascii="Arial" w:cs="Arial" w:eastAsia="Arial" w:hAnsi="Arial"/>
                <w:sz w:val="18"/>
                <w:szCs w:val="18"/>
                <w:color w:val="auto"/>
              </w:rPr>
              <w:t>Unamortized investment tax credit</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Pensions, postretirement benefits and stock-based compensation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00" w:type="dxa"/>
            <w:vAlign w:val="bottom"/>
          </w:tcPr>
          <w:p>
            <w:pPr>
              <w:ind w:left="100"/>
              <w:spacing w:after="0"/>
              <w:rPr>
                <w:sz w:val="20"/>
                <w:szCs w:val="20"/>
                <w:color w:val="auto"/>
              </w:rPr>
            </w:pPr>
            <w:r>
              <w:rPr>
                <w:rFonts w:ascii="Arial" w:cs="Arial" w:eastAsia="Arial" w:hAnsi="Arial"/>
                <w:sz w:val="18"/>
                <w:szCs w:val="18"/>
                <w:color w:val="auto"/>
              </w:rPr>
              <w:t>Debt premium, net</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5,579</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California franchise tax</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00" w:type="dxa"/>
            <w:vAlign w:val="bottom"/>
          </w:tcPr>
          <w:p>
            <w:pPr>
              <w:ind w:left="10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8,128</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62,777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71,800</w:t>
            </w:r>
          </w:p>
        </w:tc>
        <w:tc>
          <w:tcPr>
            <w:tcW w:w="0" w:type="dxa"/>
            <w:vAlign w:val="bottom"/>
          </w:tcPr>
          <w:p>
            <w:pPr>
              <w:spacing w:after="0"/>
              <w:rPr>
                <w:sz w:val="1"/>
                <w:szCs w:val="1"/>
                <w:color w:val="auto"/>
              </w:rPr>
            </w:pPr>
          </w:p>
        </w:tc>
      </w:tr>
      <w:tr>
        <w:trPr>
          <w:trHeight w:val="210"/>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00" w:type="dxa"/>
            <w:vAlign w:val="bottom"/>
          </w:tcPr>
          <w:p>
            <w:pPr>
              <w:ind w:left="100"/>
              <w:spacing w:after="0"/>
              <w:rPr>
                <w:sz w:val="20"/>
                <w:szCs w:val="20"/>
                <w:color w:val="auto"/>
              </w:rPr>
            </w:pPr>
            <w:r>
              <w:rPr>
                <w:rFonts w:ascii="Arial" w:cs="Arial" w:eastAsia="Arial" w:hAnsi="Arial"/>
                <w:sz w:val="18"/>
                <w:szCs w:val="18"/>
                <w:color w:val="auto"/>
              </w:rPr>
              <w:t>Utility plant</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229,500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216,497</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Pension and postretirement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00" w:type="dxa"/>
            <w:vAlign w:val="bottom"/>
          </w:tcPr>
          <w:p>
            <w:pPr>
              <w:ind w:left="100"/>
              <w:spacing w:after="0"/>
              <w:rPr>
                <w:sz w:val="20"/>
                <w:szCs w:val="20"/>
                <w:color w:val="auto"/>
              </w:rPr>
            </w:pPr>
            <w:r>
              <w:rPr>
                <w:rFonts w:ascii="Arial" w:cs="Arial" w:eastAsia="Arial" w:hAnsi="Arial"/>
                <w:sz w:val="18"/>
                <w:szCs w:val="18"/>
                <w:color w:val="auto"/>
              </w:rPr>
              <w:t>Deferred gain and other-property</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5,901</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Regulatory asset - business combinations debt premium,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00" w:type="dxa"/>
            <w:vAlign w:val="bottom"/>
          </w:tcPr>
          <w:p>
            <w:pPr>
              <w:ind w:left="100"/>
              <w:spacing w:after="0"/>
              <w:rPr>
                <w:sz w:val="20"/>
                <w:szCs w:val="20"/>
                <w:color w:val="auto"/>
              </w:rPr>
            </w:pPr>
            <w:r>
              <w:rPr>
                <w:rFonts w:ascii="Arial" w:cs="Arial" w:eastAsia="Arial" w:hAnsi="Arial"/>
                <w:sz w:val="18"/>
                <w:szCs w:val="18"/>
                <w:color w:val="auto"/>
              </w:rPr>
              <w:t>Intangibles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3,193</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revenue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00" w:type="dxa"/>
            <w:vAlign w:val="bottom"/>
          </w:tcPr>
          <w:p>
            <w:pPr>
              <w:ind w:left="100"/>
              <w:spacing w:after="0"/>
              <w:rPr>
                <w:sz w:val="20"/>
                <w:szCs w:val="20"/>
                <w:color w:val="auto"/>
              </w:rPr>
            </w:pPr>
            <w:r>
              <w:rPr>
                <w:rFonts w:ascii="Arial" w:cs="Arial" w:eastAsia="Arial" w:hAnsi="Arial"/>
                <w:sz w:val="18"/>
                <w:szCs w:val="18"/>
                <w:color w:val="auto"/>
              </w:rPr>
              <w:t>Regulatory asset - income tax temporary differences, net</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6,867</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Section 481(a) adjustments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64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5,551</w:t>
            </w:r>
          </w:p>
        </w:tc>
        <w:tc>
          <w:tcPr>
            <w:tcW w:w="0" w:type="dxa"/>
            <w:vAlign w:val="bottom"/>
          </w:tcPr>
          <w:p>
            <w:pPr>
              <w:spacing w:after="0"/>
              <w:rPr>
                <w:sz w:val="1"/>
                <w:szCs w:val="1"/>
                <w:color w:val="auto"/>
              </w:rPr>
            </w:pPr>
          </w:p>
        </w:tc>
      </w:tr>
      <w:tr>
        <w:trPr>
          <w:trHeight w:val="223"/>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272,251</w:t>
            </w:r>
          </w:p>
        </w:tc>
        <w:tc>
          <w:tcPr>
            <w:tcW w:w="0" w:type="dxa"/>
            <w:vAlign w:val="bottom"/>
          </w:tcPr>
          <w:p>
            <w:pPr>
              <w:spacing w:after="0"/>
              <w:rPr>
                <w:sz w:val="1"/>
                <w:szCs w:val="1"/>
                <w:color w:val="auto"/>
              </w:rPr>
            </w:pPr>
          </w:p>
        </w:tc>
      </w:tr>
      <w:tr>
        <w:trPr>
          <w:trHeight w:val="223"/>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Net deferred tax liabilities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218,155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200,451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Management evaluates the realizability of deferred tax assets based on all available evidence, both positive and negative. The realization of deferred tax assets is dependent on our ability to generate sufficient future taxable income during periods in which the deferred tax assets are expected to reverse. Based on all available evidence, management believes it is more likely than not that SJW Group will realize the benefits of its deferred tax assets. Accordingly, the valuation allowance relating to deferred tax assets acquired from CTWS was released in 2020 through purchase accounting adjustments made within the measurement period. Net operating loss carryforwards expire beginning in 2032 and ending in 2039. As of December 31, 2022, the estimated amount of net operating loss carryforwards available to offset future taxable income for Connecticut purposes is $22,966. The estimated state tax credit carryforwards are $694 which will expire beginning in 2023 and ending in 2040.</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6" w:name="page67"/>
    <w:bookmarkEnd w:id="66"/>
    <w:p>
      <w:pPr>
        <w:ind w:right="440"/>
        <w:spacing w:after="0" w:line="277" w:lineRule="auto"/>
        <w:rPr>
          <w:sz w:val="20"/>
          <w:szCs w:val="20"/>
          <w:color w:val="auto"/>
        </w:rPr>
      </w:pPr>
      <w:r>
        <w:rPr>
          <w:rFonts w:ascii="Arial" w:cs="Arial" w:eastAsia="Arial" w:hAnsi="Arial"/>
          <w:sz w:val="18"/>
          <w:szCs w:val="18"/>
          <w:color w:val="auto"/>
        </w:rPr>
        <w:t>The change in the net deferred tax liabilities of $17,704 in 2022 included other non-cash items primarily consisting of regulatory assets and liabilities relating to income tax temporary differences.</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total amount of unrecognized tax benefits, before the impact of deductions for state taxes, excluding interest and penalties was $9,004 and $7,961 as of December 31, 2022 and 2021, respectively. The amount of tax benefits, net of any federal benefits for state taxes that would impact the effective rate, if recognized, is approximately $8,262 and $7,009 as of December 31, 2022 and 2021,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16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6"/>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w:t>
            </w: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Increase related to tax positions taken during the current year</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1,376</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1,104</w:t>
            </w: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related to tax positions taken during a prior year</w:t>
            </w:r>
          </w:p>
        </w:tc>
        <w:tc>
          <w:tcPr>
            <w:tcW w:w="98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1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Reductions related to statute expiration</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Reductions related to tax positions taken in a prior year</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9,004</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7,961</w:t>
            </w:r>
          </w:p>
        </w:tc>
        <w:tc>
          <w:tcPr>
            <w:tcW w:w="12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6,468</w:t>
            </w:r>
          </w:p>
        </w:tc>
      </w:tr>
      <w:tr>
        <w:trPr>
          <w:trHeight w:val="21"/>
        </w:trPr>
        <w:tc>
          <w:tcPr>
            <w:tcW w:w="6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gross unrecognized tax benefits in 2022 was primarily due to the uncertain tax position relating to repairs tax deductions.</w:t>
      </w:r>
    </w:p>
    <w:p>
      <w:pPr>
        <w:spacing w:after="0" w:line="117"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SJW Group’s policy is to classify interest and penalties associated with unrecognized tax benefits, if any, in tax expense. Accrued interest expense, net of the benefit of tax deductions which would be available on the payment of such interest, is approximately $606 as of December 31, 2022. SJW Group has not accrued any penalties for unrecognized tax benefits. The amount of interest recognized in 2022 was an increase to expense of $230.</w:t>
      </w:r>
    </w:p>
    <w:p>
      <w:pPr>
        <w:spacing w:after="0" w:line="4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SJW Group currently does not expect uncertain tax positions to change significantly over the next 12 months, except in the case of lapse of the statute of limitations.</w:t>
      </w:r>
    </w:p>
    <w:p>
      <w:pPr>
        <w:spacing w:after="0" w:line="62"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SJW Group files U.S. federal income tax returns and income tax returns in various states and is subject to ordinary statute of limitation of three years for federal and three or four years for different state returns. However, due to tax attribute carryforwards, SJW Group is subject to examination for tax years 2009 forward for federal and 2012 forward for state returns of CTWS and its subsidiaries. The statute of limitation for SJW Group returns is closed for these extended years and remains open for 2019 and forward for federal and 2018 or 2019 and forward for different states.</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Utility Plant Intangible Assets</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Intangible assets consist of a concession fee paid to the City of Cupertino of $6,800 for operating the City of Cupertino municipal water system, $13,400 related to the purchase premium for customer relationships and other intangibles of $15,759 as of December 31, 2022. Other intangibles primarily consist of $4,304 which was paid for service area and water rights by SJWTX, $5,984 for infrastructure related to the Cupertino service concession arrangement, $1,400 for customer relationships and $1,040 incurred in conjunction with Valley Water water contracts related to the operation of SJWC. All intangible assets are recorded at cost and are primarily being amortized using the straight-line method over the legal or estimated economic life of the assets ranging from 5 to 70 years.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for the intangible assets was $3,869, $1,553 and $1,401 for the years ended December 31, 2022, 2021 and 2020,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2023 through 2027 and thereafter is anticipated to be $1,518 per year.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4" w:right="37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The costs of intangible assets as of December 31, 2022 and 2021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8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
        </w:trPr>
        <w:tc>
          <w:tcPr>
            <w:tcW w:w="1280" w:type="dxa"/>
            <w:vAlign w:val="bottom"/>
            <w:tcBorders>
              <w:bottom w:val="single" w:sz="8" w:color="CCEEFF"/>
            </w:tcBorders>
          </w:tcPr>
          <w:p>
            <w:pPr>
              <w:spacing w:after="0"/>
              <w:rPr>
                <w:sz w:val="2"/>
                <w:szCs w:val="2"/>
                <w:color w:val="auto"/>
              </w:rPr>
            </w:pPr>
          </w:p>
        </w:tc>
        <w:tc>
          <w:tcPr>
            <w:tcW w:w="67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Concession fees</w:t>
            </w:r>
          </w:p>
        </w:tc>
        <w:tc>
          <w:tcPr>
            <w:tcW w:w="67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0" w:type="dxa"/>
            <w:vAlign w:val="bottom"/>
          </w:tcPr>
          <w:p>
            <w:pPr>
              <w:spacing w:after="0"/>
              <w:rPr>
                <w:sz w:val="1"/>
                <w:szCs w:val="1"/>
                <w:color w:val="auto"/>
              </w:rPr>
            </w:pPr>
          </w:p>
        </w:tc>
      </w:tr>
      <w:tr>
        <w:trPr>
          <w:trHeight w:val="230"/>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Purchase premium customer relationships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13,400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13,400</w:t>
            </w:r>
          </w:p>
        </w:tc>
        <w:tc>
          <w:tcPr>
            <w:tcW w:w="0" w:type="dxa"/>
            <w:vAlign w:val="bottom"/>
          </w:tcPr>
          <w:p>
            <w:pPr>
              <w:spacing w:after="0"/>
              <w:rPr>
                <w:sz w:val="1"/>
                <w:szCs w:val="1"/>
                <w:color w:val="auto"/>
              </w:rPr>
            </w:pPr>
          </w:p>
        </w:tc>
      </w:tr>
      <w:tr>
        <w:trPr>
          <w:trHeight w:val="22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Other intangibles</w:t>
            </w:r>
          </w:p>
        </w:tc>
        <w:tc>
          <w:tcPr>
            <w:tcW w:w="67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15,759</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16,076</w:t>
            </w:r>
          </w:p>
        </w:tc>
        <w:tc>
          <w:tcPr>
            <w:tcW w:w="0" w:type="dxa"/>
            <w:vAlign w:val="bottom"/>
          </w:tcPr>
          <w:p>
            <w:pPr>
              <w:spacing w:after="0"/>
              <w:rPr>
                <w:sz w:val="1"/>
                <w:szCs w:val="1"/>
                <w:color w:val="auto"/>
              </w:rPr>
            </w:pPr>
          </w:p>
        </w:tc>
      </w:tr>
      <w:tr>
        <w:trPr>
          <w:trHeight w:val="223"/>
        </w:trPr>
        <w:tc>
          <w:tcPr>
            <w:tcW w:w="1280" w:type="dxa"/>
            <w:vAlign w:val="bottom"/>
          </w:tcPr>
          <w:p>
            <w:pPr>
              <w:ind w:left="20"/>
              <w:spacing w:after="0"/>
              <w:rPr>
                <w:sz w:val="20"/>
                <w:szCs w:val="20"/>
                <w:color w:val="auto"/>
              </w:rPr>
            </w:pPr>
            <w:r>
              <w:rPr>
                <w:rFonts w:ascii="Arial" w:cs="Arial" w:eastAsia="Arial" w:hAnsi="Arial"/>
                <w:sz w:val="18"/>
                <w:szCs w:val="18"/>
                <w:color w:val="auto"/>
                <w:w w:val="91"/>
              </w:rPr>
              <w:t>Intangible assets</w:t>
            </w:r>
          </w:p>
        </w:tc>
        <w:tc>
          <w:tcPr>
            <w:tcW w:w="6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35,959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36,276</w:t>
            </w:r>
          </w:p>
        </w:tc>
        <w:tc>
          <w:tcPr>
            <w:tcW w:w="0" w:type="dxa"/>
            <w:vAlign w:val="bottom"/>
          </w:tcPr>
          <w:p>
            <w:pPr>
              <w:spacing w:after="0"/>
              <w:rPr>
                <w:sz w:val="1"/>
                <w:szCs w:val="1"/>
                <w:color w:val="auto"/>
              </w:rPr>
            </w:pPr>
          </w:p>
        </w:tc>
      </w:tr>
      <w:tr>
        <w:trPr>
          <w:trHeight w:val="229"/>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amortization</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gridSpan w:val="2"/>
          </w:tcPr>
          <w:p>
            <w:pPr>
              <w:ind w:left="140"/>
              <w:spacing w:after="0"/>
              <w:rPr>
                <w:sz w:val="20"/>
                <w:szCs w:val="20"/>
                <w:color w:val="auto"/>
              </w:rPr>
            </w:pPr>
            <w:r>
              <w:rPr>
                <w:rFonts w:ascii="Arial" w:cs="Arial" w:eastAsia="Arial" w:hAnsi="Arial"/>
                <w:sz w:val="18"/>
                <w:szCs w:val="18"/>
                <w:color w:val="auto"/>
              </w:rPr>
              <w:t>Concession fees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6,693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6,596</w:t>
            </w:r>
          </w:p>
        </w:tc>
        <w:tc>
          <w:tcPr>
            <w:tcW w:w="0" w:type="dxa"/>
            <w:vAlign w:val="bottom"/>
          </w:tcPr>
          <w:p>
            <w:pPr>
              <w:spacing w:after="0"/>
              <w:rPr>
                <w:sz w:val="1"/>
                <w:szCs w:val="1"/>
                <w:color w:val="auto"/>
              </w:rPr>
            </w:pPr>
          </w:p>
        </w:tc>
      </w:tr>
      <w:tr>
        <w:trPr>
          <w:trHeight w:val="230"/>
        </w:trPr>
        <w:tc>
          <w:tcPr>
            <w:tcW w:w="8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Purchase premium customer relationships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 intangibles</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10,018</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7,042</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intangible assets</w:t>
            </w: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16,367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20,650</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9.</w:t>
            </w:r>
          </w:p>
        </w:tc>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Commitments</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1280" w:type="dxa"/>
            <w:vAlign w:val="bottom"/>
            <w:vMerge w:val="continue"/>
          </w:tcPr>
          <w:p>
            <w:pPr>
              <w:spacing w:after="0"/>
              <w:rPr>
                <w:sz w:val="24"/>
                <w:szCs w:val="24"/>
                <w:color w:val="auto"/>
              </w:rPr>
            </w:pPr>
          </w:p>
        </w:tc>
        <w:tc>
          <w:tcPr>
            <w:tcW w:w="67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0"/>
        <w:spacing w:after="0" w:line="287" w:lineRule="auto"/>
        <w:rPr>
          <w:sz w:val="20"/>
          <w:szCs w:val="20"/>
          <w:color w:val="auto"/>
        </w:rPr>
      </w:pPr>
      <w:r>
        <w:rPr>
          <w:rFonts w:ascii="Arial" w:cs="Arial" w:eastAsia="Arial" w:hAnsi="Arial"/>
          <w:sz w:val="16"/>
          <w:szCs w:val="16"/>
          <w:color w:val="auto"/>
        </w:rPr>
        <w:t>SJWC purchases water from Valley Water under terms of a master contract expiring in 2051. Delivery schedules for purchased water are based on a contract year beginning July 1, and are negotiated every three years under terms of the master contract with Valley Water. For the years ended December 31, 2022, 2021 and 2020, SJWC purchased from Valley Water 18,183 million gallons ($96,793), 19,365 million gallons ($91,938) and</w:t>
      </w:r>
    </w:p>
    <w:p>
      <w:pPr>
        <w:spacing w:after="0" w:line="2"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21,269 million gallons ($96,212), respectively, of contract water. On June 16, 2022, the Valley Water Board of Directors approved treated water deliveries reflecting the contractual delivery schedule reduced by 23% through June 30, 2023. Effective February 1, 2022, the treated water contract delivery schedule increased by 10%. Based on current prices and estimated deliveries, SJWC is committed to purchase from Valley Water a minimum of 90% of the reduced delivery schedule, or 18,864 million gallons ($106,463) of water at the current contract water rate of $5.6 per million gallons for the year ending December 31, 2023. Additionally, SJWC purchases non-contract water from Valley Water on an “as needed” basis if the water supply is available.</w:t>
      </w:r>
    </w:p>
    <w:p>
      <w:pPr>
        <w:spacing w:after="0" w:line="5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1997, SJWC entered into a 25-year contract agreement, as amended, with the City of Cupertino to operate the City’s municipal water system. SJWC paid a one-time, upfront concession fee of $6,800 to the City of Cupertino and an incremental up-front payment of $5,000 to be used by the City of Cupertino for capital improvements. On February 25, 2022, SJWC received a letter from the City of Cupertino exercising their option to extend the term of the lease an additional two years through October, 1, 2024. SJWC paid an additional $1,600 concession fee for the extension period. The total fees paid for the agreement is being amortized over the contract term including the extension period.</w:t>
      </w:r>
    </w:p>
    <w:p>
      <w:pPr>
        <w:spacing w:after="0" w:line="6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Connecticut Water has an agreement with the South Central Connecticut Regional Water Authority (“RWA”) to purchase water from RWA. The agreement was signed in April 2006 and became effective upon the receipt of all regulatory approvals in 2008 and will remain in effect for a minimum of fifty years upon becoming effective. Connecticut Water will pay RWA $75 per year as part of a capacity agreement, for a total of 14 years, starting on the effective date of the agreement, which ended in 2022. In addition, Connecticut Water is able, but under no obligation, to purchase up to one million gallons of water per day at the then current wholesale rates per the agreement, $2.6 per million gallons as of December 31, 2021. Connecticut Water has an agreement with The Metropolitan District (“MDC”) to purchase water from MDC to serve the Unionville system. The agreement became effective on October 6, 2000 and has a term of fifty years beginning May 19, 2003, the date the water supply facilities related to the agreement were placed in service. Connecticut Water agrees to purchase 283 million gallons of water annually from MDC. The rate charged by the MDC at December 31, 2022 was $4.09 per hundred cubic feet.</w:t>
      </w:r>
    </w:p>
    <w:p>
      <w:pPr>
        <w:spacing w:after="0" w:line="88"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SJWTX has long-term contracts with the GBRA. The terms of the agreements expire in 2037, 2040, 2044 and 2050, respectively. The agreements, which are take-or-pay contracts, provide SJWTX with 7,650 acre-feet per year of water supply from Canyon Lake. The water rate may be adjusted by GBRA at any time, provided they give SJWTX a 60-day written notice on the proposed adjustment. SJWTX also has raw water supply agreements with the Lower Colorado River Authority and West Travis Public Utility Agency expiring in 2059 and 2046, respectively, to provide for 350 acre-feet of water per year from Lake Austin and the Colorado River, respectively, at prices that may be adjusted periodically by the agencies.</w:t>
      </w:r>
    </w:p>
    <w:p>
      <w:pPr>
        <w:spacing w:after="0" w:line="6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Maine Water has an agreement with the Kennebec Water District for potable water service. The agreement has been in place for 20 years and was extended on November 7, 2020 for a new term of up to 20 years. Maine Water guarantees a minimum consumption of 50 million gallons of water annually. Water sales to Maine Water are billed at a wholesale discount of $0.20 per hundred cubic feet of water below Kennebec Water District's tariffed rates. The current tariff rate wa</w:t>
      </w:r>
      <w:r>
        <w:rPr>
          <w:rFonts w:ascii="Arial" w:cs="Arial" w:eastAsia="Arial" w:hAnsi="Arial"/>
          <w:sz w:val="19"/>
          <w:szCs w:val="19"/>
          <w:color w:val="auto"/>
        </w:rPr>
        <w:t>s</w:t>
      </w:r>
      <w:r>
        <w:rPr>
          <w:rFonts w:ascii="Arial" w:cs="Arial" w:eastAsia="Arial" w:hAnsi="Arial"/>
          <w:sz w:val="18"/>
          <w:szCs w:val="18"/>
          <w:color w:val="auto"/>
        </w:rPr>
        <w:t xml:space="preserve"> $1.51 per hundred cubic feet as of December 31, 2022.</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8" w:name="page69"/>
    <w:bookmarkEnd w:id="68"/>
    <w:p>
      <w:pPr>
        <w:ind w:right="60"/>
        <w:spacing w:after="0" w:line="275" w:lineRule="auto"/>
        <w:rPr>
          <w:sz w:val="20"/>
          <w:szCs w:val="20"/>
          <w:color w:val="auto"/>
        </w:rPr>
      </w:pPr>
      <w:r>
        <w:rPr>
          <w:rFonts w:ascii="Arial" w:cs="Arial" w:eastAsia="Arial" w:hAnsi="Arial"/>
          <w:sz w:val="17"/>
          <w:szCs w:val="17"/>
          <w:color w:val="auto"/>
        </w:rPr>
        <w:t>As of December 31, 2022, SJWC had 362 employees, of whom 215 were members of unions. In December of 2022, SJWC proposed a tentative three-year bargaining agreements with the International Union of Operating Engineers (“OE”), representing certain employees in the engineering department, and the Utility Workers of America (“OWUA”), representing the majority of all nonadministrative employees at SJWC covering January 1, 2023 through December 31, 2025. The agreements include a 6% wage increase in 2023, 3.5% in 2024 and 5.5% in 2025 for members of both unions. Acceptance of the OE and the OWUA bargaining agreements are anticipated in the first quarter of 2023.</w:t>
      </w:r>
    </w:p>
    <w:p>
      <w:pPr>
        <w:spacing w:after="0" w:line="25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color w:val="auto"/>
        </w:rPr>
        <w:t>Contingencies</w:t>
      </w:r>
    </w:p>
    <w:p>
      <w:pPr>
        <w:spacing w:after="0" w:line="12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SJW Group and its subsidiaries are subject to ordinary routine litigation incidental to its business. There are no pending legal proceedings to which SJW Group or any of its subsidiaries is a party, or to which any of its properties is the subject, that are expected to have a material effect on SJW Group’s business, financial position, results of operations or cash flows.</w:t>
      </w:r>
    </w:p>
    <w:p>
      <w:pPr>
        <w:spacing w:after="0" w:line="20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Benefit Plans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Pension Plans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SJW Group maintains noncontributory defined benefit pension plans for its eligible employees. SJWC and CTWS employees hired before March 31, 2008 and January 1, 2009, respectively, are entitled to benefits under the pension plans based on the employee’s years of service and compensation. For SJWC employees hired on or after March 31, 2008, benefits are determined using a cash balance formula based upon compensation credits and interest credits for each employee. Interest is credited based on the annual yield on 30-year Treasury bonds as of October for the preceding plan year with a minimum annual rate of 3.25% and a maximum annual rate of 6.00%. For the year ended December 31, 2022, interest credits assumption was 3.25%. Certain employees hired before March 1, 2012, and covered by a plan merged into the CTWS plan in 2013 are also entitled to benefits based on the employee’s years of service and compensation. CTWS employees hired on or after January 1, 2009 are entitled to an additional 1.5% of eligible compensation to their company sponsored savings plan. SJW Group does not have multi-employer plans.</w:t>
      </w:r>
    </w:p>
    <w:p>
      <w:pPr>
        <w:spacing w:after="0" w:line="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pension plans are administered by their respective committees where the investment strategy of the investments of the various pension and post-retirement benefit plans are reviewed and approved to achieve the goals of income generation and long-term capital preservation. SJW Group engages third-party investment managers to assist with, among other things, asset allocation strategy, investment policy advice, performance monitoring, and investment manager due diligence. Individual investment decisions have been delegated by the pension plan committees to the investment managers who are also monitored by an investment consultant. Investment managers are not permitted to invest outside of the asset class or strategy under the pension plans’ investment guidelines. The committees ensure that the plans establish a target mix that is expected to achieve its investment objectives, by assuring a broad diversification of investment assets among investment types, while minimizing volatility of the target asset mix, unless market conditions make such a change appropriate to reduce risk. The pension plans require a minimum portion of plan assets to be allocated to fixed income securities and provide guidelines and restrictions on equity investments for the assets.</w:t>
      </w:r>
    </w:p>
    <w:p>
      <w:pPr>
        <w:spacing w:after="0" w:line="7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Plan assets are marked to market at each measurement date, resulting in unrealized actuarial gains or losses. Unrealized actuarial gains and losses on pension assets are amortized over the expected future working lifetime of participants for actuarial expense calculation purposes. Market gains in 2021 decreased pension expense by approximately $2,979 in 2022 and market gains in 2020 decreased pension expense by approximately $2,442 in 2021. For the year ended December 31, 2022, the net actuarial gain of the benefit obligation was related primarily a gain from changes of discount rate of $116,372, a $12,422 loss from pension data changes, and a gain from mortality changes of $4.</w:t>
      </w:r>
    </w:p>
    <w:p>
      <w:pPr>
        <w:spacing w:after="0" w:line="6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Generally, it is expected of the investment managers that the performance of the assets held in the pension plans, computed on a total annual rate of return basis, should meet or exceed specific performance standards over a three-to-five-year period and/or full market cycle. These standards include specific absolute and risk-adjusted performance standards over a three-to-five-year period and/or full market cycle. The expected long-term rate of return on the pension plan assets is between 6.50% and 6.75% for the year ended December 31, 2022.</w:t>
      </w:r>
    </w:p>
    <w:p>
      <w:pPr>
        <w:spacing w:after="0" w:line="63"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SJW Group calculates the market-related value of defined benefit pension plan assets, which is defined under FASB ASC Topic 715—“Compensation— Retirement Benefits” as a balance used to calculate the expected return on plan assets, using fair value. The fair value is based on quoted prices in active markets for identical assets and significant observable inputs.</w:t>
      </w:r>
    </w:p>
    <w:p>
      <w:pPr>
        <w:spacing w:after="0" w:line="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Senior management hired before March 31, 2008 for SJWC and January 1, 2009 for CTWS are eligible to receive additional retirement benefits under the supplemental executive retirement plans and retirement contracts (collectively, “SERP”). SJWC’s senior management hired on or after March 31, 2008 are eligible to receive additional retirement benefits under SJWC’s Cash Balance Executive Supplemental Retirement Plan ("Cash Balance Executive Supplemental Retirement Plan"). Both of the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69" w:name="page70"/>
    <w:bookmarkEnd w:id="69"/>
    <w:p>
      <w:pPr>
        <w:ind w:right="20"/>
        <w:spacing w:after="0" w:line="269" w:lineRule="auto"/>
        <w:rPr>
          <w:sz w:val="20"/>
          <w:szCs w:val="20"/>
          <w:color w:val="auto"/>
        </w:rPr>
      </w:pPr>
      <w:r>
        <w:rPr>
          <w:rFonts w:ascii="Arial" w:cs="Arial" w:eastAsia="Arial" w:hAnsi="Arial"/>
          <w:sz w:val="17"/>
          <w:szCs w:val="17"/>
          <w:color w:val="auto"/>
        </w:rPr>
        <w:t>plans are non-qualified plans in which only senior management and other designated members of management may participate. The annual cost of the plans has been included in the determination of the net periodic benefit cost shown below. The SERP and Cash Balance Executive Supplemental Retirement Plan had a projected benefit obligation of $39,455 and $50,742 as of December 31, 2022 and 2021, respectively, and net periodic pension cost of $4,400, $4,456 and $4,480 for 2022, 2021 and 2020, respectively. For the year ended December 31, 2022, 2021 and 2020, the amounts not recognized as a component of net periodic benefit cost was $1,640, $901, and $(1,190), respectively, recorded as other comprehensive income on the consolidated financial statements. SJWC’s non-qualified plans are unfunded while CTWS’s SERP is funded through investments consisting primarily of life insurance contracts and assets in a Rabbi Trust. As of December 31, 2022 and 2021, total investments made to fund CTWS’s SERP was $6,395 and $8,147, respectively, which is included in “Investments” in SJW Group’s Consolidated Balance Sheets. The life insurance contracts are valued at cash surrender value of the policies as reported by the insurer. As of December 31, 2022 and 2021, the value of the life insurance contracts was $3,420 and $4,191, respectively.</w:t>
      </w:r>
    </w:p>
    <w:p>
      <w:pPr>
        <w:spacing w:after="0" w:line="7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tables summarize the fair values of the Rabbi Trust investment assets to fund CTWS’s SERP by major categories as of December 31, 2022 and 2021 :</w:t>
      </w:r>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Fair Value Measurements at December 31, 2022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3"/>
              </w:rPr>
              <w:t>Quoted</w:t>
            </w: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89"/>
              </w:rPr>
              <w:t>Prices in</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Active</w:t>
            </w: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Significant</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8"/>
              </w:rPr>
              <w:t>Markets for</w:t>
            </w:r>
          </w:p>
        </w:tc>
        <w:tc>
          <w:tcPr>
            <w:tcW w:w="1420" w:type="dxa"/>
            <w:vAlign w:val="bottom"/>
            <w:gridSpan w:val="2"/>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4"/>
              </w:rPr>
              <w:t>Identical</w:t>
            </w:r>
          </w:p>
        </w:tc>
        <w:tc>
          <w:tcPr>
            <w:tcW w:w="142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1"/>
              </w:rPr>
              <w:t>Observable</w:t>
            </w:r>
          </w:p>
        </w:tc>
        <w:tc>
          <w:tcPr>
            <w:tcW w:w="13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5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Asset Category</w:t>
            </w:r>
          </w:p>
        </w:tc>
        <w:tc>
          <w:tcPr>
            <w:tcW w:w="240" w:type="dxa"/>
            <w:vAlign w:val="bottom"/>
          </w:tcPr>
          <w:p>
            <w:pPr>
              <w:spacing w:after="0"/>
              <w:rPr>
                <w:sz w:val="12"/>
                <w:szCs w:val="12"/>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Assets</w:t>
            </w: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Inputs</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58"/>
        </w:trPr>
        <w:tc>
          <w:tcPr>
            <w:tcW w:w="584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4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4"/>
              </w:rPr>
              <w:t>(Level 1)</w:t>
            </w:r>
          </w:p>
        </w:tc>
        <w:tc>
          <w:tcPr>
            <w:tcW w:w="14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4"/>
              </w:rPr>
              <w:t>(Level 2)</w:t>
            </w:r>
          </w:p>
        </w:tc>
        <w:tc>
          <w:tcPr>
            <w:tcW w:w="13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Mutual funds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2,032</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2,032</w:t>
            </w:r>
          </w:p>
        </w:tc>
        <w:tc>
          <w:tcPr>
            <w:tcW w:w="12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Fixed income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2,809</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2,809</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1"/>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Fair Value Measurements at December 31, 2021</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3"/>
              </w:rPr>
              <w:t>Quoted</w:t>
            </w: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9"/>
              </w:rPr>
              <w:t>Prices in</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5"/>
              </w:rPr>
              <w:t>Active</w:t>
            </w: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Significant</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420" w:type="dxa"/>
            <w:vAlign w:val="bottom"/>
            <w:gridSpan w:val="2"/>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4"/>
              </w:rPr>
              <w:t>Identical</w:t>
            </w:r>
          </w:p>
        </w:tc>
        <w:tc>
          <w:tcPr>
            <w:tcW w:w="14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1"/>
              </w:rPr>
              <w:t>Observable</w:t>
            </w:r>
          </w:p>
        </w:tc>
        <w:tc>
          <w:tcPr>
            <w:tcW w:w="13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9"/>
        </w:trPr>
        <w:tc>
          <w:tcPr>
            <w:tcW w:w="5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Asset Category</w:t>
            </w:r>
          </w:p>
        </w:tc>
        <w:tc>
          <w:tcPr>
            <w:tcW w:w="240" w:type="dxa"/>
            <w:vAlign w:val="bottom"/>
          </w:tcPr>
          <w:p>
            <w:pPr>
              <w:spacing w:after="0"/>
              <w:rPr>
                <w:sz w:val="12"/>
                <w:szCs w:val="12"/>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42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82"/>
              </w:rPr>
              <w:t>Assets</w:t>
            </w:r>
          </w:p>
        </w:tc>
        <w:tc>
          <w:tcPr>
            <w:tcW w:w="142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5"/>
              </w:rPr>
              <w:t>Inputs</w:t>
            </w:r>
          </w:p>
        </w:tc>
        <w:tc>
          <w:tcPr>
            <w:tcW w:w="13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58"/>
        </w:trPr>
        <w:tc>
          <w:tcPr>
            <w:tcW w:w="584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4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4"/>
              </w:rPr>
              <w:t>(Level 1)</w:t>
            </w:r>
          </w:p>
        </w:tc>
        <w:tc>
          <w:tcPr>
            <w:tcW w:w="14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4"/>
              </w:rPr>
              <w:t>(Level 2)</w:t>
            </w:r>
          </w:p>
        </w:tc>
        <w:tc>
          <w:tcPr>
            <w:tcW w:w="13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Mutual funds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2,691</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2,691</w:t>
            </w:r>
          </w:p>
        </w:tc>
        <w:tc>
          <w:tcPr>
            <w:tcW w:w="12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Fixed income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3,797</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3,797</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Other Postretirement Benefits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providing pension and savings benefits, the company also provides health care and life insurance benefits for eligible retired employees under the respective employer-sponsored post-retirement benefits other than pension plans. The benefits are paid by the company and not from plan assets due to limitations imposed by Internal Revenue Service.</w:t>
      </w:r>
    </w:p>
    <w:p>
      <w:pPr>
        <w:spacing w:after="0" w:line="11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Flexible Spending Plan</w:t>
      </w:r>
    </w:p>
    <w:p>
      <w:pPr>
        <w:spacing w:after="0" w:line="121"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SJW Group sponsors flexible spending account plans for its employees for the purpose of providing eligible employees with the opportunity to choose from among the fringe benefits available under the plans. The flexible spending plan is intended to qualify as a cafeteria plan under the provisions of the Internal Revenue Code Section 125. The flexible spending plan allows employees to save pre-tax income in a Health Care Spending Account (“HCSA”) and/or a Dependent Care Spending Account (“DCSA”) to help defray the cost of out-of-pocket medical and dependent care expenses. The annual maximum limit under the HCSA and DCSA plans is $2.5 and $5, respectively.</w:t>
      </w:r>
    </w:p>
    <w:p>
      <w:pPr>
        <w:spacing w:after="0" w:line="10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Savings Plans for Employees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SJW Group also sponsors salary deferral plans which are defined contribution plans that allow employees to defer and contribute a portion of their earnings to the plan. Contributions, not to exceed set limits, are matched by the company. For</w:t>
      </w:r>
    </w:p>
    <w:p>
      <w:pPr>
        <w:sectPr>
          <w:pgSz w:w="11900" w:h="16838" w:orient="portrait"/>
          <w:cols w:equalWidth="0" w:num="1">
            <w:col w:w="11240"/>
          </w:cols>
          <w:pgMar w:left="320" w:top="1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70" w:name="page71"/>
    <w:bookmarkEnd w:id="70"/>
    <w:p>
      <w:pPr>
        <w:spacing w:after="0" w:line="263" w:lineRule="auto"/>
        <w:rPr>
          <w:sz w:val="20"/>
          <w:szCs w:val="20"/>
          <w:color w:val="auto"/>
        </w:rPr>
      </w:pPr>
      <w:r>
        <w:rPr>
          <w:rFonts w:ascii="Arial" w:cs="Arial" w:eastAsia="Arial" w:hAnsi="Arial"/>
          <w:sz w:val="18"/>
          <w:szCs w:val="18"/>
          <w:color w:val="auto"/>
        </w:rPr>
        <w:t>CTWS’s employees hired on or after January 1, 2009 and ineligible to participate in the defined benefit pension plan, CTWS contributes an additional 1.5% of eligible contributions. SJW Group contributions were $3,003, $2,822 and $2,824 in 2022, 2021 and 2020, respectively. All of the company’s contributions are invested at the direction of the employees in funds offered under the plans.</w:t>
      </w:r>
    </w:p>
    <w:p>
      <w:pPr>
        <w:spacing w:after="0" w:line="11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Special Deferral Election Plans and Deferral Election Program</w:t>
      </w:r>
    </w:p>
    <w:p>
      <w:pPr>
        <w:spacing w:after="0" w:line="12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SJW Group maintains a special deferral election plan and a deferred compensation plan and agreements for senior management and a deferral election program for non-employee directors allowing for the deferral of a portion of their earnings each year and to realize an investment return on those funds during the deferral period. Senior management and non-employee directors have to make an election on the deferral and distribution method of the deferrals before services are rendered. CTWS’s deferred compensation plan allows the company to make discretionary contributions. Senior management and non-employee directors had deferred $6,197 and $6,237 under the plans as of December 31, 2022 and 2021, respectively. As of December 31, 2022 and 2021, $4,508 and $4,599, respectively, of the total amount deferred is related to CTWS agreements.</w:t>
      </w:r>
    </w:p>
    <w:p>
      <w:pPr>
        <w:spacing w:after="0" w:line="7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Assumptions Utilized on Actuarial Calculations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Net periodic cost for the defined benefit plans and other postretirement benefits was calculated using the following weighted-average assumptions: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Pension Benefits</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Other Benefits</w:t>
            </w:r>
          </w:p>
        </w:tc>
        <w:tc>
          <w:tcPr>
            <w:tcW w:w="1100" w:type="dxa"/>
            <w:vAlign w:val="bottom"/>
          </w:tcPr>
          <w:p>
            <w:pPr>
              <w:spacing w:after="0"/>
              <w:rPr>
                <w:sz w:val="16"/>
                <w:szCs w:val="16"/>
                <w:color w:val="auto"/>
              </w:rPr>
            </w:pPr>
          </w:p>
        </w:tc>
      </w:tr>
      <w:tr>
        <w:trPr>
          <w:trHeight w:val="26"/>
        </w:trPr>
        <w:tc>
          <w:tcPr>
            <w:tcW w:w="41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41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r>
      <w:tr>
        <w:trPr>
          <w:trHeight w:val="229"/>
        </w:trPr>
        <w:tc>
          <w:tcPr>
            <w:tcW w:w="41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2.65 - 2.82</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2.29 - 2.48</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3.05 - 3.23</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2.61 - 2.76</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2.18 - 2.41</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2.59 - 3.18</w:t>
            </w: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6.50, 6.75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6.50, 6.75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6.50, 6.75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4.20, 6.00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4.20, 6.50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4.20, 6.50</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Rate of compensation increase</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4.00, 4.50</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4.00</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5"/>
              </w:rPr>
              <w:t>4.00</w:t>
            </w:r>
          </w:p>
        </w:tc>
        <w:tc>
          <w:tcPr>
            <w:tcW w:w="100" w:type="dxa"/>
            <w:vAlign w:val="bottom"/>
          </w:tcPr>
          <w:p>
            <w:pPr>
              <w:spacing w:after="0"/>
              <w:rPr>
                <w:sz w:val="20"/>
                <w:szCs w:val="20"/>
                <w:color w:val="auto"/>
              </w:rPr>
            </w:pPr>
          </w:p>
        </w:tc>
        <w:tc>
          <w:tcPr>
            <w:tcW w:w="120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1100" w:type="dxa"/>
            <w:vAlign w:val="bottom"/>
          </w:tcPr>
          <w:p>
            <w:pPr>
              <w:ind w:left="400"/>
              <w:spacing w:after="0"/>
              <w:rPr>
                <w:sz w:val="20"/>
                <w:szCs w:val="20"/>
                <w:color w:val="auto"/>
              </w:rPr>
            </w:pPr>
            <w:r>
              <w:rPr>
                <w:rFonts w:ascii="Arial" w:cs="Arial" w:eastAsia="Arial" w:hAnsi="Arial"/>
                <w:sz w:val="18"/>
                <w:szCs w:val="18"/>
                <w:color w:val="auto"/>
              </w:rPr>
              <w:t>N/A</w:t>
            </w:r>
          </w:p>
        </w:tc>
      </w:tr>
    </w:tbl>
    <w:p>
      <w:pPr>
        <w:spacing w:after="0" w:line="187"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The expected rate of return on plan assets was determined based on a review of historical returns, for the pension plans and for medium- to large-sized defined benefit pension funds with similar asset allocations. This review generated separate expected returns for each asset class. These expected future returns were then blended based on the pension plans’ target asset allocations.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Benefit obligations for the defined benefit plans and other postretirement benefits were calculated using the following weighted-average assumptions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80" w:type="dxa"/>
            <w:vAlign w:val="bottom"/>
          </w:tcPr>
          <w:p>
            <w:pPr>
              <w:spacing w:after="0"/>
              <w:rPr>
                <w:sz w:val="16"/>
                <w:szCs w:val="16"/>
                <w:color w:val="auto"/>
              </w:rPr>
            </w:pPr>
          </w:p>
        </w:tc>
        <w:tc>
          <w:tcPr>
            <w:tcW w:w="3260" w:type="dxa"/>
            <w:vAlign w:val="bottom"/>
            <w:gridSpan w:val="4"/>
          </w:tcPr>
          <w:p>
            <w:pPr>
              <w:ind w:left="1080"/>
              <w:spacing w:after="0"/>
              <w:rPr>
                <w:sz w:val="20"/>
                <w:szCs w:val="20"/>
                <w:color w:val="auto"/>
              </w:rPr>
            </w:pPr>
            <w:r>
              <w:rPr>
                <w:rFonts w:ascii="Arial" w:cs="Arial" w:eastAsia="Arial" w:hAnsi="Arial"/>
                <w:sz w:val="14"/>
                <w:szCs w:val="14"/>
                <w:b w:val="1"/>
                <w:bCs w:val="1"/>
                <w:color w:val="auto"/>
              </w:rPr>
              <w:t>Pension Benefits</w:t>
            </w:r>
          </w:p>
        </w:tc>
        <w:tc>
          <w:tcPr>
            <w:tcW w:w="3160" w:type="dxa"/>
            <w:vAlign w:val="bottom"/>
            <w:gridSpan w:val="3"/>
          </w:tcPr>
          <w:p>
            <w:pPr>
              <w:ind w:left="1140"/>
              <w:spacing w:after="0"/>
              <w:rPr>
                <w:sz w:val="20"/>
                <w:szCs w:val="20"/>
                <w:color w:val="auto"/>
              </w:rPr>
            </w:pPr>
            <w:r>
              <w:rPr>
                <w:rFonts w:ascii="Arial" w:cs="Arial" w:eastAsia="Arial" w:hAnsi="Arial"/>
                <w:sz w:val="14"/>
                <w:szCs w:val="14"/>
                <w:b w:val="1"/>
                <w:bCs w:val="1"/>
                <w:color w:val="auto"/>
              </w:rPr>
              <w:t>Other Benefits</w:t>
            </w:r>
          </w:p>
        </w:tc>
      </w:tr>
      <w:tr>
        <w:trPr>
          <w:trHeight w:val="25"/>
        </w:trPr>
        <w:tc>
          <w:tcPr>
            <w:tcW w:w="47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47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r>
      <w:tr>
        <w:trPr>
          <w:trHeight w:val="230"/>
        </w:trPr>
        <w:tc>
          <w:tcPr>
            <w:tcW w:w="478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4.95 - 5.24</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2.65 - 2.82</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4.96 - 5.21</w:t>
            </w:r>
          </w:p>
        </w:tc>
        <w:tc>
          <w:tcPr>
            <w:tcW w:w="1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2.61 - 2.76</w:t>
            </w: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4.50, 5.00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4.00</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15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N/A</w:t>
            </w:r>
          </w:p>
        </w:tc>
      </w:tr>
    </w:tbl>
    <w:p>
      <w:pPr>
        <w:spacing w:after="0" w:line="18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SJW Group utilized each plan’s projected benefit stream in conjunction with the FTSE Pension Discount Curve (formerly the Citigroup Pension Discount Curve) in determining the discount rate used in calculating the pension and other postretirement benefits liabilities at the measurement date.</w:t>
      </w:r>
    </w:p>
    <w:p>
      <w:pPr>
        <w:spacing w:after="0" w:line="16"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 2022 and 2021, SJW Group adopted the newly then issued MP-2021, Mortality Improvement Scales to determine mortality assumptions. The tables and scales reflect increasing life expectancies of participants in the United States. See also “Reconciliation of Funded Status”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1" w:name="page72"/>
    <w:bookmarkEnd w:id="71"/>
    <w:p>
      <w:pPr>
        <w:ind w:left="580"/>
        <w:spacing w:after="0"/>
        <w:rPr>
          <w:sz w:val="20"/>
          <w:szCs w:val="20"/>
          <w:color w:val="auto"/>
        </w:rPr>
      </w:pPr>
      <w:r>
        <w:rPr>
          <w:rFonts w:ascii="Arial" w:cs="Arial" w:eastAsia="Arial" w:hAnsi="Arial"/>
          <w:sz w:val="18"/>
          <w:szCs w:val="18"/>
          <w:b w:val="1"/>
          <w:bCs w:val="1"/>
          <w:color w:val="auto"/>
        </w:rPr>
        <w:t>Net Periodic Pension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periodic costs for the defined benefit plans and other postretirement benefits for the years ended December 31 was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Pension Benefits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Other Benefits</w:t>
            </w:r>
          </w:p>
        </w:tc>
        <w:tc>
          <w:tcPr>
            <w:tcW w:w="1100" w:type="dxa"/>
            <w:vAlign w:val="bottom"/>
          </w:tcPr>
          <w:p>
            <w:pPr>
              <w:spacing w:after="0"/>
              <w:rPr>
                <w:sz w:val="16"/>
                <w:szCs w:val="16"/>
                <w:color w:val="auto"/>
              </w:rPr>
            </w:pPr>
          </w:p>
        </w:tc>
      </w:tr>
      <w:tr>
        <w:trPr>
          <w:trHeight w:val="26"/>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4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net periodic benefit cost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4120" w:type="dxa"/>
            <w:vAlign w:val="bottom"/>
          </w:tcPr>
          <w:p>
            <w:pPr>
              <w:ind w:left="140"/>
              <w:spacing w:after="0"/>
              <w:rPr>
                <w:sz w:val="20"/>
                <w:szCs w:val="20"/>
                <w:color w:val="auto"/>
              </w:rPr>
            </w:pPr>
            <w:r>
              <w:rPr>
                <w:rFonts w:ascii="Arial" w:cs="Arial" w:eastAsia="Arial" w:hAnsi="Arial"/>
                <w:sz w:val="18"/>
                <w:szCs w:val="18"/>
                <w:color w:val="auto"/>
              </w:rPr>
              <w:t>Service cost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9,359</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9,730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8,659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900</w:t>
            </w:r>
          </w:p>
        </w:tc>
      </w:tr>
      <w:tr>
        <w:trPr>
          <w:trHeight w:val="229"/>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r>
      <w:tr>
        <w:trPr>
          <w:trHeight w:val="230"/>
        </w:trPr>
        <w:tc>
          <w:tcPr>
            <w:tcW w:w="4120" w:type="dxa"/>
            <w:vAlign w:val="bottom"/>
          </w:tcPr>
          <w:p>
            <w:pPr>
              <w:ind w:left="140"/>
              <w:spacing w:after="0"/>
              <w:rPr>
                <w:sz w:val="20"/>
                <w:szCs w:val="20"/>
                <w:color w:val="auto"/>
              </w:rPr>
            </w:pPr>
            <w:r>
              <w:rPr>
                <w:rFonts w:ascii="Arial" w:cs="Arial" w:eastAsia="Arial" w:hAnsi="Arial"/>
                <w:sz w:val="18"/>
                <w:szCs w:val="18"/>
                <w:color w:val="auto"/>
              </w:rPr>
              <w:t>Expected return on assets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(18,841)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(18,019)</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(857)</w:t>
            </w:r>
          </w:p>
        </w:tc>
      </w:tr>
      <w:tr>
        <w:trPr>
          <w:trHeight w:val="229"/>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prior service cost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29"/>
        </w:trPr>
        <w:tc>
          <w:tcPr>
            <w:tcW w:w="4120" w:type="dxa"/>
            <w:vAlign w:val="bottom"/>
          </w:tcPr>
          <w:p>
            <w:pPr>
              <w:ind w:left="140"/>
              <w:spacing w:after="0"/>
              <w:rPr>
                <w:sz w:val="20"/>
                <w:szCs w:val="20"/>
                <w:color w:val="auto"/>
              </w:rPr>
            </w:pPr>
            <w:r>
              <w:rPr>
                <w:rFonts w:ascii="Arial" w:cs="Arial" w:eastAsia="Arial" w:hAnsi="Arial"/>
                <w:sz w:val="18"/>
                <w:szCs w:val="18"/>
                <w:color w:val="auto"/>
              </w:rPr>
              <w:t>Recognized actuarial loss/(gain)</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4,620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6,901</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30"/>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Recognition of significant event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120" w:type="dxa"/>
            <w:vAlign w:val="bottom"/>
          </w:tcPr>
          <w:p>
            <w:pPr>
              <w:ind w:left="14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4,268</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8,068</w:t>
            </w: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1,325</w:t>
            </w:r>
          </w:p>
        </w:tc>
      </w:tr>
      <w:tr>
        <w:trPr>
          <w:trHeight w:val="21"/>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Reconciliation of Funded Status</w:t>
      </w:r>
    </w:p>
    <w:p>
      <w:pPr>
        <w:spacing w:after="0" w:line="121"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color w:val="auto"/>
        </w:rPr>
        <w:t>For the defined benefit plans and other postretirement benefits, the benefit obligation is the projected benefit obligation and the accumulated benefit obligation, respectively. The projected benefit obligations and the funded status of the defined benefit pension and other postretirement plans as of December 31 were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ind w:left="720"/>
              <w:spacing w:after="0"/>
              <w:rPr>
                <w:sz w:val="20"/>
                <w:szCs w:val="20"/>
                <w:color w:val="auto"/>
              </w:rPr>
            </w:pPr>
            <w:r>
              <w:rPr>
                <w:rFonts w:ascii="Arial" w:cs="Arial" w:eastAsia="Arial" w:hAnsi="Arial"/>
                <w:sz w:val="14"/>
                <w:szCs w:val="14"/>
                <w:b w:val="1"/>
                <w:bCs w:val="1"/>
                <w:color w:val="auto"/>
                <w:w w:val="93"/>
              </w:rPr>
              <w:t>Pension Benefits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ind w:left="780"/>
              <w:spacing w:after="0"/>
              <w:rPr>
                <w:sz w:val="20"/>
                <w:szCs w:val="20"/>
                <w:color w:val="auto"/>
              </w:rPr>
            </w:pPr>
            <w:r>
              <w:rPr>
                <w:rFonts w:ascii="Arial" w:cs="Arial" w:eastAsia="Arial" w:hAnsi="Arial"/>
                <w:sz w:val="14"/>
                <w:szCs w:val="14"/>
                <w:b w:val="1"/>
                <w:bCs w:val="1"/>
                <w:color w:val="auto"/>
              </w:rPr>
              <w:t>Other Benefits</w:t>
            </w:r>
          </w:p>
        </w:tc>
        <w:tc>
          <w:tcPr>
            <w:tcW w:w="1020" w:type="dxa"/>
            <w:vAlign w:val="bottom"/>
          </w:tcPr>
          <w:p>
            <w:pPr>
              <w:spacing w:after="0"/>
              <w:rPr>
                <w:sz w:val="16"/>
                <w:szCs w:val="16"/>
                <w:color w:val="auto"/>
              </w:rPr>
            </w:pPr>
          </w:p>
        </w:tc>
      </w:tr>
      <w:tr>
        <w:trPr>
          <w:trHeight w:val="26"/>
        </w:trPr>
        <w:tc>
          <w:tcPr>
            <w:tcW w:w="47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47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r>
      <w:tr>
        <w:trPr>
          <w:trHeight w:val="216"/>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 in benefit obligation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4800" w:type="dxa"/>
            <w:vAlign w:val="bottom"/>
            <w:gridSpan w:val="2"/>
          </w:tcPr>
          <w:p>
            <w:pPr>
              <w:ind w:left="140"/>
              <w:spacing w:after="0"/>
              <w:rPr>
                <w:sz w:val="20"/>
                <w:szCs w:val="20"/>
                <w:color w:val="auto"/>
              </w:rPr>
            </w:pPr>
            <w:r>
              <w:rPr>
                <w:rFonts w:ascii="Arial" w:cs="Arial" w:eastAsia="Arial" w:hAnsi="Arial"/>
                <w:sz w:val="18"/>
                <w:szCs w:val="18"/>
                <w:color w:val="auto"/>
              </w:rPr>
              <w:t>Benefit obligation at beginning of year</w:t>
            </w:r>
          </w:p>
        </w:tc>
        <w:tc>
          <w:tcPr>
            <w:tcW w:w="340" w:type="dxa"/>
            <w:vAlign w:val="bottom"/>
          </w:tcPr>
          <w:p>
            <w:pPr>
              <w:jc w:val="right"/>
              <w:ind w:right="156"/>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383,838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386,091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34,412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35,794</w:t>
            </w:r>
          </w:p>
        </w:tc>
      </w:tr>
      <w:tr>
        <w:trPr>
          <w:trHeight w:val="229"/>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Service cost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r>
      <w:tr>
        <w:trPr>
          <w:trHeight w:val="230"/>
        </w:trPr>
        <w:tc>
          <w:tcPr>
            <w:tcW w:w="4800" w:type="dxa"/>
            <w:vAlign w:val="bottom"/>
            <w:gridSpan w:val="2"/>
          </w:tcPr>
          <w:p>
            <w:pPr>
              <w:ind w:left="140"/>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10,708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806</w:t>
            </w:r>
          </w:p>
        </w:tc>
      </w:tr>
      <w:tr>
        <w:trPr>
          <w:trHeight w:val="229"/>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Actuarial (gain)/loss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(94,793)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r>
      <w:tr>
        <w:trPr>
          <w:trHeight w:val="230"/>
        </w:trPr>
        <w:tc>
          <w:tcPr>
            <w:tcW w:w="4800" w:type="dxa"/>
            <w:vAlign w:val="bottom"/>
            <w:gridSpan w:val="2"/>
          </w:tcPr>
          <w:p>
            <w:pPr>
              <w:ind w:left="140"/>
              <w:spacing w:after="0"/>
              <w:rPr>
                <w:sz w:val="20"/>
                <w:szCs w:val="20"/>
                <w:color w:val="auto"/>
              </w:rPr>
            </w:pPr>
            <w:r>
              <w:rPr>
                <w:rFonts w:ascii="Arial" w:cs="Arial" w:eastAsia="Arial" w:hAnsi="Arial"/>
                <w:sz w:val="18"/>
                <w:szCs w:val="18"/>
                <w:color w:val="auto"/>
              </w:rPr>
              <w:t>Implicit rate subsidy</w:t>
            </w:r>
          </w:p>
        </w:tc>
        <w:tc>
          <w:tcPr>
            <w:tcW w:w="340" w:type="dxa"/>
            <w:vAlign w:val="bottom"/>
          </w:tcPr>
          <w:p>
            <w:pPr>
              <w:spacing w:after="0"/>
              <w:rPr>
                <w:sz w:val="19"/>
                <w:szCs w:val="19"/>
                <w:color w:val="auto"/>
              </w:rPr>
            </w:pPr>
          </w:p>
        </w:tc>
        <w:tc>
          <w:tcPr>
            <w:tcW w:w="180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30"/>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Plan participants contributions</w:t>
            </w:r>
          </w:p>
        </w:tc>
        <w:tc>
          <w:tcPr>
            <w:tcW w:w="34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30"/>
        </w:trPr>
        <w:tc>
          <w:tcPr>
            <w:tcW w:w="4800" w:type="dxa"/>
            <w:vAlign w:val="bottom"/>
            <w:gridSpan w:val="2"/>
          </w:tcPr>
          <w:p>
            <w:pPr>
              <w:ind w:left="140"/>
              <w:spacing w:after="0"/>
              <w:rPr>
                <w:sz w:val="20"/>
                <w:szCs w:val="20"/>
                <w:color w:val="auto"/>
              </w:rPr>
            </w:pPr>
            <w:r>
              <w:rPr>
                <w:rFonts w:ascii="Arial" w:cs="Arial" w:eastAsia="Arial" w:hAnsi="Arial"/>
                <w:sz w:val="18"/>
                <w:szCs w:val="18"/>
                <w:color w:val="auto"/>
              </w:rPr>
              <w:t>Administrative expenses paid</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Benefits paid and settlements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r>
      <w:tr>
        <w:trPr>
          <w:trHeight w:val="223"/>
        </w:trPr>
        <w:tc>
          <w:tcPr>
            <w:tcW w:w="4800" w:type="dxa"/>
            <w:vAlign w:val="bottom"/>
            <w:gridSpan w:val="2"/>
          </w:tcPr>
          <w:p>
            <w:pPr>
              <w:ind w:left="140"/>
              <w:spacing w:after="0"/>
              <w:rPr>
                <w:sz w:val="20"/>
                <w:szCs w:val="20"/>
                <w:color w:val="auto"/>
              </w:rPr>
            </w:pPr>
            <w:r>
              <w:rPr>
                <w:rFonts w:ascii="Arial" w:cs="Arial" w:eastAsia="Arial" w:hAnsi="Arial"/>
                <w:sz w:val="18"/>
                <w:szCs w:val="18"/>
                <w:color w:val="auto"/>
              </w:rPr>
              <w:t>Benefit obligation at end of year</w:t>
            </w: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289,123</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383,838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25,830</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34,412</w:t>
            </w: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48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Change in plan assets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4800" w:type="dxa"/>
            <w:vAlign w:val="bottom"/>
            <w:gridSpan w:val="2"/>
          </w:tcPr>
          <w:p>
            <w:pPr>
              <w:ind w:left="140"/>
              <w:spacing w:after="0"/>
              <w:rPr>
                <w:sz w:val="20"/>
                <w:szCs w:val="20"/>
                <w:color w:val="auto"/>
              </w:rPr>
            </w:pPr>
            <w:r>
              <w:rPr>
                <w:rFonts w:ascii="Arial" w:cs="Arial" w:eastAsia="Arial" w:hAnsi="Arial"/>
                <w:sz w:val="18"/>
                <w:szCs w:val="18"/>
                <w:color w:val="auto"/>
              </w:rPr>
              <w:t>Fair value of assets at beginning of year</w:t>
            </w:r>
          </w:p>
        </w:tc>
        <w:tc>
          <w:tcPr>
            <w:tcW w:w="340" w:type="dxa"/>
            <w:vAlign w:val="bottom"/>
          </w:tcPr>
          <w:p>
            <w:pPr>
              <w:jc w:val="right"/>
              <w:ind w:right="156"/>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310,176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278,124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21,767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19,479</w:t>
            </w:r>
          </w:p>
        </w:tc>
      </w:tr>
      <w:tr>
        <w:trPr>
          <w:trHeight w:val="230"/>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Actual return on plan assets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w:t>
            </w:r>
          </w:p>
        </w:tc>
      </w:tr>
      <w:tr>
        <w:trPr>
          <w:trHeight w:val="229"/>
        </w:trPr>
        <w:tc>
          <w:tcPr>
            <w:tcW w:w="4800" w:type="dxa"/>
            <w:vAlign w:val="bottom"/>
            <w:gridSpan w:val="2"/>
          </w:tcPr>
          <w:p>
            <w:pPr>
              <w:ind w:left="140"/>
              <w:spacing w:after="0"/>
              <w:rPr>
                <w:sz w:val="20"/>
                <w:szCs w:val="20"/>
                <w:color w:val="auto"/>
              </w:rPr>
            </w:pPr>
            <w:r>
              <w:rPr>
                <w:rFonts w:ascii="Arial" w:cs="Arial" w:eastAsia="Arial" w:hAnsi="Arial"/>
                <w:sz w:val="18"/>
                <w:szCs w:val="18"/>
                <w:color w:val="auto"/>
              </w:rPr>
              <w:t>Employer contributions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11,712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669</w:t>
            </w:r>
          </w:p>
        </w:tc>
      </w:tr>
      <w:tr>
        <w:trPr>
          <w:trHeight w:val="230"/>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Plan participants contributions</w:t>
            </w:r>
          </w:p>
        </w:tc>
        <w:tc>
          <w:tcPr>
            <w:tcW w:w="34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30"/>
        </w:trPr>
        <w:tc>
          <w:tcPr>
            <w:tcW w:w="4800" w:type="dxa"/>
            <w:vAlign w:val="bottom"/>
            <w:gridSpan w:val="2"/>
          </w:tcPr>
          <w:p>
            <w:pPr>
              <w:ind w:left="140"/>
              <w:spacing w:after="0"/>
              <w:rPr>
                <w:sz w:val="20"/>
                <w:szCs w:val="20"/>
                <w:color w:val="auto"/>
              </w:rPr>
            </w:pPr>
            <w:r>
              <w:rPr>
                <w:rFonts w:ascii="Arial" w:cs="Arial" w:eastAsia="Arial" w:hAnsi="Arial"/>
                <w:sz w:val="18"/>
                <w:szCs w:val="18"/>
                <w:color w:val="auto"/>
              </w:rPr>
              <w:t>Administrative expenses paid</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Benefits paid and settlements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w:t>
            </w:r>
          </w:p>
        </w:tc>
      </w:tr>
      <w:tr>
        <w:trPr>
          <w:trHeight w:val="223"/>
        </w:trPr>
        <w:tc>
          <w:tcPr>
            <w:tcW w:w="48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Fair value of plan assets at end of year</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251,960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310,176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17,952</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21,767</w:t>
            </w:r>
          </w:p>
        </w:tc>
      </w:tr>
      <w:tr>
        <w:trPr>
          <w:trHeight w:val="248"/>
        </w:trPr>
        <w:tc>
          <w:tcPr>
            <w:tcW w:w="48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Funded status at end of year</w:t>
            </w: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(37,163)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(12,645)</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6940" w:type="dxa"/>
            <w:vAlign w:val="bottom"/>
            <w:gridSpan w:val="6"/>
          </w:tcPr>
          <w:p>
            <w:pPr>
              <w:spacing w:after="0"/>
              <w:rPr>
                <w:sz w:val="20"/>
                <w:szCs w:val="20"/>
                <w:color w:val="auto"/>
              </w:rPr>
            </w:pPr>
            <w:r>
              <w:rPr>
                <w:rFonts w:ascii="Arial" w:cs="Arial" w:eastAsia="Arial" w:hAnsi="Arial"/>
                <w:sz w:val="18"/>
                <w:szCs w:val="18"/>
                <w:color w:val="auto"/>
              </w:rPr>
              <w:t>The amounts recognized on the balance sheet as of December 31 were as follows: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5"/>
        </w:trPr>
        <w:tc>
          <w:tcPr>
            <w:tcW w:w="4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gridSpan w:val="3"/>
          </w:tcPr>
          <w:p>
            <w:pPr>
              <w:ind w:left="700"/>
              <w:spacing w:after="0"/>
              <w:rPr>
                <w:sz w:val="20"/>
                <w:szCs w:val="20"/>
                <w:color w:val="auto"/>
              </w:rPr>
            </w:pPr>
            <w:r>
              <w:rPr>
                <w:rFonts w:ascii="Arial" w:cs="Arial" w:eastAsia="Arial" w:hAnsi="Arial"/>
                <w:sz w:val="14"/>
                <w:szCs w:val="14"/>
                <w:b w:val="1"/>
                <w:bCs w:val="1"/>
                <w:color w:val="auto"/>
                <w:w w:val="95"/>
              </w:rPr>
              <w:t>Pension Benefits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gridSpan w:val="3"/>
          </w:tcPr>
          <w:p>
            <w:pPr>
              <w:ind w:left="780"/>
              <w:spacing w:after="0"/>
              <w:rPr>
                <w:sz w:val="20"/>
                <w:szCs w:val="20"/>
                <w:color w:val="auto"/>
              </w:rPr>
            </w:pPr>
            <w:r>
              <w:rPr>
                <w:rFonts w:ascii="Arial" w:cs="Arial" w:eastAsia="Arial" w:hAnsi="Arial"/>
                <w:sz w:val="14"/>
                <w:szCs w:val="14"/>
                <w:b w:val="1"/>
                <w:bCs w:val="1"/>
                <w:color w:val="auto"/>
              </w:rPr>
              <w:t>Other Benefits</w:t>
            </w:r>
          </w:p>
        </w:tc>
        <w:tc>
          <w:tcPr>
            <w:tcW w:w="1020" w:type="dxa"/>
            <w:vAlign w:val="bottom"/>
          </w:tcPr>
          <w:p>
            <w:pPr>
              <w:spacing w:after="0"/>
              <w:rPr>
                <w:sz w:val="24"/>
                <w:szCs w:val="24"/>
                <w:color w:val="auto"/>
              </w:rPr>
            </w:pPr>
          </w:p>
        </w:tc>
      </w:tr>
      <w:tr>
        <w:trPr>
          <w:trHeight w:val="25"/>
        </w:trPr>
        <w:tc>
          <w:tcPr>
            <w:tcW w:w="47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47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76"/>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30"/>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(51,079)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(12,506)</w:t>
            </w:r>
          </w:p>
        </w:tc>
      </w:tr>
      <w:tr>
        <w:trPr>
          <w:trHeight w:val="223"/>
        </w:trPr>
        <w:tc>
          <w:tcPr>
            <w:tcW w:w="47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(37,163)</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(73,662)</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(7,878)</w:t>
            </w: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(12,645)</w:t>
            </w:r>
          </w:p>
        </w:tc>
      </w:tr>
      <w:tr>
        <w:trPr>
          <w:trHeight w:val="21"/>
        </w:trPr>
        <w:tc>
          <w:tcPr>
            <w:tcW w:w="4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SJW Group recorded a regulatory asset on the projected benefit obligation of the postretirement benefit plans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540" w:type="dxa"/>
            <w:vAlign w:val="bottom"/>
          </w:tcPr>
          <w:p>
            <w:pPr>
              <w:jc w:val="right"/>
              <w:ind w:right="535"/>
              <w:spacing w:after="0"/>
              <w:rPr>
                <w:sz w:val="20"/>
                <w:szCs w:val="20"/>
                <w:color w:val="auto"/>
              </w:rPr>
            </w:pPr>
            <w:r>
              <w:rPr>
                <w:rFonts w:ascii="Arial" w:cs="Arial" w:eastAsia="Arial" w:hAnsi="Arial"/>
                <w:sz w:val="14"/>
                <w:szCs w:val="14"/>
                <w:b w:val="1"/>
                <w:bCs w:val="1"/>
                <w:color w:val="auto"/>
              </w:rPr>
              <w:t>2021</w:t>
            </w:r>
          </w:p>
        </w:tc>
      </w:tr>
      <w:tr>
        <w:trPr>
          <w:trHeight w:val="26"/>
        </w:trPr>
        <w:tc>
          <w:tcPr>
            <w:tcW w:w="8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Funded status of obligation</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center"/>
              <w:ind w:left="435"/>
              <w:spacing w:after="0"/>
              <w:rPr>
                <w:sz w:val="20"/>
                <w:szCs w:val="20"/>
                <w:color w:val="auto"/>
              </w:rPr>
            </w:pPr>
            <w:r>
              <w:rPr>
                <w:rFonts w:ascii="Arial" w:cs="Arial" w:eastAsia="Arial" w:hAnsi="Arial"/>
                <w:sz w:val="18"/>
                <w:szCs w:val="18"/>
                <w:color w:val="auto"/>
                <w:w w:val="87"/>
              </w:rPr>
              <w:t>45,041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ind w:left="795"/>
              <w:spacing w:after="0"/>
              <w:rPr>
                <w:sz w:val="20"/>
                <w:szCs w:val="20"/>
                <w:color w:val="auto"/>
              </w:rPr>
            </w:pPr>
            <w:r>
              <w:rPr>
                <w:rFonts w:ascii="Arial" w:cs="Arial" w:eastAsia="Arial" w:hAnsi="Arial"/>
                <w:sz w:val="18"/>
                <w:szCs w:val="18"/>
                <w:color w:val="auto"/>
                <w:w w:val="90"/>
              </w:rPr>
              <w:t>86,307</w:t>
            </w:r>
          </w:p>
        </w:tc>
      </w:tr>
      <w:tr>
        <w:trPr>
          <w:trHeight w:val="23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benefit cost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415"/>
              <w:spacing w:after="0"/>
              <w:rPr>
                <w:sz w:val="20"/>
                <w:szCs w:val="20"/>
                <w:color w:val="auto"/>
              </w:rPr>
            </w:pPr>
            <w:r>
              <w:rPr>
                <w:rFonts w:ascii="Arial" w:cs="Arial" w:eastAsia="Arial" w:hAnsi="Arial"/>
                <w:sz w:val="18"/>
                <w:szCs w:val="18"/>
                <w:color w:val="auto"/>
                <w:w w:val="92"/>
              </w:rPr>
              <w:t>(13,548)</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center"/>
              <w:ind w:left="775"/>
              <w:spacing w:after="0"/>
              <w:rPr>
                <w:sz w:val="20"/>
                <w:szCs w:val="20"/>
                <w:color w:val="auto"/>
              </w:rPr>
            </w:pPr>
            <w:r>
              <w:rPr>
                <w:rFonts w:ascii="Arial" w:cs="Arial" w:eastAsia="Arial" w:hAnsi="Arial"/>
                <w:sz w:val="18"/>
                <w:szCs w:val="18"/>
                <w:color w:val="auto"/>
                <w:w w:val="89"/>
              </w:rPr>
              <w:t>(24,110)</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Regulatory asset, amount to be recovered in future rates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center"/>
              <w:ind w:left="435"/>
              <w:spacing w:after="0"/>
              <w:rPr>
                <w:sz w:val="20"/>
                <w:szCs w:val="20"/>
                <w:color w:val="auto"/>
              </w:rPr>
            </w:pPr>
            <w:r>
              <w:rPr>
                <w:rFonts w:ascii="Arial" w:cs="Arial" w:eastAsia="Arial" w:hAnsi="Arial"/>
                <w:sz w:val="18"/>
                <w:szCs w:val="18"/>
                <w:color w:val="auto"/>
                <w:w w:val="87"/>
              </w:rPr>
              <w:t>31,493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center"/>
              <w:ind w:left="795"/>
              <w:spacing w:after="0"/>
              <w:rPr>
                <w:sz w:val="20"/>
                <w:szCs w:val="20"/>
                <w:color w:val="auto"/>
              </w:rPr>
            </w:pPr>
            <w:r>
              <w:rPr>
                <w:rFonts w:ascii="Arial" w:cs="Arial" w:eastAsia="Arial" w:hAnsi="Arial"/>
                <w:sz w:val="18"/>
                <w:szCs w:val="18"/>
                <w:color w:val="auto"/>
                <w:w w:val="90"/>
              </w:rPr>
              <w:t>62,197</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December 31, 2022 and 2021, the amounts deferred in regulatory assets that have not yet been recognized as components of net periodic benefit cost include net loss of $31,549 and $62,270, respectively, and prior service cost of $56 and $73, respectively.</w:t>
      </w:r>
    </w:p>
    <w:p>
      <w:pPr>
        <w:spacing w:after="0" w:line="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Plan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Plan assets as of December 31 were as follows: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gridSpan w:val="3"/>
          </w:tcPr>
          <w:p>
            <w:pPr>
              <w:ind w:left="760"/>
              <w:spacing w:after="0"/>
              <w:rPr>
                <w:sz w:val="20"/>
                <w:szCs w:val="20"/>
                <w:color w:val="auto"/>
              </w:rPr>
            </w:pPr>
            <w:r>
              <w:rPr>
                <w:rFonts w:ascii="Arial" w:cs="Arial" w:eastAsia="Arial" w:hAnsi="Arial"/>
                <w:sz w:val="14"/>
                <w:szCs w:val="14"/>
                <w:b w:val="1"/>
                <w:bCs w:val="1"/>
                <w:color w:val="auto"/>
                <w:w w:val="96"/>
              </w:rPr>
              <w:t>Pension Benefits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gridSpan w:val="3"/>
          </w:tcPr>
          <w:p>
            <w:pPr>
              <w:ind w:left="840"/>
              <w:spacing w:after="0"/>
              <w:rPr>
                <w:sz w:val="20"/>
                <w:szCs w:val="20"/>
                <w:color w:val="auto"/>
              </w:rPr>
            </w:pPr>
            <w:r>
              <w:rPr>
                <w:rFonts w:ascii="Arial" w:cs="Arial" w:eastAsia="Arial" w:hAnsi="Arial"/>
                <w:sz w:val="14"/>
                <w:szCs w:val="14"/>
                <w:b w:val="1"/>
                <w:bCs w:val="1"/>
                <w:color w:val="auto"/>
              </w:rPr>
              <w:t>Other Benefits</w:t>
            </w:r>
          </w:p>
        </w:tc>
        <w:tc>
          <w:tcPr>
            <w:tcW w:w="1080" w:type="dxa"/>
            <w:vAlign w:val="bottom"/>
          </w:tcPr>
          <w:p>
            <w:pPr>
              <w:spacing w:after="0"/>
              <w:rPr>
                <w:sz w:val="16"/>
                <w:szCs w:val="16"/>
                <w:color w:val="auto"/>
              </w:rPr>
            </w:pPr>
          </w:p>
        </w:tc>
      </w:tr>
      <w:tr>
        <w:trPr>
          <w:trHeight w:val="26"/>
        </w:trPr>
        <w:tc>
          <w:tcPr>
            <w:tcW w:w="44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9"/>
        </w:trPr>
        <w:tc>
          <w:tcPr>
            <w:tcW w:w="44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assets at end of year:</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Debt securities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90,914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100,036</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5,330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5,541</w:t>
            </w:r>
          </w:p>
        </w:tc>
      </w:tr>
      <w:tr>
        <w:trPr>
          <w:trHeight w:val="229"/>
        </w:trPr>
        <w:tc>
          <w:tcPr>
            <w:tcW w:w="4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Equity securities</w:t>
            </w:r>
          </w:p>
        </w:tc>
        <w:tc>
          <w:tcPr>
            <w:tcW w:w="38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147,864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197,248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11,711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14,932</w:t>
            </w:r>
          </w:p>
        </w:tc>
      </w:tr>
      <w:tr>
        <w:trPr>
          <w:trHeight w:val="229"/>
        </w:trPr>
        <w:tc>
          <w:tcPr>
            <w:tcW w:w="4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r>
      <w:tr>
        <w:trPr>
          <w:trHeight w:val="229"/>
        </w:trPr>
        <w:tc>
          <w:tcPr>
            <w:tcW w:w="4440" w:type="dxa"/>
            <w:vAlign w:val="bottom"/>
          </w:tcPr>
          <w:p>
            <w:pPr>
              <w:spacing w:after="0"/>
              <w:rPr>
                <w:sz w:val="20"/>
                <w:szCs w:val="20"/>
                <w:color w:val="auto"/>
              </w:rPr>
            </w:pPr>
            <w:r>
              <w:rPr>
                <w:rFonts w:ascii="Arial" w:cs="Arial" w:eastAsia="Arial" w:hAnsi="Arial"/>
                <w:sz w:val="18"/>
                <w:szCs w:val="18"/>
                <w:color w:val="auto"/>
              </w:rPr>
              <w:t>Cash and equivalents</w:t>
            </w:r>
          </w:p>
        </w:tc>
        <w:tc>
          <w:tcPr>
            <w:tcW w:w="38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13,182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12,892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1,294</w:t>
            </w:r>
          </w:p>
        </w:tc>
      </w:tr>
      <w:tr>
        <w:trPr>
          <w:trHeight w:val="230"/>
        </w:trPr>
        <w:tc>
          <w:tcPr>
            <w:tcW w:w="44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251,960</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310,176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17,952</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21,767</w:t>
            </w:r>
          </w:p>
        </w:tc>
      </w:tr>
      <w:tr>
        <w:trPr>
          <w:trHeight w:val="21"/>
        </w:trPr>
        <w:tc>
          <w:tcPr>
            <w:tcW w:w="4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fair values of plan assets by major categories as of December 31, 2022 and 2021: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Fair Value Measurements at December 31, 2022</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3"/>
              </w:rPr>
              <w:t>Quoted</w:t>
            </w: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Prices in</w:t>
            </w: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0"/>
              </w:rPr>
              <w:t>Active</w:t>
            </w: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Significant</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8"/>
              </w:rPr>
              <w:t>Markets for</w:t>
            </w:r>
          </w:p>
        </w:tc>
        <w:tc>
          <w:tcPr>
            <w:tcW w:w="1640" w:type="dxa"/>
            <w:vAlign w:val="bottom"/>
            <w:gridSpan w:val="2"/>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Identical</w:t>
            </w: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360" w:type="dxa"/>
            <w:vAlign w:val="bottom"/>
          </w:tcPr>
          <w:p>
            <w:pPr>
              <w:spacing w:after="0"/>
              <w:rPr>
                <w:sz w:val="12"/>
                <w:szCs w:val="12"/>
                <w:color w:val="auto"/>
              </w:rPr>
            </w:pPr>
          </w:p>
        </w:tc>
        <w:tc>
          <w:tcPr>
            <w:tcW w:w="12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16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2"/>
              </w:rPr>
              <w:t>Assets</w:t>
            </w:r>
          </w:p>
        </w:tc>
        <w:tc>
          <w:tcPr>
            <w:tcW w:w="164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5"/>
              </w:rPr>
              <w:t>Inputs</w:t>
            </w:r>
          </w:p>
        </w:tc>
        <w:tc>
          <w:tcPr>
            <w:tcW w:w="15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(Level 1)</w:t>
            </w: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(Level 2)</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14,093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Equity securities (a)</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159,575</w:t>
            </w:r>
          </w:p>
        </w:tc>
        <w:tc>
          <w:tcPr>
            <w:tcW w:w="100" w:type="dxa"/>
            <w:vAlign w:val="bottom"/>
          </w:tcPr>
          <w:p>
            <w:pPr>
              <w:spacing w:after="0"/>
              <w:rPr>
                <w:sz w:val="19"/>
                <w:szCs w:val="19"/>
                <w:color w:val="auto"/>
              </w:rPr>
            </w:pPr>
          </w:p>
        </w:tc>
        <w:tc>
          <w:tcPr>
            <w:tcW w:w="1540" w:type="dxa"/>
            <w:vAlign w:val="bottom"/>
          </w:tcPr>
          <w:p>
            <w:pPr>
              <w:jc w:val="right"/>
              <w:ind w:right="2"/>
              <w:spacing w:after="0"/>
              <w:rPr>
                <w:sz w:val="20"/>
                <w:szCs w:val="20"/>
                <w:color w:val="auto"/>
              </w:rPr>
            </w:pPr>
            <w:r>
              <w:rPr>
                <w:rFonts w:ascii="Arial" w:cs="Arial" w:eastAsia="Arial" w:hAnsi="Arial"/>
                <w:sz w:val="18"/>
                <w:szCs w:val="18"/>
                <w:color w:val="auto"/>
              </w:rPr>
              <w:t>159,575</w:t>
            </w:r>
          </w:p>
        </w:tc>
        <w:tc>
          <w:tcPr>
            <w:tcW w:w="1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 (b)</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96,244</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30,863</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65,381</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269,912</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204,531</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65,381</w:t>
            </w:r>
          </w:p>
        </w:tc>
        <w:tc>
          <w:tcPr>
            <w:tcW w:w="120" w:type="dxa"/>
            <w:vAlign w:val="bottom"/>
          </w:tcPr>
          <w:p>
            <w:pPr>
              <w:spacing w:after="0"/>
              <w:rPr>
                <w:sz w:val="19"/>
                <w:szCs w:val="19"/>
                <w:color w:val="auto"/>
              </w:rPr>
            </w:pPr>
          </w:p>
        </w:tc>
        <w:tc>
          <w:tcPr>
            <w:tcW w:w="152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17"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Actively managed portfolio of equity securities with the goal to exceed the benchmark performance.</w:t>
      </w:r>
    </w:p>
    <w:p>
      <w:pPr>
        <w:spacing w:after="0" w:line="9" w:lineRule="exact"/>
        <w:rPr>
          <w:rFonts w:ascii="Arial" w:cs="Arial" w:eastAsia="Arial" w:hAnsi="Arial"/>
          <w:sz w:val="14"/>
          <w:szCs w:val="14"/>
          <w:color w:val="auto"/>
        </w:rPr>
      </w:pPr>
    </w:p>
    <w:p>
      <w:pPr>
        <w:ind w:left="640" w:hanging="632"/>
        <w:spacing w:after="0"/>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Actively managed portfolio of fixed income securities with the goal to exceed the benchmark performance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Fair Value Measurements at December 31, 2021</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3"/>
              </w:rPr>
              <w:t>Quoted</w:t>
            </w: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Prices in</w:t>
            </w: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0"/>
              </w:rPr>
              <w:t>Active</w:t>
            </w: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Significant</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8"/>
              </w:rPr>
              <w:t>Markets for</w:t>
            </w:r>
          </w:p>
        </w:tc>
        <w:tc>
          <w:tcPr>
            <w:tcW w:w="1640" w:type="dxa"/>
            <w:vAlign w:val="bottom"/>
            <w:gridSpan w:val="2"/>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4"/>
              </w:rPr>
              <w:t>Identical</w:t>
            </w:r>
          </w:p>
        </w:tc>
        <w:tc>
          <w:tcPr>
            <w:tcW w:w="16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1"/>
              </w:rPr>
              <w:t>Observable</w:t>
            </w:r>
          </w:p>
        </w:tc>
        <w:tc>
          <w:tcPr>
            <w:tcW w:w="15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360" w:type="dxa"/>
            <w:vAlign w:val="bottom"/>
          </w:tcPr>
          <w:p>
            <w:pPr>
              <w:spacing w:after="0"/>
              <w:rPr>
                <w:sz w:val="12"/>
                <w:szCs w:val="12"/>
                <w:color w:val="auto"/>
              </w:rPr>
            </w:pPr>
          </w:p>
        </w:tc>
        <w:tc>
          <w:tcPr>
            <w:tcW w:w="12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Assets</w:t>
            </w:r>
          </w:p>
        </w:tc>
        <w:tc>
          <w:tcPr>
            <w:tcW w:w="1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Inputs</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(Level 1)</w:t>
            </w: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(Level 2)</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14,186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212,180</w:t>
            </w:r>
          </w:p>
        </w:tc>
        <w:tc>
          <w:tcPr>
            <w:tcW w:w="100" w:type="dxa"/>
            <w:vAlign w:val="bottom"/>
          </w:tcPr>
          <w:p>
            <w:pPr>
              <w:spacing w:after="0"/>
              <w:rPr>
                <w:sz w:val="19"/>
                <w:szCs w:val="19"/>
                <w:color w:val="auto"/>
              </w:rPr>
            </w:pPr>
          </w:p>
        </w:tc>
        <w:tc>
          <w:tcPr>
            <w:tcW w:w="1540" w:type="dxa"/>
            <w:vAlign w:val="bottom"/>
          </w:tcPr>
          <w:p>
            <w:pPr>
              <w:jc w:val="right"/>
              <w:ind w:right="2"/>
              <w:spacing w:after="0"/>
              <w:rPr>
                <w:sz w:val="20"/>
                <w:szCs w:val="20"/>
                <w:color w:val="auto"/>
              </w:rPr>
            </w:pPr>
            <w:r>
              <w:rPr>
                <w:rFonts w:ascii="Arial" w:cs="Arial" w:eastAsia="Arial" w:hAnsi="Arial"/>
                <w:sz w:val="18"/>
                <w:szCs w:val="18"/>
                <w:color w:val="auto"/>
              </w:rPr>
              <w:t>212,180</w:t>
            </w:r>
          </w:p>
        </w:tc>
        <w:tc>
          <w:tcPr>
            <w:tcW w:w="1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105,577</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38,608</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66,969</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331,943</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264,974</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66,969</w:t>
            </w:r>
          </w:p>
        </w:tc>
        <w:tc>
          <w:tcPr>
            <w:tcW w:w="120" w:type="dxa"/>
            <w:vAlign w:val="bottom"/>
          </w:tcPr>
          <w:p>
            <w:pPr>
              <w:spacing w:after="0"/>
              <w:rPr>
                <w:sz w:val="19"/>
                <w:szCs w:val="19"/>
                <w:color w:val="auto"/>
              </w:rPr>
            </w:pPr>
          </w:p>
        </w:tc>
        <w:tc>
          <w:tcPr>
            <w:tcW w:w="152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2023, SJW Group expects to make required and discretionary cash contributions of up to $9,115 to the pension plans and other postretirement benefit plans.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Benefits expected to be paid in the next five years and in the aggregate for the five years thereafter are: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Pension Plan</w:t>
            </w:r>
          </w:p>
        </w:tc>
        <w:tc>
          <w:tcPr>
            <w:tcW w:w="180" w:type="dxa"/>
            <w:vAlign w:val="bottom"/>
          </w:tcPr>
          <w:p>
            <w:pPr>
              <w:spacing w:after="0"/>
              <w:rPr>
                <w:sz w:val="14"/>
                <w:szCs w:val="14"/>
                <w:color w:val="auto"/>
              </w:rPr>
            </w:pPr>
          </w:p>
        </w:tc>
        <w:tc>
          <w:tcPr>
            <w:tcW w:w="1640" w:type="dxa"/>
            <w:vAlign w:val="bottom"/>
          </w:tcPr>
          <w:p>
            <w:pPr>
              <w:jc w:val="right"/>
              <w:ind w:right="175"/>
              <w:spacing w:after="0"/>
              <w:rPr>
                <w:sz w:val="20"/>
                <w:szCs w:val="20"/>
                <w:color w:val="auto"/>
              </w:rPr>
            </w:pPr>
            <w:r>
              <w:rPr>
                <w:rFonts w:ascii="Arial" w:cs="Arial" w:eastAsia="Arial" w:hAnsi="Arial"/>
                <w:sz w:val="14"/>
                <w:szCs w:val="14"/>
                <w:b w:val="1"/>
                <w:bCs w:val="1"/>
                <w:color w:val="auto"/>
                <w:w w:val="97"/>
              </w:rPr>
              <w:t>Other Postretirement</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ind w:right="455"/>
              <w:spacing w:after="0"/>
              <w:rPr>
                <w:sz w:val="20"/>
                <w:szCs w:val="20"/>
                <w:color w:val="auto"/>
              </w:rPr>
            </w:pPr>
            <w:r>
              <w:rPr>
                <w:rFonts w:ascii="Arial" w:cs="Arial" w:eastAsia="Arial" w:hAnsi="Arial"/>
                <w:sz w:val="14"/>
                <w:szCs w:val="14"/>
                <w:b w:val="1"/>
                <w:bCs w:val="1"/>
                <w:color w:val="auto"/>
              </w:rPr>
              <w:t>Benefit Plan</w:t>
            </w:r>
          </w:p>
        </w:tc>
        <w:tc>
          <w:tcPr>
            <w:tcW w:w="0" w:type="dxa"/>
            <w:vAlign w:val="bottom"/>
          </w:tcPr>
          <w:p>
            <w:pPr>
              <w:spacing w:after="0"/>
              <w:rPr>
                <w:sz w:val="1"/>
                <w:szCs w:val="1"/>
                <w:color w:val="auto"/>
              </w:rPr>
            </w:pPr>
          </w:p>
        </w:tc>
      </w:tr>
      <w:tr>
        <w:trPr>
          <w:trHeight w:val="230"/>
        </w:trPr>
        <w:tc>
          <w:tcPr>
            <w:tcW w:w="1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6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r>
        <w:trPr>
          <w:trHeight w:val="229"/>
        </w:trPr>
        <w:tc>
          <w:tcPr>
            <w:tcW w:w="1100" w:type="dxa"/>
            <w:vAlign w:val="bottom"/>
          </w:tcPr>
          <w:p>
            <w:pPr>
              <w:ind w:left="20"/>
              <w:spacing w:after="0"/>
              <w:rPr>
                <w:sz w:val="20"/>
                <w:szCs w:val="20"/>
                <w:color w:val="auto"/>
              </w:rPr>
            </w:pPr>
            <w:r>
              <w:rPr>
                <w:rFonts w:ascii="Arial" w:cs="Arial" w:eastAsia="Arial" w:hAnsi="Arial"/>
                <w:sz w:val="18"/>
                <w:szCs w:val="18"/>
                <w:color w:val="auto"/>
              </w:rPr>
              <w:t>2024</w:t>
            </w:r>
          </w:p>
        </w:tc>
        <w:tc>
          <w:tcPr>
            <w:tcW w:w="6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16,535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29"/>
        </w:trPr>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30"/>
        </w:trPr>
        <w:tc>
          <w:tcPr>
            <w:tcW w:w="1100" w:type="dxa"/>
            <w:vAlign w:val="bottom"/>
          </w:tcPr>
          <w:p>
            <w:pPr>
              <w:ind w:left="20"/>
              <w:spacing w:after="0"/>
              <w:rPr>
                <w:sz w:val="20"/>
                <w:szCs w:val="20"/>
                <w:color w:val="auto"/>
              </w:rPr>
            </w:pPr>
            <w:r>
              <w:rPr>
                <w:rFonts w:ascii="Arial" w:cs="Arial" w:eastAsia="Arial" w:hAnsi="Arial"/>
                <w:sz w:val="18"/>
                <w:szCs w:val="18"/>
                <w:color w:val="auto"/>
              </w:rPr>
              <w:t>2026</w:t>
            </w:r>
          </w:p>
        </w:tc>
        <w:tc>
          <w:tcPr>
            <w:tcW w:w="6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21,301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29"/>
        </w:trPr>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6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30"/>
        </w:trPr>
        <w:tc>
          <w:tcPr>
            <w:tcW w:w="1100" w:type="dxa"/>
            <w:vAlign w:val="bottom"/>
          </w:tcPr>
          <w:p>
            <w:pPr>
              <w:ind w:left="20"/>
              <w:spacing w:after="0"/>
              <w:rPr>
                <w:sz w:val="20"/>
                <w:szCs w:val="20"/>
                <w:color w:val="auto"/>
              </w:rPr>
            </w:pPr>
            <w:r>
              <w:rPr>
                <w:rFonts w:ascii="Arial" w:cs="Arial" w:eastAsia="Arial" w:hAnsi="Arial"/>
                <w:sz w:val="18"/>
                <w:szCs w:val="18"/>
                <w:color w:val="auto"/>
              </w:rPr>
              <w:t>2028 - 2032</w:t>
            </w:r>
          </w:p>
        </w:tc>
        <w:tc>
          <w:tcPr>
            <w:tcW w:w="6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97,964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9,215</w:t>
            </w:r>
          </w:p>
        </w:tc>
        <w:tc>
          <w:tcPr>
            <w:tcW w:w="0" w:type="dxa"/>
            <w:vAlign w:val="bottom"/>
          </w:tcPr>
          <w:p>
            <w:pPr>
              <w:spacing w:after="0"/>
              <w:rPr>
                <w:sz w:val="1"/>
                <w:szCs w:val="1"/>
                <w:color w:val="auto"/>
              </w:rPr>
            </w:pPr>
          </w:p>
        </w:tc>
      </w:tr>
      <w:tr>
        <w:trPr>
          <w:trHeight w:val="539"/>
        </w:trPr>
        <w:tc>
          <w:tcPr>
            <w:tcW w:w="1100" w:type="dxa"/>
            <w:vAlign w:val="bottom"/>
          </w:tcPr>
          <w:p>
            <w:pPr>
              <w:spacing w:after="0"/>
              <w:rPr>
                <w:sz w:val="20"/>
                <w:szCs w:val="20"/>
                <w:color w:val="auto"/>
              </w:rPr>
            </w:pPr>
            <w:r>
              <w:rPr>
                <w:rFonts w:ascii="Arial" w:cs="Arial" w:eastAsia="Arial" w:hAnsi="Arial"/>
                <w:sz w:val="18"/>
                <w:szCs w:val="18"/>
                <w:b w:val="1"/>
                <w:bCs w:val="1"/>
                <w:color w:val="auto"/>
              </w:rPr>
              <w:t>Note 12.</w:t>
            </w:r>
          </w:p>
        </w:tc>
        <w:tc>
          <w:tcPr>
            <w:tcW w:w="6920" w:type="dxa"/>
            <w:vAlign w:val="bottom"/>
            <w:gridSpan w:val="2"/>
          </w:tcPr>
          <w:p>
            <w:pPr>
              <w:jc w:val="right"/>
              <w:ind w:right="5650"/>
              <w:spacing w:after="0"/>
              <w:rPr>
                <w:sz w:val="20"/>
                <w:szCs w:val="20"/>
                <w:color w:val="auto"/>
              </w:rPr>
            </w:pPr>
            <w:r>
              <w:rPr>
                <w:rFonts w:ascii="Arial" w:cs="Arial" w:eastAsia="Arial" w:hAnsi="Arial"/>
                <w:sz w:val="18"/>
                <w:szCs w:val="18"/>
                <w:b w:val="1"/>
                <w:bCs w:val="1"/>
                <w:color w:val="auto"/>
              </w:rPr>
              <w:t>Equity Plans</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SJW Group has a Long-Term Stock Incentive Plan (the “Plan”), which has 1,800,000 shares of common stock reserved for issuance. The Plan was initially adopted by the Board of Directors on March 6, 2002. On January 30, 2013, the amended and restated Plan was adopted by the Board and became effective on April 24, 2013. The Plan was subsequently amended and restated by the Board on July 29, 2015, and thereafter amended on November 15, 2016, October 28, 2020 and January 28, 2021. SJW Group also maintains stock plans in connection with the merger with CTWS which are no longer granting new awards under those plans.</w:t>
      </w:r>
    </w:p>
    <w:p>
      <w:pPr>
        <w:spacing w:after="0" w:line="80"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The Plan allows SJW Group to provide employees, non-employee Board members or the board of directors of any parent or subsidiary, consultants, and other independent advisors who provide services to the Company or any parent or subsidiary the opportunity to acquire an equity interest in SJW Group.</w:t>
      </w:r>
    </w:p>
    <w:p>
      <w:pPr>
        <w:spacing w:after="0" w:line="1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 participant in the Plan generally may not receive Plan awards covering an aggregate of more than 600,000 shares of common stock in any calendar year. Additionally, awards granted under the Plan may be conditioned upon the attainment of specified Company performance goals. The types of awards included in the Plan are restricted stock awards, restricted stock units, performance shares, or other share-based awards. In addition, shares are issued to employees under the Employee Stock Purchase Plan (“ESPP”) that was approved by SJW Group stockholders.</w:t>
      </w:r>
    </w:p>
    <w:p>
      <w:pPr>
        <w:spacing w:after="0" w:line="6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of December 31, 2022, 2021 and 2020, 1,013,782, 946,086 and 880,495 shares have been issued pursuant to the Plan, and 162,502, 168,721 and 178,106 shares are issuable upon the vesting of outstanding restricted stock units, performance-based stock units, and deferred restricted stock units for the years ended 2022, 2021 and 2020, respectively. The remaining shares available for issuance under the Plan are 623,716 as of December 31, 2022. The compensation costs charged to income is recognized on a straight-line basis over the requisite service period.</w:t>
      </w:r>
    </w:p>
    <w:p>
      <w:pPr>
        <w:spacing w:after="0" w:line="6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 summary of compensation costs charged to income and proceeds from share based compensation, that are recorded to additional paid-in capital and common stock, by award type, are presented below for the years ended December 31:</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520" w:type="dxa"/>
            <w:vAlign w:val="bottom"/>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520" w:type="dxa"/>
            <w:vAlign w:val="bottom"/>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46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costs charged to income:</w:t>
            </w:r>
          </w:p>
        </w:tc>
        <w:tc>
          <w:tcPr>
            <w:tcW w:w="1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ESPP</w:t>
            </w:r>
          </w:p>
        </w:tc>
        <w:tc>
          <w:tcPr>
            <w:tcW w:w="23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stock and deferred restricted stock</w:t>
            </w:r>
          </w:p>
        </w:tc>
        <w:tc>
          <w:tcPr>
            <w:tcW w:w="19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4,422</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Arial" w:cs="Arial" w:eastAsia="Arial" w:hAnsi="Arial"/>
                <w:sz w:val="18"/>
                <w:szCs w:val="18"/>
                <w:color w:val="auto"/>
              </w:rPr>
              <w:t>Total compensation costs charged to income</w:t>
            </w:r>
          </w:p>
        </w:tc>
        <w:tc>
          <w:tcPr>
            <w:tcW w:w="19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4,791</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4,246</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ESPP proceeds</w:t>
            </w:r>
          </w:p>
        </w:tc>
        <w:tc>
          <w:tcPr>
            <w:tcW w:w="19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CCEEFF"/>
            </w:tcBorders>
            <w:vMerge w:val="restart"/>
          </w:tcPr>
          <w:p>
            <w:pPr>
              <w:jc w:val="right"/>
              <w:ind w:right="590"/>
              <w:spacing w:after="0"/>
              <w:rPr>
                <w:sz w:val="20"/>
                <w:szCs w:val="20"/>
                <w:color w:val="auto"/>
              </w:rPr>
            </w:pPr>
            <w:r>
              <w:rPr>
                <w:rFonts w:ascii="Arial" w:cs="Arial" w:eastAsia="Arial" w:hAnsi="Arial"/>
                <w:sz w:val="18"/>
                <w:szCs w:val="18"/>
                <w:color w:val="auto"/>
              </w:rPr>
              <w:t>74</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446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4" w:name="page75"/>
    <w:bookmarkEnd w:id="74"/>
    <w:p>
      <w:pPr>
        <w:ind w:left="580"/>
        <w:spacing w:after="0"/>
        <w:rPr>
          <w:sz w:val="20"/>
          <w:szCs w:val="20"/>
          <w:color w:val="auto"/>
        </w:rPr>
      </w:pPr>
      <w:r>
        <w:rPr>
          <w:rFonts w:ascii="Arial" w:cs="Arial" w:eastAsia="Arial" w:hAnsi="Arial"/>
          <w:sz w:val="18"/>
          <w:szCs w:val="18"/>
          <w:b w:val="1"/>
          <w:bCs w:val="1"/>
          <w:color w:val="auto"/>
        </w:rPr>
        <w:t>Restricted Stock and Deferred Restricted Stock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 summary of SJW Group’s restricted and deferred restricted stock awards under the Plan as of December 31, 2022, and changes during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are presented below: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ind w:right="376"/>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8060" w:type="dxa"/>
            <w:vAlign w:val="bottom"/>
          </w:tcPr>
          <w:p>
            <w:pPr>
              <w:spacing w:after="0"/>
              <w:rPr>
                <w:sz w:val="12"/>
                <w:szCs w:val="12"/>
                <w:color w:val="auto"/>
              </w:rPr>
            </w:pPr>
          </w:p>
        </w:tc>
        <w:tc>
          <w:tcPr>
            <w:tcW w:w="152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right"/>
              <w:ind w:right="196"/>
              <w:spacing w:after="0" w:line="149" w:lineRule="exact"/>
              <w:rPr>
                <w:sz w:val="20"/>
                <w:szCs w:val="20"/>
                <w:color w:val="auto"/>
              </w:rPr>
            </w:pPr>
            <w:r>
              <w:rPr>
                <w:rFonts w:ascii="Arial" w:cs="Arial" w:eastAsia="Arial" w:hAnsi="Arial"/>
                <w:sz w:val="14"/>
                <w:szCs w:val="14"/>
                <w:b w:val="1"/>
                <w:bCs w:val="1"/>
                <w:color w:val="auto"/>
              </w:rPr>
              <w:t>Average Grant-</w:t>
            </w:r>
          </w:p>
        </w:tc>
        <w:tc>
          <w:tcPr>
            <w:tcW w:w="0" w:type="dxa"/>
            <w:vAlign w:val="bottom"/>
          </w:tcPr>
          <w:p>
            <w:pPr>
              <w:spacing w:after="0"/>
              <w:rPr>
                <w:sz w:val="1"/>
                <w:szCs w:val="1"/>
                <w:color w:val="auto"/>
              </w:rPr>
            </w:pPr>
          </w:p>
        </w:tc>
      </w:tr>
      <w:tr>
        <w:trPr>
          <w:trHeight w:val="192"/>
        </w:trPr>
        <w:tc>
          <w:tcPr>
            <w:tcW w:w="806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January 1, 2022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w:t>
            </w:r>
          </w:p>
        </w:tc>
        <w:tc>
          <w:tcPr>
            <w:tcW w:w="0" w:type="dxa"/>
            <w:vAlign w:val="bottom"/>
          </w:tcPr>
          <w:p>
            <w:pPr>
              <w:spacing w:after="0"/>
              <w:rPr>
                <w:sz w:val="1"/>
                <w:szCs w:val="1"/>
                <w:color w:val="auto"/>
              </w:rPr>
            </w:pPr>
          </w:p>
        </w:tc>
      </w:tr>
      <w:tr>
        <w:trPr>
          <w:trHeight w:val="229"/>
        </w:trPr>
        <w:tc>
          <w:tcPr>
            <w:tcW w:w="80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86,149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67.85</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(67,696)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54.19</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(24,672)</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67.79</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162,502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Shares vested as of December 31, 2022</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37,043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53.82</w:t>
            </w:r>
          </w:p>
        </w:tc>
        <w:tc>
          <w:tcPr>
            <w:tcW w:w="0" w:type="dxa"/>
            <w:vAlign w:val="bottom"/>
          </w:tcPr>
          <w:p>
            <w:pPr>
              <w:spacing w:after="0"/>
              <w:rPr>
                <w:sz w:val="1"/>
                <w:szCs w:val="1"/>
                <w:color w:val="auto"/>
              </w:rPr>
            </w:pPr>
          </w:p>
        </w:tc>
      </w:tr>
      <w:tr>
        <w:trPr>
          <w:trHeight w:val="21"/>
        </w:trPr>
        <w:tc>
          <w:tcPr>
            <w:tcW w:w="80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summary of the status of SJW Group’s nonvested restricted and deferred restricted stock awards under the Plan as of December 31, 2022, and changes during the year ended December 31, 2022, are presented below:</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Weighted- Average</w:t>
            </w:r>
          </w:p>
        </w:tc>
        <w:tc>
          <w:tcPr>
            <w:tcW w:w="0" w:type="dxa"/>
            <w:vAlign w:val="bottom"/>
          </w:tcPr>
          <w:p>
            <w:pPr>
              <w:spacing w:after="0"/>
              <w:rPr>
                <w:sz w:val="1"/>
                <w:szCs w:val="1"/>
                <w:color w:val="auto"/>
              </w:rPr>
            </w:pPr>
          </w:p>
        </w:tc>
      </w:tr>
      <w:tr>
        <w:trPr>
          <w:trHeight w:val="139"/>
        </w:trPr>
        <w:tc>
          <w:tcPr>
            <w:tcW w:w="8060" w:type="dxa"/>
            <w:vAlign w:val="bottom"/>
          </w:tcPr>
          <w:p>
            <w:pPr>
              <w:spacing w:after="0"/>
              <w:rPr>
                <w:sz w:val="12"/>
                <w:szCs w:val="12"/>
                <w:color w:val="auto"/>
              </w:rPr>
            </w:pPr>
          </w:p>
        </w:tc>
        <w:tc>
          <w:tcPr>
            <w:tcW w:w="152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center"/>
              <w:ind w:right="57"/>
              <w:spacing w:after="0" w:line="139" w:lineRule="exact"/>
              <w:rPr>
                <w:sz w:val="20"/>
                <w:szCs w:val="20"/>
                <w:color w:val="auto"/>
              </w:rPr>
            </w:pPr>
            <w:r>
              <w:rPr>
                <w:rFonts w:ascii="Arial" w:cs="Arial" w:eastAsia="Arial" w:hAnsi="Arial"/>
                <w:sz w:val="14"/>
                <w:szCs w:val="14"/>
                <w:b w:val="1"/>
                <w:bCs w:val="1"/>
                <w:color w:val="auto"/>
                <w:w w:val="99"/>
              </w:rPr>
              <w:t>Grant-</w:t>
            </w:r>
          </w:p>
        </w:tc>
        <w:tc>
          <w:tcPr>
            <w:tcW w:w="0" w:type="dxa"/>
            <w:vAlign w:val="bottom"/>
          </w:tcPr>
          <w:p>
            <w:pPr>
              <w:spacing w:after="0"/>
              <w:rPr>
                <w:sz w:val="1"/>
                <w:szCs w:val="1"/>
                <w:color w:val="auto"/>
              </w:rPr>
            </w:pPr>
          </w:p>
        </w:tc>
      </w:tr>
      <w:tr>
        <w:trPr>
          <w:trHeight w:val="186"/>
        </w:trPr>
        <w:tc>
          <w:tcPr>
            <w:tcW w:w="806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26"/>
        </w:trPr>
        <w:tc>
          <w:tcPr>
            <w:tcW w:w="806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as of January 1, 2022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66.43</w:t>
            </w:r>
          </w:p>
        </w:tc>
        <w:tc>
          <w:tcPr>
            <w:tcW w:w="0" w:type="dxa"/>
            <w:vAlign w:val="bottom"/>
          </w:tcPr>
          <w:p>
            <w:pPr>
              <w:spacing w:after="0"/>
              <w:rPr>
                <w:sz w:val="1"/>
                <w:szCs w:val="1"/>
                <w:color w:val="auto"/>
              </w:rPr>
            </w:pPr>
          </w:p>
        </w:tc>
      </w:tr>
      <w:tr>
        <w:trPr>
          <w:trHeight w:val="229"/>
        </w:trPr>
        <w:tc>
          <w:tcPr>
            <w:tcW w:w="80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86,149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67.85</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(63,454)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67.53</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(20,646)</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67.26</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as of December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125,459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66.71</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Total fair value of restricted stock awards for all plans that were vested for the years ended 2022, 2021 and 2020 were $4,369, $3,332 and $3,333, respectively. As of December 31, 2022, the total unrecognized compensation costs related to restricted and deferred restricted stock plans amounted to $4,178. This cost is expected to be recognized over a weighted-average period of 1.76 years.</w:t>
      </w:r>
    </w:p>
    <w:p>
      <w:pPr>
        <w:spacing w:after="0" w:line="76"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For the years ended December 31, 2022, 2021 and 2020, 11,551, 7,327 and 5,327, respectively, of performance-based and market-based restricted stock awards were issued upon the attainment of certain performance metrics and service-based vesting under the Plan. Based upon actual attainment relative to the target performance metric, the number of shares issuable can range between 0% to 150% of the target number of shares for performance-based restricted stock awards, or between 0% and 200% of the target number of shares for market-based restricted stock awards. As of December 31, 2022, 22,421 performance-based and market-based restricted stock awards vested and 58,346 remained outstanding.</w:t>
      </w:r>
    </w:p>
    <w:p>
      <w:pPr>
        <w:spacing w:after="0" w:line="10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ESPP allows eligible employees to purchase shares of SJW Group’s common stock at 85% of the fair value of shares on the purchase date. Under the ESPP, employees can designate up to a maximum of 10% of their base compensation for the purchase of shares of common stock, subject to certain restrictions. A total of 400,000 shares of SJW Group’s common stock have been reserved for issuance under the ESPP. The remaining shares available for issuance under the ESPP are 148,924 as of December 31, 2022.</w:t>
      </w:r>
    </w:p>
    <w:p>
      <w:pPr>
        <w:spacing w:after="0" w:line="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December 31, 2022, the ESPP had sixteen purchase intervals since its inception. For the year ended December 31, 2022, 2021 and 2020, a total of 36,585, 35,304 and 31,750 shares, respectively, were issued under the ESPP. The plan has no look-back provisions.</w:t>
      </w:r>
    </w:p>
    <w:p>
      <w:pPr>
        <w:spacing w:after="0" w:line="6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For the years ended December 31, 2022, 2021 and 2020, SJW Group’s recorded expenses were $377, $361 and $342, respectively, related to the ESPP. The total unrecognized compensation costs related to the semi-annual offering period that ended January 31, 2023, for the ESPP is approximately $147. This cost is expected to be recognized during the first quarter of 2023.</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color w:val="auto"/>
        </w:rPr>
        <w:t>Segment and Non-Tariffed Businesses Reporting</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SJW Group is a holding company with five subsidiaries: (i) SJWC, a water utility operation with both regulated and non-tariffed businesses, (ii) SJWTX which is doing business as Canyon Lake Water Service Company, a regulated water utility located in Canyon Lake, Texas, and its consolidated non-tariffed variable interest entity, Acequia, (iii) SJW Land 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75" w:name="page76"/>
    <w:bookmarkEnd w:id="75"/>
    <w:p>
      <w:pPr>
        <w:spacing w:after="0" w:line="273" w:lineRule="auto"/>
        <w:rPr>
          <w:sz w:val="20"/>
          <w:szCs w:val="20"/>
          <w:color w:val="auto"/>
        </w:rPr>
      </w:pPr>
      <w:r>
        <w:rPr>
          <w:rFonts w:ascii="Arial" w:cs="Arial" w:eastAsia="Arial" w:hAnsi="Arial"/>
          <w:sz w:val="17"/>
          <w:szCs w:val="17"/>
          <w:color w:val="auto"/>
        </w:rPr>
        <w:t>and (iv) SJWNE LLC a holding company for CTWS and its subsidiaries, Connecticut Water, Maine Water, NEWUS and Chester Realty, Inc., and (v) SJWTX Holdings, Inc. which was formed for the purpose of effecting a corporate reorganization of the water utility operations in Texas. In accordance with FASB ASC Topic 280—“Segment Reporting,” SJW Group has determined that it has two reportable business segments. The first segment is that of providing water utility and utility-related services to its customers through SJW Group’s subsidiaries, SJWC, Connecticut Water, SJWTX, Maine Water and NEWUS, together referred to as “Water Utility Services.” The second segment is property management and investment activity conducted by SJW Land Company and Chester Realty, Inc., referred to as “Real Estate Services.”</w:t>
      </w:r>
    </w:p>
    <w:p>
      <w:pPr>
        <w:spacing w:after="0" w:line="70"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SJW Group’s reportable segments have been determined based on information used by the chief operating decision maker. SJW Group’s chief operating decision maker includes the Chairman, President and Chief Executive Officer, and his executive staff. The executive staff reviews financial information presented on a consolidated basis that is accompanied by disaggregated information about operating revenue, net income and total assets, by subsidiary.</w:t>
      </w:r>
    </w:p>
    <w:p>
      <w:pPr>
        <w:spacing w:after="0" w:line="41"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The following tables set forth information relating to SJW Group’s reportable segments and distribution of regulated and non-tariffed business activities within the reportable segments. Certain allocated assets, such as goodwill, revenue and expenses have been included in the reportable segment amounts. Other business activity of SJW Group not included in the reportable segments is included in the “All Other” category.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6"/>
          </w:tcPr>
          <w:p>
            <w:pPr>
              <w:ind w:left="460"/>
              <w:spacing w:after="0"/>
              <w:rPr>
                <w:sz w:val="20"/>
                <w:szCs w:val="20"/>
                <w:color w:val="auto"/>
              </w:rPr>
            </w:pPr>
            <w:r>
              <w:rPr>
                <w:rFonts w:ascii="Arial" w:cs="Arial" w:eastAsia="Arial" w:hAnsi="Arial"/>
                <w:sz w:val="16"/>
                <w:szCs w:val="16"/>
                <w:b w:val="1"/>
                <w:bCs w:val="1"/>
                <w:color w:val="auto"/>
              </w:rPr>
              <w:t>For the year ended December 31, 2022</w:t>
            </w: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94"/>
              </w:rPr>
              <w:t>Real</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4"/>
            <w:vMerge w:val="restart"/>
          </w:tcPr>
          <w:p>
            <w:pPr>
              <w:ind w:left="340"/>
              <w:spacing w:after="0"/>
              <w:rPr>
                <w:sz w:val="20"/>
                <w:szCs w:val="20"/>
                <w:color w:val="auto"/>
              </w:rPr>
            </w:pPr>
            <w:r>
              <w:rPr>
                <w:rFonts w:ascii="Arial" w:cs="Arial" w:eastAsia="Arial" w:hAnsi="Arial"/>
                <w:sz w:val="16"/>
                <w:szCs w:val="16"/>
                <w:b w:val="1"/>
                <w:bCs w:val="1"/>
                <w:color w:val="auto"/>
              </w:rPr>
              <w:t>Water Utility Services</w:t>
            </w:r>
          </w:p>
        </w:tc>
        <w:tc>
          <w:tcPr>
            <w:tcW w:w="120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Estate</w:t>
            </w: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6"/>
              </w:rPr>
              <w:t>All Other (1)</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6"/>
              </w:rPr>
              <w:t>SJW Group</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vMerge w:val="continue"/>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5"/>
              </w:rPr>
              <w:t>Services</w:t>
            </w:r>
          </w:p>
        </w:tc>
        <w:tc>
          <w:tcPr>
            <w:tcW w:w="116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b w:val="1"/>
                <w:bCs w:val="1"/>
                <w:color w:val="auto"/>
                <w:w w:val="92"/>
              </w:rPr>
              <w:t>Regulated (2)</w:t>
            </w:r>
          </w:p>
        </w:tc>
        <w:tc>
          <w:tcPr>
            <w:tcW w:w="100" w:type="dxa"/>
            <w:vAlign w:val="bottom"/>
            <w:tcBorders>
              <w:top w:val="single" w:sz="8" w:color="auto"/>
            </w:tcBorders>
            <w:vMerge w:val="restart"/>
          </w:tcPr>
          <w:p>
            <w:pPr>
              <w:spacing w:after="0"/>
              <w:rPr>
                <w:sz w:val="13"/>
                <w:szCs w:val="13"/>
                <w:color w:val="auto"/>
              </w:rPr>
            </w:pPr>
          </w:p>
        </w:tc>
        <w:tc>
          <w:tcPr>
            <w:tcW w:w="110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3"/>
              </w:rPr>
              <w:t>Non-</w:t>
            </w:r>
          </w:p>
        </w:tc>
        <w:tc>
          <w:tcPr>
            <w:tcW w:w="120" w:type="dxa"/>
            <w:vAlign w:val="bottom"/>
          </w:tcPr>
          <w:p>
            <w:pPr>
              <w:spacing w:after="0"/>
              <w:rPr>
                <w:sz w:val="13"/>
                <w:szCs w:val="13"/>
                <w:color w:val="auto"/>
              </w:rPr>
            </w:pPr>
          </w:p>
        </w:tc>
        <w:tc>
          <w:tcPr>
            <w:tcW w:w="108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3"/>
              </w:rPr>
              <w:t>Non-</w:t>
            </w:r>
          </w:p>
        </w:tc>
        <w:tc>
          <w:tcPr>
            <w:tcW w:w="120" w:type="dxa"/>
            <w:vAlign w:val="bottom"/>
          </w:tcPr>
          <w:p>
            <w:pPr>
              <w:spacing w:after="0"/>
              <w:rPr>
                <w:sz w:val="13"/>
                <w:szCs w:val="13"/>
                <w:color w:val="auto"/>
              </w:rPr>
            </w:pPr>
          </w:p>
        </w:tc>
        <w:tc>
          <w:tcPr>
            <w:tcW w:w="104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8"/>
              </w:rPr>
              <w:t>Non-</w:t>
            </w:r>
          </w:p>
        </w:tc>
        <w:tc>
          <w:tcPr>
            <w:tcW w:w="120" w:type="dxa"/>
            <w:vAlign w:val="bottom"/>
          </w:tcPr>
          <w:p>
            <w:pPr>
              <w:spacing w:after="0"/>
              <w:rPr>
                <w:sz w:val="13"/>
                <w:szCs w:val="13"/>
                <w:color w:val="auto"/>
              </w:rPr>
            </w:pPr>
          </w:p>
        </w:tc>
        <w:tc>
          <w:tcPr>
            <w:tcW w:w="1220" w:type="dxa"/>
            <w:vAlign w:val="bottom"/>
            <w:tcBorders>
              <w:top w:val="single" w:sz="8" w:color="auto"/>
            </w:tcBorders>
            <w:vMerge w:val="restart"/>
          </w:tcPr>
          <w:p>
            <w:pPr>
              <w:jc w:val="right"/>
              <w:ind w:right="179"/>
              <w:spacing w:after="0"/>
              <w:rPr>
                <w:sz w:val="20"/>
                <w:szCs w:val="20"/>
                <w:color w:val="auto"/>
              </w:rPr>
            </w:pPr>
            <w:r>
              <w:rPr>
                <w:rFonts w:ascii="Arial" w:cs="Arial" w:eastAsia="Arial" w:hAnsi="Arial"/>
                <w:sz w:val="16"/>
                <w:szCs w:val="16"/>
                <w:b w:val="1"/>
                <w:bCs w:val="1"/>
                <w:color w:val="auto"/>
              </w:rPr>
              <w:t>Regulated</w:t>
            </w:r>
          </w:p>
        </w:tc>
        <w:tc>
          <w:tcPr>
            <w:tcW w:w="100" w:type="dxa"/>
            <w:vAlign w:val="bottom"/>
            <w:tcBorders>
              <w:top w:val="single" w:sz="8" w:color="auto"/>
            </w:tcBorders>
            <w:vMerge w:val="restart"/>
          </w:tcPr>
          <w:p>
            <w:pPr>
              <w:spacing w:after="0"/>
              <w:rPr>
                <w:sz w:val="13"/>
                <w:szCs w:val="13"/>
                <w:color w:val="auto"/>
              </w:rPr>
            </w:pPr>
          </w:p>
        </w:tc>
        <w:tc>
          <w:tcPr>
            <w:tcW w:w="1220" w:type="dxa"/>
            <w:vAlign w:val="bottom"/>
            <w:tcBorders>
              <w:top w:val="single" w:sz="8" w:color="auto"/>
            </w:tcBorders>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93"/>
              </w:rPr>
              <w:t>Non-</w:t>
            </w:r>
          </w:p>
        </w:tc>
        <w:tc>
          <w:tcPr>
            <w:tcW w:w="1220" w:type="dxa"/>
            <w:vAlign w:val="bottom"/>
            <w:tcBorders>
              <w:top w:val="single" w:sz="8" w:color="auto"/>
            </w:tcBorders>
            <w:vMerge w:val="restart"/>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5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tariffed</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tariffed</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tariffed</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tariffed</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603,000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12,093</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603,000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17,698</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620,698</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Arial" w:cs="Arial" w:eastAsia="Arial" w:hAnsi="Arial"/>
                <w:sz w:val="16"/>
                <w:szCs w:val="16"/>
                <w:color w:val="auto"/>
              </w:rPr>
              <w:t>Operating expense</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473,141</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9,538</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3,719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3,322</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473,141</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16,579</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489,720</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129,859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(3,322)</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129,859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130,978</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86,500</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1,060</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1,442</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(15,174)</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86,500</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(12,672)</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73,828</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99,412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99,412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5,005</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104,417</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Arial" w:cs="Arial" w:eastAsia="Arial" w:hAnsi="Arial"/>
                <w:sz w:val="16"/>
                <w:szCs w:val="16"/>
                <w:color w:val="auto"/>
                <w:w w:val="92"/>
              </w:rPr>
              <w:t>Senior note and other interest expense</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37,958</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20,104</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37,958</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20,104</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58,062</w:t>
            </w:r>
          </w:p>
        </w:tc>
        <w:tc>
          <w:tcPr>
            <w:tcW w:w="0" w:type="dxa"/>
            <w:vAlign w:val="bottom"/>
          </w:tcPr>
          <w:p>
            <w:pPr>
              <w:spacing w:after="0"/>
              <w:rPr>
                <w:sz w:val="1"/>
                <w:szCs w:val="1"/>
                <w:color w:val="auto"/>
              </w:rPr>
            </w:pPr>
          </w:p>
        </w:tc>
      </w:tr>
      <w:tr>
        <w:trPr>
          <w:trHeight w:val="169"/>
        </w:trPr>
        <w:tc>
          <w:tcPr>
            <w:tcW w:w="25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Income tax expense (benefit) in net</w:t>
            </w: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12,756</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(5,421)</w:t>
            </w: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12,756</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(4,260)</w:t>
            </w: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8,496</w:t>
            </w: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w:t>
            </w: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tcPr>
          <w:p>
            <w:pPr>
              <w:ind w:left="20"/>
              <w:spacing w:after="0"/>
              <w:rPr>
                <w:sz w:val="20"/>
                <w:szCs w:val="20"/>
                <w:color w:val="auto"/>
              </w:rPr>
            </w:pPr>
            <w:r>
              <w:rPr>
                <w:rFonts w:ascii="Arial" w:cs="Arial" w:eastAsia="Arial" w:hAnsi="Arial"/>
                <w:sz w:val="16"/>
                <w:szCs w:val="16"/>
                <w:color w:val="auto"/>
              </w:rPr>
              <w:t>Assets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3,524,328</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4,832</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42,801</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60,663</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3,524,328</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108,296</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3,632,624</w:t>
            </w:r>
          </w:p>
        </w:tc>
        <w:tc>
          <w:tcPr>
            <w:tcW w:w="0" w:type="dxa"/>
            <w:vAlign w:val="bottom"/>
          </w:tcPr>
          <w:p>
            <w:pPr>
              <w:spacing w:after="0"/>
              <w:rPr>
                <w:sz w:val="1"/>
                <w:szCs w:val="1"/>
                <w:color w:val="auto"/>
              </w:rPr>
            </w:pPr>
          </w:p>
        </w:tc>
      </w:tr>
      <w:tr>
        <w:trPr>
          <w:trHeight w:val="435"/>
        </w:trPr>
        <w:tc>
          <w:tcPr>
            <w:tcW w:w="2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6"/>
          </w:tcPr>
          <w:p>
            <w:pPr>
              <w:ind w:left="460"/>
              <w:spacing w:after="0"/>
              <w:rPr>
                <w:sz w:val="20"/>
                <w:szCs w:val="20"/>
                <w:color w:val="auto"/>
              </w:rPr>
            </w:pPr>
            <w:r>
              <w:rPr>
                <w:rFonts w:ascii="Arial" w:cs="Arial" w:eastAsia="Arial" w:hAnsi="Arial"/>
                <w:sz w:val="16"/>
                <w:szCs w:val="16"/>
                <w:b w:val="1"/>
                <w:bCs w:val="1"/>
                <w:color w:val="auto"/>
              </w:rPr>
              <w:t>For the year ended December 31, 2021</w:t>
            </w: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94"/>
              </w:rPr>
              <w:t>Real</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4"/>
            <w:vMerge w:val="restart"/>
          </w:tcPr>
          <w:p>
            <w:pPr>
              <w:ind w:left="340"/>
              <w:spacing w:after="0"/>
              <w:rPr>
                <w:sz w:val="20"/>
                <w:szCs w:val="20"/>
                <w:color w:val="auto"/>
              </w:rPr>
            </w:pPr>
            <w:r>
              <w:rPr>
                <w:rFonts w:ascii="Arial" w:cs="Arial" w:eastAsia="Arial" w:hAnsi="Arial"/>
                <w:sz w:val="16"/>
                <w:szCs w:val="16"/>
                <w:b w:val="1"/>
                <w:bCs w:val="1"/>
                <w:color w:val="auto"/>
              </w:rPr>
              <w:t>Water Utility Services</w:t>
            </w:r>
          </w:p>
        </w:tc>
        <w:tc>
          <w:tcPr>
            <w:tcW w:w="120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Estate</w:t>
            </w: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6"/>
              </w:rPr>
              <w:t>All Other (1)</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6"/>
              </w:rPr>
              <w:t>SJW Group</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vMerge w:val="continue"/>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5"/>
              </w:rPr>
              <w:t>Services</w:t>
            </w:r>
          </w:p>
        </w:tc>
        <w:tc>
          <w:tcPr>
            <w:tcW w:w="116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ind w:right="179"/>
              <w:spacing w:after="0"/>
              <w:rPr>
                <w:sz w:val="20"/>
                <w:szCs w:val="20"/>
                <w:color w:val="auto"/>
              </w:rPr>
            </w:pPr>
            <w:r>
              <w:rPr>
                <w:rFonts w:ascii="Arial" w:cs="Arial" w:eastAsia="Arial" w:hAnsi="Arial"/>
                <w:sz w:val="16"/>
                <w:szCs w:val="16"/>
                <w:b w:val="1"/>
                <w:bCs w:val="1"/>
                <w:color w:val="auto"/>
              </w:rPr>
              <w:t>Regulated</w:t>
            </w:r>
          </w:p>
        </w:tc>
        <w:tc>
          <w:tcPr>
            <w:tcW w:w="100" w:type="dxa"/>
            <w:vAlign w:val="bottom"/>
            <w:tcBorders>
              <w:top w:val="single" w:sz="8" w:color="auto"/>
            </w:tcBorders>
            <w:vMerge w:val="restart"/>
          </w:tcPr>
          <w:p>
            <w:pPr>
              <w:spacing w:after="0"/>
              <w:rPr>
                <w:sz w:val="13"/>
                <w:szCs w:val="13"/>
                <w:color w:val="auto"/>
              </w:rPr>
            </w:pPr>
          </w:p>
        </w:tc>
        <w:tc>
          <w:tcPr>
            <w:tcW w:w="110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3"/>
              </w:rPr>
              <w:t>Non-</w:t>
            </w:r>
          </w:p>
        </w:tc>
        <w:tc>
          <w:tcPr>
            <w:tcW w:w="120" w:type="dxa"/>
            <w:vAlign w:val="bottom"/>
          </w:tcPr>
          <w:p>
            <w:pPr>
              <w:spacing w:after="0"/>
              <w:rPr>
                <w:sz w:val="13"/>
                <w:szCs w:val="13"/>
                <w:color w:val="auto"/>
              </w:rPr>
            </w:pPr>
          </w:p>
        </w:tc>
        <w:tc>
          <w:tcPr>
            <w:tcW w:w="108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3"/>
              </w:rPr>
              <w:t>Non-</w:t>
            </w:r>
          </w:p>
        </w:tc>
        <w:tc>
          <w:tcPr>
            <w:tcW w:w="120" w:type="dxa"/>
            <w:vAlign w:val="bottom"/>
          </w:tcPr>
          <w:p>
            <w:pPr>
              <w:spacing w:after="0"/>
              <w:rPr>
                <w:sz w:val="13"/>
                <w:szCs w:val="13"/>
                <w:color w:val="auto"/>
              </w:rPr>
            </w:pPr>
          </w:p>
        </w:tc>
        <w:tc>
          <w:tcPr>
            <w:tcW w:w="104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8"/>
              </w:rPr>
              <w:t>Non-</w:t>
            </w:r>
          </w:p>
        </w:tc>
        <w:tc>
          <w:tcPr>
            <w:tcW w:w="120" w:type="dxa"/>
            <w:vAlign w:val="bottom"/>
          </w:tcPr>
          <w:p>
            <w:pPr>
              <w:spacing w:after="0"/>
              <w:rPr>
                <w:sz w:val="13"/>
                <w:szCs w:val="13"/>
                <w:color w:val="auto"/>
              </w:rPr>
            </w:pPr>
          </w:p>
        </w:tc>
        <w:tc>
          <w:tcPr>
            <w:tcW w:w="1220" w:type="dxa"/>
            <w:vAlign w:val="bottom"/>
            <w:tcBorders>
              <w:top w:val="single" w:sz="8" w:color="auto"/>
            </w:tcBorders>
            <w:vMerge w:val="restart"/>
          </w:tcPr>
          <w:p>
            <w:pPr>
              <w:jc w:val="right"/>
              <w:ind w:right="179"/>
              <w:spacing w:after="0"/>
              <w:rPr>
                <w:sz w:val="20"/>
                <w:szCs w:val="20"/>
                <w:color w:val="auto"/>
              </w:rPr>
            </w:pPr>
            <w:r>
              <w:rPr>
                <w:rFonts w:ascii="Arial" w:cs="Arial" w:eastAsia="Arial" w:hAnsi="Arial"/>
                <w:sz w:val="16"/>
                <w:szCs w:val="16"/>
                <w:b w:val="1"/>
                <w:bCs w:val="1"/>
                <w:color w:val="auto"/>
              </w:rPr>
              <w:t>Regulated</w:t>
            </w:r>
          </w:p>
        </w:tc>
        <w:tc>
          <w:tcPr>
            <w:tcW w:w="100" w:type="dxa"/>
            <w:vAlign w:val="bottom"/>
            <w:tcBorders>
              <w:top w:val="single" w:sz="8" w:color="auto"/>
            </w:tcBorders>
            <w:vMerge w:val="restart"/>
          </w:tcPr>
          <w:p>
            <w:pPr>
              <w:spacing w:after="0"/>
              <w:rPr>
                <w:sz w:val="13"/>
                <w:szCs w:val="13"/>
                <w:color w:val="auto"/>
              </w:rPr>
            </w:pPr>
          </w:p>
        </w:tc>
        <w:tc>
          <w:tcPr>
            <w:tcW w:w="1220" w:type="dxa"/>
            <w:vAlign w:val="bottom"/>
            <w:tcBorders>
              <w:top w:val="single" w:sz="8" w:color="auto"/>
            </w:tcBorders>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93"/>
              </w:rPr>
              <w:t>Non-</w:t>
            </w:r>
          </w:p>
        </w:tc>
        <w:tc>
          <w:tcPr>
            <w:tcW w:w="1220" w:type="dxa"/>
            <w:vAlign w:val="bottom"/>
            <w:tcBorders>
              <w:top w:val="single" w:sz="8" w:color="auto"/>
            </w:tcBorders>
            <w:vMerge w:val="restart"/>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5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tariffed</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tariffed</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tariffed</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tariffed</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558,154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10,153</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558,154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15,532</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573,686</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Arial" w:cs="Arial" w:eastAsia="Arial" w:hAnsi="Arial"/>
                <w:sz w:val="16"/>
                <w:szCs w:val="16"/>
                <w:color w:val="auto"/>
              </w:rPr>
              <w:t>Operating expense</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449,401</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7,138</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3,585</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2,403</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449,401</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13,126</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462,527</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108,753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108,753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2,406</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111,159</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67,530</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3,309</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1,950</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(12,311)</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67,530</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(7,052)</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60,478</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91,896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91,896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2,504</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94,400</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Arial" w:cs="Arial" w:eastAsia="Arial" w:hAnsi="Arial"/>
                <w:sz w:val="16"/>
                <w:szCs w:val="16"/>
                <w:color w:val="auto"/>
                <w:w w:val="92"/>
              </w:rPr>
              <w:t>Senior note and other interest expense</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34,308</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20,031</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34,308</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20,031</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54,339</w:t>
            </w:r>
          </w:p>
        </w:tc>
        <w:tc>
          <w:tcPr>
            <w:tcW w:w="0" w:type="dxa"/>
            <w:vAlign w:val="bottom"/>
          </w:tcPr>
          <w:p>
            <w:pPr>
              <w:spacing w:after="0"/>
              <w:rPr>
                <w:sz w:val="1"/>
                <w:szCs w:val="1"/>
                <w:color w:val="auto"/>
              </w:rPr>
            </w:pPr>
          </w:p>
        </w:tc>
      </w:tr>
      <w:tr>
        <w:trPr>
          <w:trHeight w:val="169"/>
        </w:trPr>
        <w:tc>
          <w:tcPr>
            <w:tcW w:w="25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Income tax expense (benefit) in net</w:t>
            </w: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10,327</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(2,946)</w:t>
            </w: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10,327</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(1,958)</w:t>
            </w: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8,369</w:t>
            </w: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w:t>
            </w: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tcPr>
          <w:p>
            <w:pPr>
              <w:ind w:left="20"/>
              <w:spacing w:after="0"/>
              <w:rPr>
                <w:sz w:val="20"/>
                <w:szCs w:val="20"/>
                <w:color w:val="auto"/>
              </w:rPr>
            </w:pPr>
            <w:r>
              <w:rPr>
                <w:rFonts w:ascii="Arial" w:cs="Arial" w:eastAsia="Arial" w:hAnsi="Arial"/>
                <w:sz w:val="16"/>
                <w:szCs w:val="16"/>
                <w:color w:val="auto"/>
              </w:rPr>
              <w:t>Assets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3,380,637</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6,916</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43,383</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61,459</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3,380,637</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111,758</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3,492,395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13"/>
        </w:trPr>
        <w:tc>
          <w:tcPr>
            <w:tcW w:w="25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6"/>
          </w:tcPr>
          <w:p>
            <w:pPr>
              <w:ind w:left="460"/>
              <w:spacing w:after="0"/>
              <w:rPr>
                <w:sz w:val="20"/>
                <w:szCs w:val="20"/>
                <w:color w:val="auto"/>
              </w:rPr>
            </w:pPr>
            <w:r>
              <w:rPr>
                <w:rFonts w:ascii="Arial" w:cs="Arial" w:eastAsia="Arial" w:hAnsi="Arial"/>
                <w:sz w:val="16"/>
                <w:szCs w:val="16"/>
                <w:b w:val="1"/>
                <w:bCs w:val="1"/>
                <w:color w:val="auto"/>
              </w:rPr>
              <w:t>For the year ended December 31, 2020</w:t>
            </w: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94"/>
              </w:rPr>
              <w:t>Real</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4"/>
            <w:vMerge w:val="restart"/>
          </w:tcPr>
          <w:p>
            <w:pPr>
              <w:ind w:left="280"/>
              <w:spacing w:after="0"/>
              <w:rPr>
                <w:sz w:val="20"/>
                <w:szCs w:val="20"/>
                <w:color w:val="auto"/>
              </w:rPr>
            </w:pPr>
            <w:r>
              <w:rPr>
                <w:rFonts w:ascii="Arial" w:cs="Arial" w:eastAsia="Arial" w:hAnsi="Arial"/>
                <w:sz w:val="16"/>
                <w:szCs w:val="16"/>
                <w:b w:val="1"/>
                <w:bCs w:val="1"/>
                <w:color w:val="auto"/>
              </w:rPr>
              <w:t>Water Utility Services</w:t>
            </w:r>
          </w:p>
        </w:tc>
        <w:tc>
          <w:tcPr>
            <w:tcW w:w="120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Estate</w:t>
            </w: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6"/>
              </w:rPr>
              <w:t>All Other (1)</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6"/>
              </w:rPr>
              <w:t>SJW Group</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4"/>
            <w:vMerge w:val="continue"/>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5"/>
              </w:rPr>
              <w:t>Services</w:t>
            </w:r>
          </w:p>
        </w:tc>
        <w:tc>
          <w:tcPr>
            <w:tcW w:w="116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ind w:right="179"/>
              <w:spacing w:after="0"/>
              <w:rPr>
                <w:sz w:val="20"/>
                <w:szCs w:val="20"/>
                <w:color w:val="auto"/>
              </w:rPr>
            </w:pPr>
            <w:r>
              <w:rPr>
                <w:rFonts w:ascii="Arial" w:cs="Arial" w:eastAsia="Arial" w:hAnsi="Arial"/>
                <w:sz w:val="16"/>
                <w:szCs w:val="16"/>
                <w:b w:val="1"/>
                <w:bCs w:val="1"/>
                <w:color w:val="auto"/>
                <w:w w:val="98"/>
              </w:rPr>
              <w:t>Regulated</w:t>
            </w:r>
          </w:p>
        </w:tc>
        <w:tc>
          <w:tcPr>
            <w:tcW w:w="100" w:type="dxa"/>
            <w:vAlign w:val="bottom"/>
            <w:tcBorders>
              <w:top w:val="single" w:sz="8" w:color="auto"/>
            </w:tcBorders>
            <w:vMerge w:val="restart"/>
          </w:tcPr>
          <w:p>
            <w:pPr>
              <w:spacing w:after="0"/>
              <w:rPr>
                <w:sz w:val="13"/>
                <w:szCs w:val="13"/>
                <w:color w:val="auto"/>
              </w:rPr>
            </w:pPr>
          </w:p>
        </w:tc>
        <w:tc>
          <w:tcPr>
            <w:tcW w:w="1100" w:type="dxa"/>
            <w:vAlign w:val="bottom"/>
            <w:tcBorders>
              <w:top w:val="single" w:sz="8" w:color="auto"/>
            </w:tcBorders>
          </w:tcPr>
          <w:p>
            <w:pPr>
              <w:jc w:val="right"/>
              <w:ind w:right="299"/>
              <w:spacing w:after="0" w:line="158" w:lineRule="exact"/>
              <w:rPr>
                <w:sz w:val="20"/>
                <w:szCs w:val="20"/>
                <w:color w:val="auto"/>
              </w:rPr>
            </w:pPr>
            <w:r>
              <w:rPr>
                <w:rFonts w:ascii="Arial" w:cs="Arial" w:eastAsia="Arial" w:hAnsi="Arial"/>
                <w:sz w:val="16"/>
                <w:szCs w:val="16"/>
                <w:b w:val="1"/>
                <w:bCs w:val="1"/>
                <w:color w:val="auto"/>
              </w:rPr>
              <w:t>Non-</w:t>
            </w:r>
          </w:p>
        </w:tc>
        <w:tc>
          <w:tcPr>
            <w:tcW w:w="120" w:type="dxa"/>
            <w:vAlign w:val="bottom"/>
          </w:tcPr>
          <w:p>
            <w:pPr>
              <w:spacing w:after="0"/>
              <w:rPr>
                <w:sz w:val="13"/>
                <w:szCs w:val="13"/>
                <w:color w:val="auto"/>
              </w:rPr>
            </w:pPr>
          </w:p>
        </w:tc>
        <w:tc>
          <w:tcPr>
            <w:tcW w:w="108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3"/>
              </w:rPr>
              <w:t>Non-</w:t>
            </w:r>
          </w:p>
        </w:tc>
        <w:tc>
          <w:tcPr>
            <w:tcW w:w="120" w:type="dxa"/>
            <w:vAlign w:val="bottom"/>
          </w:tcPr>
          <w:p>
            <w:pPr>
              <w:spacing w:after="0"/>
              <w:rPr>
                <w:sz w:val="13"/>
                <w:szCs w:val="13"/>
                <w:color w:val="auto"/>
              </w:rPr>
            </w:pPr>
          </w:p>
        </w:tc>
        <w:tc>
          <w:tcPr>
            <w:tcW w:w="104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8"/>
              </w:rPr>
              <w:t>Non-</w:t>
            </w:r>
          </w:p>
        </w:tc>
        <w:tc>
          <w:tcPr>
            <w:tcW w:w="120" w:type="dxa"/>
            <w:vAlign w:val="bottom"/>
          </w:tcPr>
          <w:p>
            <w:pPr>
              <w:spacing w:after="0"/>
              <w:rPr>
                <w:sz w:val="13"/>
                <w:szCs w:val="13"/>
                <w:color w:val="auto"/>
              </w:rPr>
            </w:pPr>
          </w:p>
        </w:tc>
        <w:tc>
          <w:tcPr>
            <w:tcW w:w="1220" w:type="dxa"/>
            <w:vAlign w:val="bottom"/>
            <w:tcBorders>
              <w:top w:val="single" w:sz="8" w:color="auto"/>
            </w:tcBorders>
            <w:vMerge w:val="restart"/>
          </w:tcPr>
          <w:p>
            <w:pPr>
              <w:jc w:val="right"/>
              <w:ind w:right="179"/>
              <w:spacing w:after="0"/>
              <w:rPr>
                <w:sz w:val="20"/>
                <w:szCs w:val="20"/>
                <w:color w:val="auto"/>
              </w:rPr>
            </w:pPr>
            <w:r>
              <w:rPr>
                <w:rFonts w:ascii="Arial" w:cs="Arial" w:eastAsia="Arial" w:hAnsi="Arial"/>
                <w:sz w:val="16"/>
                <w:szCs w:val="16"/>
                <w:b w:val="1"/>
                <w:bCs w:val="1"/>
                <w:color w:val="auto"/>
              </w:rPr>
              <w:t>Regulated</w:t>
            </w:r>
          </w:p>
        </w:tc>
        <w:tc>
          <w:tcPr>
            <w:tcW w:w="100" w:type="dxa"/>
            <w:vAlign w:val="bottom"/>
            <w:tcBorders>
              <w:top w:val="single" w:sz="8" w:color="auto"/>
            </w:tcBorders>
            <w:vMerge w:val="restart"/>
          </w:tcPr>
          <w:p>
            <w:pPr>
              <w:spacing w:after="0"/>
              <w:rPr>
                <w:sz w:val="13"/>
                <w:szCs w:val="13"/>
                <w:color w:val="auto"/>
              </w:rPr>
            </w:pPr>
          </w:p>
        </w:tc>
        <w:tc>
          <w:tcPr>
            <w:tcW w:w="1220" w:type="dxa"/>
            <w:vAlign w:val="bottom"/>
            <w:tcBorders>
              <w:top w:val="single" w:sz="8" w:color="auto"/>
            </w:tcBorders>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93"/>
              </w:rPr>
              <w:t>Non-</w:t>
            </w:r>
          </w:p>
        </w:tc>
        <w:tc>
          <w:tcPr>
            <w:tcW w:w="1220" w:type="dxa"/>
            <w:vAlign w:val="bottom"/>
            <w:tcBorders>
              <w:top w:val="single" w:sz="8" w:color="auto"/>
            </w:tcBorders>
            <w:vMerge w:val="restart"/>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5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tariffed</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tariffed</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tariffed</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tariffed</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548,013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10,981</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548,013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16,513</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564,526</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Arial" w:cs="Arial" w:eastAsia="Arial" w:hAnsi="Arial"/>
                <w:sz w:val="16"/>
                <w:szCs w:val="16"/>
                <w:color w:val="auto"/>
              </w:rPr>
              <w:t>Operating expense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431,375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6,943</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3,510</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5,028</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431,375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15,481</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446,856</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116,638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(5,028)</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116,638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117,670</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69,245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4,099</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1,455</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(13,284)</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69,245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(7,730)</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61,515</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86,758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86,758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2,521</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89,279</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Arial" w:cs="Arial" w:eastAsia="Arial" w:hAnsi="Arial"/>
                <w:sz w:val="16"/>
                <w:szCs w:val="16"/>
                <w:color w:val="auto"/>
                <w:w w:val="92"/>
              </w:rPr>
              <w:t>Senior note and other interest expense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33,877</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20,378</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33,877</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20,378</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54,255</w:t>
            </w:r>
          </w:p>
        </w:tc>
        <w:tc>
          <w:tcPr>
            <w:tcW w:w="0" w:type="dxa"/>
            <w:vAlign w:val="bottom"/>
          </w:tcPr>
          <w:p>
            <w:pPr>
              <w:spacing w:after="0"/>
              <w:rPr>
                <w:sz w:val="1"/>
                <w:szCs w:val="1"/>
                <w:color w:val="auto"/>
              </w:rPr>
            </w:pPr>
          </w:p>
        </w:tc>
      </w:tr>
      <w:tr>
        <w:trPr>
          <w:trHeight w:val="169"/>
        </w:trPr>
        <w:tc>
          <w:tcPr>
            <w:tcW w:w="25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Income tax expense (benefit) in net</w:t>
            </w:r>
          </w:p>
        </w:tc>
        <w:tc>
          <w:tcPr>
            <w:tcW w:w="18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16,563</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(9,648)</w:t>
            </w: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16,563</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(8,183)</w:t>
            </w: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8,380</w:t>
            </w: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w:t>
            </w:r>
          </w:p>
        </w:tc>
        <w:tc>
          <w:tcPr>
            <w:tcW w:w="18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tcPr>
          <w:p>
            <w:pPr>
              <w:ind w:left="20"/>
              <w:spacing w:after="0"/>
              <w:rPr>
                <w:sz w:val="20"/>
                <w:szCs w:val="20"/>
                <w:color w:val="auto"/>
              </w:rPr>
            </w:pPr>
            <w:r>
              <w:rPr>
                <w:rFonts w:ascii="Arial" w:cs="Arial" w:eastAsia="Arial" w:hAnsi="Arial"/>
                <w:sz w:val="16"/>
                <w:szCs w:val="16"/>
                <w:color w:val="auto"/>
              </w:rPr>
              <w:t>Assets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3,197,626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8,869</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44,405</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60,565</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3,197,626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113,839</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3,311,465</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21"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“All Other” category for the years ended December 31, 2022, 2021 and 2020, includes the accounts of SJW Group, SJWNE LLC and CTWS, Inc. on a stand-alone basis.</w:t>
      </w:r>
    </w:p>
    <w:p>
      <w:pPr>
        <w:spacing w:after="0" w:line="14" w:lineRule="exact"/>
        <w:rPr>
          <w:rFonts w:ascii="Arial" w:cs="Arial" w:eastAsia="Arial" w:hAnsi="Arial"/>
          <w:sz w:val="14"/>
          <w:szCs w:val="14"/>
          <w:color w:val="auto"/>
        </w:rPr>
      </w:pPr>
    </w:p>
    <w:p>
      <w:pPr>
        <w:ind w:left="660" w:right="260" w:hanging="652"/>
        <w:spacing w:after="0" w:line="283" w:lineRule="auto"/>
        <w:tabs>
          <w:tab w:leader="none" w:pos="316" w:val="left"/>
        </w:tabs>
        <w:numPr>
          <w:ilvl w:val="0"/>
          <w:numId w:val="26"/>
        </w:numPr>
        <w:rPr>
          <w:rFonts w:ascii="Arial" w:cs="Arial" w:eastAsia="Arial" w:hAnsi="Arial"/>
          <w:sz w:val="14"/>
          <w:szCs w:val="14"/>
          <w:color w:val="auto"/>
        </w:rPr>
      </w:pPr>
      <w:r>
        <w:rPr>
          <w:rFonts w:ascii="Arial" w:cs="Arial" w:eastAsia="Arial" w:hAnsi="Arial"/>
          <w:sz w:val="14"/>
          <w:szCs w:val="14"/>
          <w:color w:val="auto"/>
        </w:rPr>
        <w:t>As of December 31, 2022, the Company has performed an allocation of goodwill associated with the acquisition of CTWS to two reporting units, Connecticut and Maine, which are both aggregated within the Regulated Water Utility Services reportable segment.</w:t>
      </w:r>
    </w:p>
    <w:p>
      <w:pPr>
        <w:spacing w:after="0" w:line="20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5"/>
          <w:szCs w:val="15"/>
          <w:b w:val="1"/>
          <w:bCs w:val="1"/>
          <w:color w:val="auto"/>
        </w:rPr>
        <w:t>Business Combinations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Kendall West Utility and Bandera East Utility</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December 17, 2021, SJWTX completed its acquisition of Kendall West Utility and Bandera East Utility, companies that provide water services, including wastewater and recycled water services, in Kendall, Bandera and Medina counties which are located in south central Texas. Kendall West Utility and Bandera East Utility, together, add approximately 5,000 people through 1,600 service connections in a service area approximately 19 square miles to SJWTX’s operations. The total net cash price was approximately $23,587. The preliminary purchase price allocation for these acquisitions primarily consisted of acquired utility plant of approximately $9,400 and goodwill of approximately $12,300. The results of Kendall West Utility and Bandera East Utility are included in SJW Group’s consolidated statements of comprehensive income since the acquisition date, including revenues and net loss, and were not material. During the measurement period in 2022, SJWTX reduced goodwill previously recognized by $161 primarily related to additional regulatory assets recognized. The final purchase price allocation resulted in goodwill of $12,167 for the transaction. Pro forma financial information has not been presented because the acquisition was not material to SJW Group’s consolidated financial statements.</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CTWS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October 9, 2019, SJW Group completed the merger with CTWS, a company that provides water service throughout Connecticut and Maine. In addition, CTWS has a real estate company in Connecticut which provides property management services. SJW Group acquired all of the outstanding stock of CTWS for $70.00 per share in cash (without interest and less any applicable withholding taxes). The total cash purchase price was approximately $838,476, less cash received of $3,011, and approximately $6,384 related to outstanding awards of restricted stock units and deferred share units assumed in connection with the merger.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77" w:name="page78"/>
    <w:bookmarkEnd w:id="77"/>
    <w:p>
      <w:pPr>
        <w:ind w:right="340"/>
        <w:spacing w:after="0" w:line="277" w:lineRule="auto"/>
        <w:rPr>
          <w:sz w:val="20"/>
          <w:szCs w:val="20"/>
          <w:color w:val="auto"/>
        </w:rPr>
      </w:pPr>
      <w:r>
        <w:rPr>
          <w:rFonts w:ascii="Arial" w:cs="Arial" w:eastAsia="Arial" w:hAnsi="Arial"/>
          <w:sz w:val="18"/>
          <w:szCs w:val="18"/>
          <w:color w:val="auto"/>
        </w:rPr>
        <w:t>The following table summarizes the purchase price and recording of fair values of assets acquired and liabilities assumed as of the acquisition date and subsequent adjustments as of December 31,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Amounts Previously</w:t>
            </w: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Measurement Period</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9"/>
              </w:rPr>
              <w:t>Amounts Recognized as</w:t>
            </w:r>
          </w:p>
        </w:tc>
        <w:tc>
          <w:tcPr>
            <w:tcW w:w="0" w:type="dxa"/>
            <w:vAlign w:val="bottom"/>
          </w:tcPr>
          <w:p>
            <w:pPr>
              <w:spacing w:after="0"/>
              <w:rPr>
                <w:sz w:val="1"/>
                <w:szCs w:val="1"/>
                <w:color w:val="auto"/>
              </w:rPr>
            </w:pPr>
          </w:p>
        </w:tc>
      </w:tr>
      <w:tr>
        <w:trPr>
          <w:trHeight w:val="148"/>
        </w:trPr>
        <w:tc>
          <w:tcPr>
            <w:tcW w:w="6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Recognized as of</w:t>
            </w:r>
          </w:p>
        </w:tc>
        <w:tc>
          <w:tcPr>
            <w:tcW w:w="1700" w:type="dxa"/>
            <w:vAlign w:val="bottom"/>
            <w:gridSpan w:val="2"/>
            <w:vMerge w:val="continue"/>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Acquisition Date (as</w:t>
            </w:r>
          </w:p>
        </w:tc>
        <w:tc>
          <w:tcPr>
            <w:tcW w:w="0" w:type="dxa"/>
            <w:vAlign w:val="bottom"/>
          </w:tcPr>
          <w:p>
            <w:pPr>
              <w:spacing w:after="0"/>
              <w:rPr>
                <w:sz w:val="1"/>
                <w:szCs w:val="1"/>
                <w:color w:val="auto"/>
              </w:rPr>
            </w:pPr>
          </w:p>
        </w:tc>
      </w:tr>
      <w:tr>
        <w:trPr>
          <w:trHeight w:val="196"/>
        </w:trPr>
        <w:tc>
          <w:tcPr>
            <w:tcW w:w="6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Acquisition Date (a)</w:t>
            </w: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Adjustments</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2"/>
              </w:rPr>
              <w:t>Adjusted)</w:t>
            </w:r>
          </w:p>
        </w:tc>
        <w:tc>
          <w:tcPr>
            <w:tcW w:w="0" w:type="dxa"/>
            <w:vAlign w:val="bottom"/>
          </w:tcPr>
          <w:p>
            <w:pPr>
              <w:spacing w:after="0"/>
              <w:rPr>
                <w:sz w:val="1"/>
                <w:szCs w:val="1"/>
                <w:color w:val="auto"/>
              </w:rPr>
            </w:pPr>
          </w:p>
        </w:tc>
      </w:tr>
      <w:tr>
        <w:trPr>
          <w:trHeight w:val="216"/>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 acquired:</w:t>
            </w:r>
          </w:p>
        </w:tc>
        <w:tc>
          <w:tcPr>
            <w:tcW w:w="1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Utility plant, net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750,703</w:t>
            </w:r>
          </w:p>
        </w:tc>
        <w:tc>
          <w:tcPr>
            <w:tcW w:w="10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750,703</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Nonutility plant</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42,673</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41,888</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12,489</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12,489</w:t>
            </w:r>
          </w:p>
        </w:tc>
        <w:tc>
          <w:tcPr>
            <w:tcW w:w="0" w:type="dxa"/>
            <w:vAlign w:val="bottom"/>
          </w:tcPr>
          <w:p>
            <w:pPr>
              <w:spacing w:after="0"/>
              <w:rPr>
                <w:sz w:val="1"/>
                <w:szCs w:val="1"/>
                <w:color w:val="auto"/>
              </w:rPr>
            </w:pPr>
          </w:p>
        </w:tc>
      </w:tr>
      <w:tr>
        <w:trPr>
          <w:trHeight w:val="229"/>
        </w:trPr>
        <w:tc>
          <w:tcPr>
            <w:tcW w:w="6200" w:type="dxa"/>
            <w:vAlign w:val="bottom"/>
          </w:tcPr>
          <w:p>
            <w:pPr>
              <w:ind w:left="140"/>
              <w:spacing w:after="0"/>
              <w:rPr>
                <w:sz w:val="20"/>
                <w:szCs w:val="20"/>
                <w:color w:val="auto"/>
              </w:rPr>
            </w:pPr>
            <w:r>
              <w:rPr>
                <w:rFonts w:ascii="Arial" w:cs="Arial" w:eastAsia="Arial" w:hAnsi="Arial"/>
                <w:sz w:val="18"/>
                <w:szCs w:val="18"/>
                <w:color w:val="auto"/>
              </w:rPr>
              <w:t>Regulatory assets and deferred charges, less current portion</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83,132</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(4,346)</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78,786</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intangible assets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17,181</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17,181</w:t>
            </w:r>
          </w:p>
        </w:tc>
        <w:tc>
          <w:tcPr>
            <w:tcW w:w="0" w:type="dxa"/>
            <w:vAlign w:val="bottom"/>
          </w:tcPr>
          <w:p>
            <w:pPr>
              <w:spacing w:after="0"/>
              <w:rPr>
                <w:sz w:val="1"/>
                <w:szCs w:val="1"/>
                <w:color w:val="auto"/>
              </w:rPr>
            </w:pPr>
          </w:p>
        </w:tc>
      </w:tr>
      <w:tr>
        <w:trPr>
          <w:trHeight w:val="229"/>
        </w:trPr>
        <w:tc>
          <w:tcPr>
            <w:tcW w:w="6200" w:type="dxa"/>
            <w:vAlign w:val="bottom"/>
          </w:tcPr>
          <w:p>
            <w:pPr>
              <w:ind w:left="14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2,592</w:t>
            </w:r>
          </w:p>
        </w:tc>
        <w:tc>
          <w:tcPr>
            <w:tcW w:w="10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626,523</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626,409</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 acquired</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1,536,141</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(5,245)</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1,530,896</w:t>
            </w: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assumed:</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281,009</w:t>
            </w:r>
          </w:p>
        </w:tc>
        <w:tc>
          <w:tcPr>
            <w:tcW w:w="10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281,009</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liabilities, including maturities of long-term debt</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125,772</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125,797</w:t>
            </w: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107,789</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(5,411)</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102,378</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Postretirement benefit plans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31,789</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31,789</w:t>
            </w:r>
          </w:p>
        </w:tc>
        <w:tc>
          <w:tcPr>
            <w:tcW w:w="0" w:type="dxa"/>
            <w:vAlign w:val="bottom"/>
          </w:tcPr>
          <w:p>
            <w:pPr>
              <w:spacing w:after="0"/>
              <w:rPr>
                <w:sz w:val="1"/>
                <w:szCs w:val="1"/>
                <w:color w:val="auto"/>
              </w:rPr>
            </w:pPr>
          </w:p>
        </w:tc>
      </w:tr>
      <w:tr>
        <w:trPr>
          <w:trHeight w:val="229"/>
        </w:trPr>
        <w:tc>
          <w:tcPr>
            <w:tcW w:w="6200" w:type="dxa"/>
            <w:vAlign w:val="bottom"/>
          </w:tcPr>
          <w:p>
            <w:pPr>
              <w:ind w:left="140"/>
              <w:spacing w:after="0"/>
              <w:rPr>
                <w:sz w:val="20"/>
                <w:szCs w:val="20"/>
                <w:color w:val="auto"/>
              </w:rPr>
            </w:pPr>
            <w:r>
              <w:rPr>
                <w:rFonts w:ascii="Arial" w:cs="Arial" w:eastAsia="Arial" w:hAnsi="Arial"/>
                <w:sz w:val="18"/>
                <w:szCs w:val="18"/>
                <w:color w:val="auto"/>
              </w:rPr>
              <w:t>Contributions in aid of construction and construction advances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137,327</w:t>
            </w:r>
          </w:p>
        </w:tc>
        <w:tc>
          <w:tcPr>
            <w:tcW w:w="10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137,327</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10,607</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10,748</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 assumed</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694,293</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(5,245)</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689,048</w:t>
            </w: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Assumed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841,848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841,848</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w:t>
      </w:r>
    </w:p>
    <w:p>
      <w:pPr>
        <w:spacing w:after="0" w:line="69"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As previously reported in the SJW Group’s 10-K for the period ended December 31, 2019.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primarily consists of customer relationships.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goodwill balance is primarily attributable to assembled workforce and diversification of markets both from a geographic and regulatory perspective.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the goodwill recognized in connection with the transaction will be deductible for income tax purposes.</w:t>
      </w:r>
    </w:p>
    <w:p>
      <w:pPr>
        <w:spacing w:after="0" w:line="10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analyzed and revalued the acquired opening deferred tax asset and liability balances within the measurement period which resulted in a decrease to goodwill of $114. The revaluation of acquired deferred tax assets and liabilities and related uncertain tax positions based upon facts and circumstances that existed as of the acquisition date resulted in adjustments that were recorded to goodwill. In addition, tax related valuation allowances assumed in connection with a business combination were initially estimated as of the acquisition date. Revaluation within the measurement period resulted in release of the valuation allowance as it is more likely than not that the new combined group will be able to utilize the acquired deferred tax assets. There was no impact associated with the measurement period adjustments to the consolidated statement of comprehensive income for the year ended December 31, 2020.</w:t>
      </w:r>
    </w:p>
    <w:p>
      <w:pPr>
        <w:spacing w:after="0" w:line="32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5"/>
          <w:szCs w:val="15"/>
          <w:b w:val="1"/>
          <w:bCs w:val="1"/>
          <w:color w:val="auto"/>
        </w:rPr>
        <w:t>Subsequent Event</w:t>
      </w:r>
    </w:p>
    <w:p>
      <w:pPr>
        <w:spacing w:after="0" w:line="12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On January 13, 2023, SJWTX has reached agreements to acquire KT Water Development Ltd and KT Water Resource L.P. for purchase prices of $7,338 and $53,500, respectively. KT Water Development Ltd is an investor-owned water utility providing water to approximately 1,725 people through over 575 service connections in the Rockwall Ranch subdivision in southern Comal County, Texas. KT Water Resources L.P. is a private-held company formed to develop wholesale water supplies for the fast-growing utilities of Comal County, Texas. The transaction is expected to close in the third quarter of 2023, pending the Public Utilities Commission of Texas approval of the KT Water Development Ltd. acquisition.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4" w:right="37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FINANCIAL STATEMENT SCHEDULE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gridSpan w:val="2"/>
          </w:tcPr>
          <w:p>
            <w:pPr>
              <w:ind w:left="260"/>
              <w:spacing w:after="0"/>
              <w:rPr>
                <w:sz w:val="20"/>
                <w:szCs w:val="20"/>
                <w:color w:val="auto"/>
              </w:rPr>
            </w:pPr>
            <w:r>
              <w:rPr>
                <w:rFonts w:ascii="Arial" w:cs="Arial" w:eastAsia="Arial" w:hAnsi="Arial"/>
                <w:sz w:val="18"/>
                <w:szCs w:val="18"/>
                <w:b w:val="1"/>
                <w:bCs w:val="1"/>
                <w:color w:val="auto"/>
                <w:w w:val="86"/>
              </w:rPr>
              <w:t>Schedule I</w:t>
            </w:r>
          </w:p>
        </w:tc>
      </w:tr>
      <w:tr>
        <w:trPr>
          <w:trHeight w:val="270"/>
        </w:trPr>
        <w:tc>
          <w:tcPr>
            <w:tcW w:w="8060" w:type="dxa"/>
            <w:vAlign w:val="bottom"/>
          </w:tcPr>
          <w:p>
            <w:pPr>
              <w:jc w:val="center"/>
              <w:ind w:left="3110"/>
              <w:spacing w:after="0"/>
              <w:rPr>
                <w:sz w:val="20"/>
                <w:szCs w:val="20"/>
                <w:color w:val="auto"/>
              </w:rPr>
            </w:pPr>
            <w:r>
              <w:rPr>
                <w:rFonts w:ascii="Arial" w:cs="Arial" w:eastAsia="Arial" w:hAnsi="Arial"/>
                <w:sz w:val="18"/>
                <w:szCs w:val="18"/>
                <w:b w:val="1"/>
                <w:bCs w:val="1"/>
                <w:color w:val="auto"/>
                <w:w w:val="93"/>
              </w:rPr>
              <w:t>SJW Group (Parent Only)</w:t>
            </w: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8060" w:type="dxa"/>
            <w:vAlign w:val="bottom"/>
          </w:tcPr>
          <w:p>
            <w:pPr>
              <w:jc w:val="center"/>
              <w:ind w:left="3090"/>
              <w:spacing w:after="0"/>
              <w:rPr>
                <w:sz w:val="20"/>
                <w:szCs w:val="20"/>
                <w:color w:val="auto"/>
              </w:rPr>
            </w:pPr>
            <w:r>
              <w:rPr>
                <w:rFonts w:ascii="Arial" w:cs="Arial" w:eastAsia="Arial" w:hAnsi="Arial"/>
                <w:sz w:val="18"/>
                <w:szCs w:val="18"/>
                <w:b w:val="1"/>
                <w:bCs w:val="1"/>
                <w:color w:val="auto"/>
                <w:w w:val="98"/>
              </w:rPr>
              <w:t>CONDENSED BALANCE SHEETS</w:t>
            </w: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8060" w:type="dxa"/>
            <w:vAlign w:val="bottom"/>
          </w:tcPr>
          <w:p>
            <w:pPr>
              <w:jc w:val="center"/>
              <w:ind w:left="311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98"/>
        </w:trPr>
        <w:tc>
          <w:tcPr>
            <w:tcW w:w="8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gridSpan w:val="3"/>
          </w:tcPr>
          <w:p>
            <w:pPr>
              <w:ind w:left="80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
        </w:trPr>
        <w:tc>
          <w:tcPr>
            <w:tcW w:w="8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80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7"/>
                <w:szCs w:val="17"/>
                <w:color w:val="auto"/>
              </w:rPr>
            </w:pPr>
          </w:p>
        </w:tc>
      </w:tr>
      <w:tr>
        <w:trPr>
          <w:trHeight w:val="209"/>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Investments in subsidiaries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1,675,545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1,607,952</w:t>
            </w:r>
          </w:p>
        </w:tc>
        <w:tc>
          <w:tcPr>
            <w:tcW w:w="20" w:type="dxa"/>
            <w:vAlign w:val="bottom"/>
          </w:tcPr>
          <w:p>
            <w:pPr>
              <w:spacing w:after="0"/>
              <w:rPr>
                <w:sz w:val="19"/>
                <w:szCs w:val="19"/>
                <w:color w:val="auto"/>
              </w:rPr>
            </w:pPr>
          </w:p>
        </w:tc>
      </w:tr>
      <w:tr>
        <w:trPr>
          <w:trHeight w:val="270"/>
        </w:trPr>
        <w:tc>
          <w:tcPr>
            <w:tcW w:w="80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806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5,142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2,859</w:t>
            </w:r>
          </w:p>
        </w:tc>
        <w:tc>
          <w:tcPr>
            <w:tcW w:w="20" w:type="dxa"/>
            <w:vAlign w:val="bottom"/>
          </w:tcPr>
          <w:p>
            <w:pPr>
              <w:spacing w:after="0"/>
              <w:rPr>
                <w:sz w:val="19"/>
                <w:szCs w:val="19"/>
                <w:color w:val="auto"/>
              </w:rPr>
            </w:pPr>
          </w:p>
        </w:tc>
      </w:tr>
      <w:tr>
        <w:trPr>
          <w:trHeight w:val="229"/>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Intercompany notes receivable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6,015</w:t>
            </w:r>
          </w:p>
        </w:tc>
        <w:tc>
          <w:tcPr>
            <w:tcW w:w="20" w:type="dxa"/>
            <w:vAlign w:val="bottom"/>
          </w:tcPr>
          <w:p>
            <w:pPr>
              <w:spacing w:after="0"/>
              <w:rPr>
                <w:sz w:val="19"/>
                <w:szCs w:val="19"/>
                <w:color w:val="auto"/>
              </w:rPr>
            </w:pPr>
          </w:p>
        </w:tc>
      </w:tr>
      <w:tr>
        <w:trPr>
          <w:trHeight w:val="230"/>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20" w:type="dxa"/>
            <w:vAlign w:val="bottom"/>
          </w:tcPr>
          <w:p>
            <w:pPr>
              <w:spacing w:after="0"/>
              <w:rPr>
                <w:sz w:val="19"/>
                <w:szCs w:val="19"/>
                <w:color w:val="auto"/>
              </w:rPr>
            </w:pPr>
          </w:p>
        </w:tc>
      </w:tr>
      <w:tr>
        <w:trPr>
          <w:trHeight w:val="223"/>
        </w:trPr>
        <w:tc>
          <w:tcPr>
            <w:tcW w:w="80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9,404</w:t>
            </w:r>
          </w:p>
        </w:tc>
        <w:tc>
          <w:tcPr>
            <w:tcW w:w="20" w:type="dxa"/>
            <w:vAlign w:val="bottom"/>
          </w:tcPr>
          <w:p>
            <w:pPr>
              <w:spacing w:after="0"/>
              <w:rPr>
                <w:sz w:val="19"/>
                <w:szCs w:val="19"/>
                <w:color w:val="auto"/>
              </w:rPr>
            </w:pPr>
          </w:p>
        </w:tc>
      </w:tr>
      <w:tr>
        <w:trPr>
          <w:trHeight w:val="210"/>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Other assets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80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48"/>
        </w:trPr>
        <w:tc>
          <w:tcPr>
            <w:tcW w:w="8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1,694,157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1,617,356</w:t>
            </w:r>
          </w:p>
        </w:tc>
        <w:tc>
          <w:tcPr>
            <w:tcW w:w="20" w:type="dxa"/>
            <w:vAlign w:val="bottom"/>
          </w:tcPr>
          <w:p>
            <w:pPr>
              <w:spacing w:after="0"/>
              <w:rPr>
                <w:sz w:val="21"/>
                <w:szCs w:val="2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8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Capitalization and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Capitalization:</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Stockholders’ equity: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75"/>
        </w:trPr>
        <w:tc>
          <w:tcPr>
            <w:tcW w:w="8060" w:type="dxa"/>
            <w:vAlign w:val="bottom"/>
          </w:tcPr>
          <w:p>
            <w:pPr>
              <w:ind w:left="360"/>
              <w:spacing w:after="0" w:line="176" w:lineRule="exact"/>
              <w:rPr>
                <w:sz w:val="20"/>
                <w:szCs w:val="20"/>
                <w:color w:val="auto"/>
              </w:rPr>
            </w:pPr>
            <w:r>
              <w:rPr>
                <w:rFonts w:ascii="Arial" w:cs="Arial" w:eastAsia="Arial" w:hAnsi="Arial"/>
                <w:sz w:val="18"/>
                <w:szCs w:val="18"/>
                <w:color w:val="auto"/>
                <w:w w:val="90"/>
              </w:rPr>
              <w:t>Common stock, $0.001 par value; authorized 70,000,000 shares in 2022 and 2021; issued and outstanding</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8060" w:type="dxa"/>
            <w:vAlign w:val="bottom"/>
          </w:tcPr>
          <w:p>
            <w:pPr>
              <w:ind w:left="360"/>
              <w:spacing w:after="0"/>
              <w:rPr>
                <w:sz w:val="20"/>
                <w:szCs w:val="20"/>
                <w:color w:val="auto"/>
              </w:rPr>
            </w:pPr>
            <w:r>
              <w:rPr>
                <w:rFonts w:ascii="Arial" w:cs="Arial" w:eastAsia="Arial" w:hAnsi="Arial"/>
                <w:sz w:val="18"/>
                <w:szCs w:val="18"/>
                <w:color w:val="auto"/>
              </w:rPr>
              <w:t>30,801,912 shares in 2022 and 30,181,348 shares in 2021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1"/>
                <w:szCs w:val="21"/>
                <w:color w:val="auto"/>
              </w:rPr>
            </w:pP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651,004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606,392</w:t>
            </w:r>
          </w:p>
        </w:tc>
        <w:tc>
          <w:tcPr>
            <w:tcW w:w="20" w:type="dxa"/>
            <w:vAlign w:val="bottom"/>
          </w:tcPr>
          <w:p>
            <w:pPr>
              <w:spacing w:after="0"/>
              <w:rPr>
                <w:sz w:val="19"/>
                <w:szCs w:val="19"/>
                <w:color w:val="auto"/>
              </w:rPr>
            </w:pP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458,356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428,260</w:t>
            </w:r>
          </w:p>
        </w:tc>
        <w:tc>
          <w:tcPr>
            <w:tcW w:w="20" w:type="dxa"/>
            <w:vAlign w:val="bottom"/>
          </w:tcPr>
          <w:p>
            <w:pPr>
              <w:spacing w:after="0"/>
              <w:rPr>
                <w:sz w:val="19"/>
                <w:szCs w:val="19"/>
                <w:color w:val="auto"/>
              </w:rPr>
            </w:pPr>
          </w:p>
        </w:tc>
      </w:tr>
      <w:tr>
        <w:trPr>
          <w:trHeight w:val="229"/>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9"/>
                <w:szCs w:val="19"/>
                <w:color w:val="auto"/>
              </w:rPr>
            </w:pPr>
          </w:p>
        </w:tc>
      </w:tr>
      <w:tr>
        <w:trPr>
          <w:trHeight w:val="223"/>
        </w:trPr>
        <w:tc>
          <w:tcPr>
            <w:tcW w:w="8060" w:type="dxa"/>
            <w:vAlign w:val="bottom"/>
          </w:tcPr>
          <w:p>
            <w:pPr>
              <w:ind w:left="140"/>
              <w:spacing w:after="0"/>
              <w:rPr>
                <w:sz w:val="20"/>
                <w:szCs w:val="20"/>
                <w:color w:val="auto"/>
              </w:rPr>
            </w:pPr>
            <w:r>
              <w:rPr>
                <w:rFonts w:ascii="Arial" w:cs="Arial" w:eastAsia="Arial" w:hAnsi="Arial"/>
                <w:sz w:val="18"/>
                <w:szCs w:val="18"/>
                <w:color w:val="auto"/>
              </w:rPr>
              <w:t>Total stockholders’ equity</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1,110,868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1,034,519</w:t>
            </w:r>
          </w:p>
        </w:tc>
        <w:tc>
          <w:tcPr>
            <w:tcW w:w="20" w:type="dxa"/>
            <w:vAlign w:val="bottom"/>
          </w:tcPr>
          <w:p>
            <w:pPr>
              <w:spacing w:after="0"/>
              <w:rPr>
                <w:sz w:val="19"/>
                <w:szCs w:val="19"/>
                <w:color w:val="auto"/>
              </w:rPr>
            </w:pPr>
          </w:p>
        </w:tc>
      </w:tr>
      <w:tr>
        <w:trPr>
          <w:trHeight w:val="230"/>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 less current portion</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556,627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556,225</w:t>
            </w:r>
          </w:p>
        </w:tc>
        <w:tc>
          <w:tcPr>
            <w:tcW w:w="20" w:type="dxa"/>
            <w:vAlign w:val="bottom"/>
          </w:tcPr>
          <w:p>
            <w:pPr>
              <w:spacing w:after="0"/>
              <w:rPr>
                <w:sz w:val="19"/>
                <w:szCs w:val="19"/>
                <w:color w:val="auto"/>
              </w:rPr>
            </w:pPr>
          </w:p>
        </w:tc>
      </w:tr>
      <w:tr>
        <w:trPr>
          <w:trHeight w:val="223"/>
        </w:trPr>
        <w:tc>
          <w:tcPr>
            <w:tcW w:w="80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1,667,495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1,590,744</w:t>
            </w:r>
          </w:p>
        </w:tc>
        <w:tc>
          <w:tcPr>
            <w:tcW w:w="20" w:type="dxa"/>
            <w:vAlign w:val="bottom"/>
          </w:tcPr>
          <w:p>
            <w:pPr>
              <w:spacing w:after="0"/>
              <w:rPr>
                <w:sz w:val="19"/>
                <w:szCs w:val="19"/>
                <w:color w:val="auto"/>
              </w:rPr>
            </w:pPr>
          </w:p>
        </w:tc>
      </w:tr>
      <w:tr>
        <w:trPr>
          <w:trHeight w:val="21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060" w:type="dxa"/>
            <w:vAlign w:val="bottom"/>
          </w:tcPr>
          <w:p>
            <w:pPr>
              <w:ind w:left="140"/>
              <w:spacing w:after="0"/>
              <w:rPr>
                <w:sz w:val="20"/>
                <w:szCs w:val="20"/>
                <w:color w:val="auto"/>
              </w:rPr>
            </w:pPr>
            <w:r>
              <w:rPr>
                <w:rFonts w:ascii="Arial" w:cs="Arial" w:eastAsia="Arial" w:hAnsi="Arial"/>
                <w:sz w:val="18"/>
                <w:szCs w:val="18"/>
                <w:color w:val="auto"/>
              </w:rPr>
              <w:t>Intercompany payables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2,097</w:t>
            </w:r>
          </w:p>
        </w:tc>
        <w:tc>
          <w:tcPr>
            <w:tcW w:w="20" w:type="dxa"/>
            <w:vAlign w:val="bottom"/>
          </w:tcPr>
          <w:p>
            <w:pPr>
              <w:spacing w:after="0"/>
              <w:rPr>
                <w:sz w:val="19"/>
                <w:szCs w:val="19"/>
                <w:color w:val="auto"/>
              </w:rPr>
            </w:pPr>
          </w:p>
        </w:tc>
      </w:tr>
      <w:tr>
        <w:trPr>
          <w:trHeight w:val="230"/>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Intercompany notes payable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9,712</w:t>
            </w:r>
          </w:p>
        </w:tc>
        <w:tc>
          <w:tcPr>
            <w:tcW w:w="20" w:type="dxa"/>
            <w:vAlign w:val="bottom"/>
          </w:tcPr>
          <w:p>
            <w:pPr>
              <w:spacing w:after="0"/>
              <w:rPr>
                <w:sz w:val="19"/>
                <w:szCs w:val="19"/>
                <w:color w:val="auto"/>
              </w:rPr>
            </w:pPr>
          </w:p>
        </w:tc>
      </w:tr>
      <w:tr>
        <w:trPr>
          <w:trHeight w:val="229"/>
        </w:trPr>
        <w:tc>
          <w:tcPr>
            <w:tcW w:w="8060" w:type="dxa"/>
            <w:vAlign w:val="bottom"/>
          </w:tcPr>
          <w:p>
            <w:pPr>
              <w:ind w:left="140"/>
              <w:spacing w:after="0"/>
              <w:rPr>
                <w:sz w:val="20"/>
                <w:szCs w:val="20"/>
                <w:color w:val="auto"/>
              </w:rPr>
            </w:pPr>
            <w:r>
              <w:rPr>
                <w:rFonts w:ascii="Arial" w:cs="Arial" w:eastAsia="Arial" w:hAnsi="Arial"/>
                <w:sz w:val="18"/>
                <w:szCs w:val="18"/>
                <w:color w:val="auto"/>
              </w:rPr>
              <w:t>Accrued interest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3,208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3,223</w:t>
            </w:r>
          </w:p>
        </w:tc>
        <w:tc>
          <w:tcPr>
            <w:tcW w:w="20" w:type="dxa"/>
            <w:vAlign w:val="bottom"/>
          </w:tcPr>
          <w:p>
            <w:pPr>
              <w:spacing w:after="0"/>
              <w:rPr>
                <w:sz w:val="19"/>
                <w:szCs w:val="19"/>
                <w:color w:val="auto"/>
              </w:rPr>
            </w:pPr>
          </w:p>
        </w:tc>
      </w:tr>
      <w:tr>
        <w:trPr>
          <w:trHeight w:val="230"/>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payable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8,017</w:t>
            </w:r>
          </w:p>
        </w:tc>
        <w:tc>
          <w:tcPr>
            <w:tcW w:w="20" w:type="dxa"/>
            <w:vAlign w:val="bottom"/>
          </w:tcPr>
          <w:p>
            <w:pPr>
              <w:spacing w:after="0"/>
              <w:rPr>
                <w:sz w:val="19"/>
                <w:szCs w:val="19"/>
                <w:color w:val="auto"/>
              </w:rPr>
            </w:pPr>
          </w:p>
        </w:tc>
      </w:tr>
      <w:tr>
        <w:trPr>
          <w:trHeight w:val="230"/>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20" w:type="dxa"/>
            <w:vAlign w:val="bottom"/>
          </w:tcPr>
          <w:p>
            <w:pPr>
              <w:spacing w:after="0"/>
              <w:rPr>
                <w:sz w:val="19"/>
                <w:szCs w:val="19"/>
                <w:color w:val="auto"/>
              </w:rPr>
            </w:pPr>
          </w:p>
        </w:tc>
      </w:tr>
      <w:tr>
        <w:trPr>
          <w:trHeight w:val="223"/>
        </w:trPr>
        <w:tc>
          <w:tcPr>
            <w:tcW w:w="80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23,362</w:t>
            </w:r>
          </w:p>
        </w:tc>
        <w:tc>
          <w:tcPr>
            <w:tcW w:w="20" w:type="dxa"/>
            <w:vAlign w:val="bottom"/>
          </w:tcPr>
          <w:p>
            <w:pPr>
              <w:spacing w:after="0"/>
              <w:rPr>
                <w:sz w:val="19"/>
                <w:szCs w:val="19"/>
                <w:color w:val="auto"/>
              </w:rPr>
            </w:pP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Deferred income taxes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2,471</w:t>
            </w:r>
          </w:p>
        </w:tc>
        <w:tc>
          <w:tcPr>
            <w:tcW w:w="20" w:type="dxa"/>
            <w:vAlign w:val="bottom"/>
          </w:tcPr>
          <w:p>
            <w:pPr>
              <w:spacing w:after="0"/>
              <w:rPr>
                <w:sz w:val="19"/>
                <w:szCs w:val="19"/>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20" w:type="dxa"/>
            <w:vAlign w:val="bottom"/>
          </w:tcPr>
          <w:p>
            <w:pPr>
              <w:spacing w:after="0"/>
              <w:rPr>
                <w:sz w:val="19"/>
                <w:szCs w:val="19"/>
                <w:color w:val="auto"/>
              </w:rPr>
            </w:pPr>
          </w:p>
        </w:tc>
      </w:tr>
      <w:tr>
        <w:trPr>
          <w:trHeight w:val="23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48"/>
        </w:trPr>
        <w:tc>
          <w:tcPr>
            <w:tcW w:w="8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1,694,157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1,617,356</w:t>
            </w:r>
          </w:p>
        </w:tc>
        <w:tc>
          <w:tcPr>
            <w:tcW w:w="20" w:type="dxa"/>
            <w:vAlign w:val="bottom"/>
          </w:tcPr>
          <w:p>
            <w:pPr>
              <w:spacing w:after="0"/>
              <w:rPr>
                <w:sz w:val="21"/>
                <w:szCs w:val="2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Schedule I</w:t>
      </w:r>
    </w:p>
    <w:p>
      <w:pPr>
        <w:sectPr>
          <w:pgSz w:w="11900" w:h="16838" w:orient="portrait"/>
          <w:cols w:equalWidth="0" w:num="1">
            <w:col w:w="11240"/>
          </w:cols>
          <w:pgMar w:left="320" w:top="10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FINANCIAL STATEMENT SCHEDULE</w:t>
      </w:r>
    </w:p>
    <w:p>
      <w:pPr>
        <w:spacing w:after="0" w:line="63" w:lineRule="exact"/>
        <w:rPr>
          <w:sz w:val="20"/>
          <w:szCs w:val="20"/>
          <w:color w:val="auto"/>
        </w:rPr>
      </w:pPr>
    </w:p>
    <w:p>
      <w:pPr>
        <w:ind w:left="10440"/>
        <w:spacing w:after="0"/>
        <w:rPr>
          <w:sz w:val="20"/>
          <w:szCs w:val="20"/>
          <w:color w:val="auto"/>
        </w:rPr>
      </w:pPr>
      <w:r>
        <w:rPr>
          <w:rFonts w:ascii="Arial" w:cs="Arial" w:eastAsia="Arial" w:hAnsi="Arial"/>
          <w:sz w:val="15"/>
          <w:szCs w:val="15"/>
          <w:b w:val="1"/>
          <w:bCs w:val="1"/>
          <w:color w:val="auto"/>
        </w:rPr>
        <w:t>Schedule I</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SJW Group (Parent Only)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540" w:type="dxa"/>
            <w:vAlign w:val="bottom"/>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540" w:type="dxa"/>
            <w:vAlign w:val="bottom"/>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6"/>
        </w:trPr>
        <w:tc>
          <w:tcPr>
            <w:tcW w:w="6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Operating expense:</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29"/>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Administrative and general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w:t>
            </w:r>
          </w:p>
        </w:tc>
      </w:tr>
      <w:tr>
        <w:trPr>
          <w:trHeight w:val="230"/>
        </w:trPr>
        <w:tc>
          <w:tcPr>
            <w:tcW w:w="6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Property taxes and other non-income taxes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r>
      <w:tr>
        <w:trPr>
          <w:trHeight w:val="223"/>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operating expense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w:t>
            </w: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Operating loss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(2,070)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(3,360)</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(expense)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6440" w:type="dxa"/>
            <w:vAlign w:val="bottom"/>
          </w:tcPr>
          <w:p>
            <w:pPr>
              <w:ind w:left="140"/>
              <w:spacing w:after="0"/>
              <w:rPr>
                <w:sz w:val="20"/>
                <w:szCs w:val="20"/>
                <w:color w:val="auto"/>
              </w:rPr>
            </w:pPr>
            <w:r>
              <w:rPr>
                <w:rFonts w:ascii="Arial" w:cs="Arial" w:eastAsia="Arial" w:hAnsi="Arial"/>
                <w:sz w:val="18"/>
                <w:szCs w:val="18"/>
                <w:color w:val="auto"/>
              </w:rPr>
              <w:t>Interest on long-term debt, mortgage and other interest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(17,795)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(18,673)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(19,430)</w:t>
            </w:r>
          </w:p>
        </w:tc>
      </w:tr>
      <w:tr>
        <w:trPr>
          <w:trHeight w:val="230"/>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sale of TWA</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r>
      <w:tr>
        <w:trPr>
          <w:trHeight w:val="223"/>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before income taxes and equity earnings from subsidiaries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(23,040)</w:t>
            </w:r>
          </w:p>
        </w:tc>
      </w:tr>
      <w:tr>
        <w:trPr>
          <w:trHeight w:val="229"/>
        </w:trPr>
        <w:tc>
          <w:tcPr>
            <w:tcW w:w="6440" w:type="dxa"/>
            <w:vAlign w:val="bottom"/>
          </w:tcPr>
          <w:p>
            <w:pPr>
              <w:ind w:left="140"/>
              <w:spacing w:after="0"/>
              <w:rPr>
                <w:sz w:val="20"/>
                <w:szCs w:val="20"/>
                <w:color w:val="auto"/>
              </w:rPr>
            </w:pPr>
            <w:r>
              <w:rPr>
                <w:rFonts w:ascii="Arial" w:cs="Arial" w:eastAsia="Arial" w:hAnsi="Arial"/>
                <w:sz w:val="18"/>
                <w:szCs w:val="18"/>
                <w:color w:val="auto"/>
              </w:rPr>
              <w:t>Income tax benefit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(5,523)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(4,660)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(6,414)</w:t>
            </w:r>
          </w:p>
        </w:tc>
      </w:tr>
      <w:tr>
        <w:trPr>
          <w:trHeight w:val="230"/>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earnings from subsidiaries, net of taxes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88,510</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73,663</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78,141</w:t>
            </w:r>
          </w:p>
        </w:tc>
      </w:tr>
      <w:tr>
        <w:trPr>
          <w:trHeight w:val="223"/>
        </w:trPr>
        <w:tc>
          <w:tcPr>
            <w:tcW w:w="6440" w:type="dxa"/>
            <w:vAlign w:val="bottom"/>
          </w:tcPr>
          <w:p>
            <w:pPr>
              <w:ind w:left="360"/>
              <w:spacing w:after="0"/>
              <w:rPr>
                <w:sz w:val="20"/>
                <w:szCs w:val="20"/>
                <w:color w:val="auto"/>
              </w:rPr>
            </w:pPr>
            <w:r>
              <w:rPr>
                <w:rFonts w:ascii="Arial" w:cs="Arial" w:eastAsia="Arial" w:hAnsi="Arial"/>
                <w:sz w:val="18"/>
                <w:szCs w:val="18"/>
                <w:b w:val="1"/>
                <w:bCs w:val="1"/>
                <w:color w:val="auto"/>
              </w:rPr>
              <w:t>SJW Group net income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73,828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60,478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61,515</w:t>
            </w:r>
          </w:p>
        </w:tc>
      </w:tr>
      <w:tr>
        <w:trPr>
          <w:trHeight w:val="230"/>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income (loss),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r>
      <w:tr>
        <w:trPr>
          <w:trHeight w:val="223"/>
        </w:trPr>
        <w:tc>
          <w:tcPr>
            <w:tcW w:w="6440" w:type="dxa"/>
            <w:vAlign w:val="bottom"/>
          </w:tcPr>
          <w:p>
            <w:pPr>
              <w:ind w:left="340"/>
              <w:spacing w:after="0"/>
              <w:rPr>
                <w:sz w:val="20"/>
                <w:szCs w:val="20"/>
                <w:color w:val="auto"/>
              </w:rPr>
            </w:pPr>
            <w:r>
              <w:rPr>
                <w:rFonts w:ascii="Arial" w:cs="Arial" w:eastAsia="Arial" w:hAnsi="Arial"/>
                <w:sz w:val="18"/>
                <w:szCs w:val="18"/>
                <w:b w:val="1"/>
                <w:bCs w:val="1"/>
                <w:color w:val="auto"/>
              </w:rPr>
              <w:t>SJW Group comprehensive income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75,468</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61,379</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60,325</w:t>
            </w:r>
          </w:p>
        </w:tc>
      </w:tr>
      <w:tr>
        <w:trPr>
          <w:trHeight w:val="20"/>
        </w:trPr>
        <w:tc>
          <w:tcPr>
            <w:tcW w:w="6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Schedule I</w:t>
      </w:r>
    </w:p>
    <w:p>
      <w:pPr>
        <w:sectPr>
          <w:pgSz w:w="11900" w:h="16838" w:orient="portrait"/>
          <w:cols w:equalWidth="0" w:num="1">
            <w:col w:w="11240"/>
          </w:cols>
          <w:pgMar w:left="320" w:top="10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FINANCIAL STATEMENT SCHEDULE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Schedule I</w:t>
            </w:r>
          </w:p>
        </w:tc>
        <w:tc>
          <w:tcPr>
            <w:tcW w:w="0" w:type="dxa"/>
            <w:vAlign w:val="bottom"/>
          </w:tcPr>
          <w:p>
            <w:pPr>
              <w:spacing w:after="0"/>
              <w:rPr>
                <w:sz w:val="1"/>
                <w:szCs w:val="1"/>
                <w:color w:val="auto"/>
              </w:rPr>
            </w:pPr>
          </w:p>
        </w:tc>
      </w:tr>
      <w:tr>
        <w:trPr>
          <w:trHeight w:val="252"/>
        </w:trPr>
        <w:tc>
          <w:tcPr>
            <w:tcW w:w="4020" w:type="dxa"/>
            <w:vAlign w:val="bottom"/>
          </w:tcPr>
          <w:p>
            <w:pPr>
              <w:spacing w:after="0"/>
              <w:rPr>
                <w:sz w:val="21"/>
                <w:szCs w:val="21"/>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SJW Group (Parent Only)</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060" w:type="dxa"/>
            <w:vAlign w:val="bottom"/>
            <w:gridSpan w:val="5"/>
          </w:tcPr>
          <w:p>
            <w:pPr>
              <w:jc w:val="center"/>
              <w:ind w:left="3099"/>
              <w:spacing w:after="0"/>
              <w:rPr>
                <w:sz w:val="20"/>
                <w:szCs w:val="20"/>
                <w:color w:val="auto"/>
              </w:rPr>
            </w:pPr>
            <w:r>
              <w:rPr>
                <w:rFonts w:ascii="Arial" w:cs="Arial" w:eastAsia="Arial" w:hAnsi="Arial"/>
                <w:sz w:val="18"/>
                <w:szCs w:val="18"/>
                <w:b w:val="1"/>
                <w:bCs w:val="1"/>
                <w:color w:val="auto"/>
                <w:w w:val="98"/>
              </w:rPr>
              <w:t>CONDENSED STATEMENTS OF CASH FLOWS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20" w:type="dxa"/>
            <w:vAlign w:val="bottom"/>
          </w:tcPr>
          <w:p>
            <w:pPr>
              <w:spacing w:after="0"/>
              <w:rPr>
                <w:sz w:val="20"/>
                <w:szCs w:val="20"/>
                <w:color w:val="auto"/>
              </w:rPr>
            </w:pPr>
          </w:p>
        </w:tc>
        <w:tc>
          <w:tcPr>
            <w:tcW w:w="3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Years ended December 31 (in thousands)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5"/>
        </w:trPr>
        <w:tc>
          <w:tcPr>
            <w:tcW w:w="4020" w:type="dxa"/>
            <w:vAlign w:val="bottom"/>
          </w:tcPr>
          <w:p>
            <w:pPr>
              <w:spacing w:after="0"/>
              <w:rPr>
                <w:sz w:val="24"/>
                <w:szCs w:val="24"/>
                <w:color w:val="auto"/>
              </w:rPr>
            </w:pPr>
          </w:p>
        </w:tc>
        <w:tc>
          <w:tcPr>
            <w:tcW w:w="33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4"/>
                <w:szCs w:val="24"/>
                <w:color w:val="auto"/>
              </w:rPr>
            </w:pPr>
          </w:p>
        </w:tc>
        <w:tc>
          <w:tcPr>
            <w:tcW w:w="1540" w:type="dxa"/>
            <w:vAlign w:val="bottom"/>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4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2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3340" w:type="dxa"/>
            <w:vAlign w:val="bottom"/>
            <w:gridSpan w:val="2"/>
          </w:tcPr>
          <w:p>
            <w:pPr>
              <w:jc w:val="right"/>
              <w:ind w:right="8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73,828</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60,478</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61,515</w:t>
            </w:r>
          </w:p>
        </w:tc>
        <w:tc>
          <w:tcPr>
            <w:tcW w:w="0" w:type="dxa"/>
            <w:vAlign w:val="bottom"/>
          </w:tcPr>
          <w:p>
            <w:pPr>
              <w:spacing w:after="0"/>
              <w:rPr>
                <w:sz w:val="1"/>
                <w:szCs w:val="1"/>
                <w:color w:val="auto"/>
              </w:rPr>
            </w:pPr>
          </w:p>
        </w:tc>
      </w:tr>
      <w:tr>
        <w:trPr>
          <w:trHeight w:val="219"/>
        </w:trPr>
        <w:tc>
          <w:tcPr>
            <w:tcW w:w="736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used in operating activities:</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tcPr>
          <w:p>
            <w:pPr>
              <w:ind w:left="360"/>
              <w:spacing w:after="0"/>
              <w:rPr>
                <w:sz w:val="20"/>
                <w:szCs w:val="20"/>
                <w:color w:val="auto"/>
              </w:rPr>
            </w:pPr>
            <w:r>
              <w:rPr>
                <w:rFonts w:ascii="Arial" w:cs="Arial" w:eastAsia="Arial" w:hAnsi="Arial"/>
                <w:sz w:val="16"/>
                <w:szCs w:val="16"/>
                <w:color w:val="auto"/>
              </w:rPr>
              <w:t>Earnings from investment in subsidiaries</w:t>
            </w:r>
          </w:p>
        </w:tc>
        <w:tc>
          <w:tcPr>
            <w:tcW w:w="2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3"/>
              </w:rPr>
              <w:t>(88,510)</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(73,663)</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(78,141)</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income taxes</w:t>
            </w:r>
          </w:p>
        </w:tc>
        <w:tc>
          <w:tcPr>
            <w:tcW w:w="2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13"/>
        </w:trPr>
        <w:tc>
          <w:tcPr>
            <w:tcW w:w="4020" w:type="dxa"/>
            <w:vAlign w:val="bottom"/>
          </w:tcPr>
          <w:p>
            <w:pPr>
              <w:ind w:left="360"/>
              <w:spacing w:after="0"/>
              <w:rPr>
                <w:sz w:val="20"/>
                <w:szCs w:val="20"/>
                <w:color w:val="auto"/>
              </w:rPr>
            </w:pPr>
            <w:r>
              <w:rPr>
                <w:rFonts w:ascii="Arial" w:cs="Arial" w:eastAsia="Arial" w:hAnsi="Arial"/>
                <w:sz w:val="16"/>
                <w:szCs w:val="16"/>
                <w:color w:val="auto"/>
              </w:rPr>
              <w:t>Share-based compensation</w:t>
            </w:r>
          </w:p>
        </w:tc>
        <w:tc>
          <w:tcPr>
            <w:tcW w:w="2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779</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679</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on sale of TWA</w:t>
            </w:r>
          </w:p>
        </w:tc>
        <w:tc>
          <w:tcPr>
            <w:tcW w:w="2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360" w:type="dxa"/>
            <w:vAlign w:val="bottom"/>
            <w:gridSpan w:val="3"/>
          </w:tcPr>
          <w:p>
            <w:pPr>
              <w:ind w:left="140"/>
              <w:spacing w:after="0"/>
              <w:rPr>
                <w:sz w:val="20"/>
                <w:szCs w:val="20"/>
                <w:color w:val="auto"/>
              </w:rPr>
            </w:pPr>
            <w:r>
              <w:rPr>
                <w:rFonts w:ascii="Arial" w:cs="Arial" w:eastAsia="Arial" w:hAnsi="Arial"/>
                <w:sz w:val="16"/>
                <w:szCs w:val="16"/>
                <w:color w:val="auto"/>
              </w:rPr>
              <w:t>Changes in operating assets and liabilities, net of acquired assets and liabilities: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 and other current liabilities</w:t>
            </w:r>
          </w:p>
        </w:tc>
        <w:tc>
          <w:tcPr>
            <w:tcW w:w="2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w:t>
            </w:r>
          </w:p>
        </w:tc>
        <w:tc>
          <w:tcPr>
            <w:tcW w:w="0" w:type="dxa"/>
            <w:vAlign w:val="bottom"/>
          </w:tcPr>
          <w:p>
            <w:pPr>
              <w:spacing w:after="0"/>
              <w:rPr>
                <w:sz w:val="1"/>
                <w:szCs w:val="1"/>
                <w:color w:val="auto"/>
              </w:rPr>
            </w:pPr>
          </w:p>
        </w:tc>
      </w:tr>
      <w:tr>
        <w:trPr>
          <w:trHeight w:val="213"/>
        </w:trPr>
        <w:tc>
          <w:tcPr>
            <w:tcW w:w="4020" w:type="dxa"/>
            <w:vAlign w:val="bottom"/>
          </w:tcPr>
          <w:p>
            <w:pPr>
              <w:ind w:left="360"/>
              <w:spacing w:after="0"/>
              <w:rPr>
                <w:sz w:val="20"/>
                <w:szCs w:val="20"/>
                <w:color w:val="auto"/>
              </w:rPr>
            </w:pPr>
            <w:r>
              <w:rPr>
                <w:rFonts w:ascii="Arial" w:cs="Arial" w:eastAsia="Arial" w:hAnsi="Arial"/>
                <w:sz w:val="16"/>
                <w:szCs w:val="16"/>
                <w:color w:val="auto"/>
              </w:rPr>
              <w:t>Intercompany receivables</w:t>
            </w:r>
          </w:p>
        </w:tc>
        <w:tc>
          <w:tcPr>
            <w:tcW w:w="2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(3,916)</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(1,586)</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(2,607)</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Tax receivable and accrued taxes</w:t>
            </w:r>
          </w:p>
        </w:tc>
        <w:tc>
          <w:tcPr>
            <w:tcW w:w="2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10,759</w:t>
            </w:r>
          </w:p>
        </w:tc>
        <w:tc>
          <w:tcPr>
            <w:tcW w:w="0" w:type="dxa"/>
            <w:vAlign w:val="bottom"/>
          </w:tcPr>
          <w:p>
            <w:pPr>
              <w:spacing w:after="0"/>
              <w:rPr>
                <w:sz w:val="1"/>
                <w:szCs w:val="1"/>
                <w:color w:val="auto"/>
              </w:rPr>
            </w:pPr>
          </w:p>
        </w:tc>
      </w:tr>
      <w:tr>
        <w:trPr>
          <w:trHeight w:val="213"/>
        </w:trPr>
        <w:tc>
          <w:tcPr>
            <w:tcW w:w="4020" w:type="dxa"/>
            <w:vAlign w:val="bottom"/>
          </w:tcPr>
          <w:p>
            <w:pPr>
              <w:ind w:left="360"/>
              <w:spacing w:after="0"/>
              <w:rPr>
                <w:sz w:val="20"/>
                <w:szCs w:val="20"/>
                <w:color w:val="auto"/>
              </w:rPr>
            </w:pPr>
            <w:r>
              <w:rPr>
                <w:rFonts w:ascii="Arial" w:cs="Arial" w:eastAsia="Arial" w:hAnsi="Arial"/>
                <w:sz w:val="16"/>
                <w:szCs w:val="16"/>
                <w:color w:val="auto"/>
              </w:rPr>
              <w:t>Accrued interest</w:t>
            </w:r>
          </w:p>
        </w:tc>
        <w:tc>
          <w:tcPr>
            <w:tcW w:w="2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(553)</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Return on capital from investments in subsidiaries</w:t>
            </w:r>
          </w:p>
        </w:tc>
        <w:tc>
          <w:tcPr>
            <w:tcW w:w="2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55,950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47,800</w:t>
            </w:r>
          </w:p>
        </w:tc>
        <w:tc>
          <w:tcPr>
            <w:tcW w:w="0" w:type="dxa"/>
            <w:vAlign w:val="bottom"/>
          </w:tcPr>
          <w:p>
            <w:pPr>
              <w:spacing w:after="0"/>
              <w:rPr>
                <w:sz w:val="1"/>
                <w:szCs w:val="1"/>
                <w:color w:val="auto"/>
              </w:rPr>
            </w:pPr>
          </w:p>
        </w:tc>
      </w:tr>
      <w:tr>
        <w:trPr>
          <w:trHeight w:val="213"/>
        </w:trPr>
        <w:tc>
          <w:tcPr>
            <w:tcW w:w="4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changes, net</w:t>
            </w:r>
          </w:p>
        </w:tc>
        <w:tc>
          <w:tcPr>
            <w:tcW w:w="24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213"/>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24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45,521</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33,812</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38,236</w:t>
            </w:r>
          </w:p>
        </w:tc>
        <w:tc>
          <w:tcPr>
            <w:tcW w:w="0" w:type="dxa"/>
            <w:vAlign w:val="bottom"/>
          </w:tcPr>
          <w:p>
            <w:pPr>
              <w:spacing w:after="0"/>
              <w:rPr>
                <w:sz w:val="1"/>
                <w:szCs w:val="1"/>
                <w:color w:val="auto"/>
              </w:rPr>
            </w:pPr>
          </w:p>
        </w:tc>
      </w:tr>
      <w:tr>
        <w:trPr>
          <w:trHeight w:val="193"/>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to subsidiaries for notes receivable</w:t>
            </w:r>
          </w:p>
        </w:tc>
        <w:tc>
          <w:tcPr>
            <w:tcW w:w="2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(27,713)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(75,986)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(10,353)</w:t>
            </w:r>
          </w:p>
        </w:tc>
        <w:tc>
          <w:tcPr>
            <w:tcW w:w="0" w:type="dxa"/>
            <w:vAlign w:val="bottom"/>
          </w:tcPr>
          <w:p>
            <w:pPr>
              <w:spacing w:after="0"/>
              <w:rPr>
                <w:sz w:val="1"/>
                <w:szCs w:val="1"/>
                <w:color w:val="auto"/>
              </w:rPr>
            </w:pPr>
          </w:p>
        </w:tc>
      </w:tr>
      <w:tr>
        <w:trPr>
          <w:trHeight w:val="213"/>
        </w:trPr>
        <w:tc>
          <w:tcPr>
            <w:tcW w:w="4020" w:type="dxa"/>
            <w:vAlign w:val="bottom"/>
          </w:tcPr>
          <w:p>
            <w:pPr>
              <w:ind w:left="140"/>
              <w:spacing w:after="0"/>
              <w:rPr>
                <w:sz w:val="20"/>
                <w:szCs w:val="20"/>
                <w:color w:val="auto"/>
              </w:rPr>
            </w:pPr>
            <w:r>
              <w:rPr>
                <w:rFonts w:ascii="Arial" w:cs="Arial" w:eastAsia="Arial" w:hAnsi="Arial"/>
                <w:sz w:val="16"/>
                <w:szCs w:val="16"/>
                <w:color w:val="auto"/>
              </w:rPr>
              <w:t>Repayments from subsidiaries for notes receivable</w:t>
            </w:r>
          </w:p>
        </w:tc>
        <w:tc>
          <w:tcPr>
            <w:tcW w:w="2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20,634</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85,651</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1,400</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Investments in subsidiaries</w:t>
            </w:r>
          </w:p>
        </w:tc>
        <w:tc>
          <w:tcPr>
            <w:tcW w:w="2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(25,892)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(35,118)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(37,952)</w:t>
            </w:r>
          </w:p>
        </w:tc>
        <w:tc>
          <w:tcPr>
            <w:tcW w:w="0" w:type="dxa"/>
            <w:vAlign w:val="bottom"/>
          </w:tcPr>
          <w:p>
            <w:pPr>
              <w:spacing w:after="0"/>
              <w:rPr>
                <w:sz w:val="1"/>
                <w:szCs w:val="1"/>
                <w:color w:val="auto"/>
              </w:rPr>
            </w:pPr>
          </w:p>
        </w:tc>
      </w:tr>
      <w:tr>
        <w:trPr>
          <w:trHeight w:val="213"/>
        </w:trPr>
        <w:tc>
          <w:tcPr>
            <w:tcW w:w="4020" w:type="dxa"/>
            <w:vAlign w:val="bottom"/>
          </w:tcPr>
          <w:p>
            <w:pPr>
              <w:ind w:left="140"/>
              <w:spacing w:after="0"/>
              <w:rPr>
                <w:sz w:val="20"/>
                <w:szCs w:val="20"/>
                <w:color w:val="auto"/>
              </w:rPr>
            </w:pPr>
            <w:r>
              <w:rPr>
                <w:rFonts w:ascii="Arial" w:cs="Arial" w:eastAsia="Arial" w:hAnsi="Arial"/>
                <w:sz w:val="16"/>
                <w:szCs w:val="16"/>
                <w:color w:val="auto"/>
              </w:rPr>
              <w:t>Proceeds from sale of TWA</w:t>
            </w:r>
          </w:p>
        </w:tc>
        <w:tc>
          <w:tcPr>
            <w:tcW w:w="2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3,000</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24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(32,971)</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(22,453)</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(46,905)</w:t>
            </w:r>
          </w:p>
        </w:tc>
        <w:tc>
          <w:tcPr>
            <w:tcW w:w="0" w:type="dxa"/>
            <w:vAlign w:val="bottom"/>
          </w:tcPr>
          <w:p>
            <w:pPr>
              <w:spacing w:after="0"/>
              <w:rPr>
                <w:sz w:val="1"/>
                <w:szCs w:val="1"/>
                <w:color w:val="auto"/>
              </w:rPr>
            </w:pPr>
          </w:p>
        </w:tc>
      </w:tr>
      <w:tr>
        <w:trPr>
          <w:trHeight w:val="193"/>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Borrowings from subsidiaries for notes payable</w:t>
            </w:r>
          </w:p>
        </w:tc>
        <w:tc>
          <w:tcPr>
            <w:tcW w:w="2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15,355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34,317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54,837</w:t>
            </w:r>
          </w:p>
        </w:tc>
        <w:tc>
          <w:tcPr>
            <w:tcW w:w="0" w:type="dxa"/>
            <w:vAlign w:val="bottom"/>
          </w:tcPr>
          <w:p>
            <w:pPr>
              <w:spacing w:after="0"/>
              <w:rPr>
                <w:sz w:val="1"/>
                <w:szCs w:val="1"/>
                <w:color w:val="auto"/>
              </w:rPr>
            </w:pPr>
          </w:p>
        </w:tc>
      </w:tr>
      <w:tr>
        <w:trPr>
          <w:trHeight w:val="213"/>
        </w:trPr>
        <w:tc>
          <w:tcPr>
            <w:tcW w:w="4020" w:type="dxa"/>
            <w:vAlign w:val="bottom"/>
          </w:tcPr>
          <w:p>
            <w:pPr>
              <w:ind w:left="140"/>
              <w:spacing w:after="0"/>
              <w:rPr>
                <w:sz w:val="20"/>
                <w:szCs w:val="20"/>
                <w:color w:val="auto"/>
              </w:rPr>
            </w:pPr>
            <w:r>
              <w:rPr>
                <w:rFonts w:ascii="Arial" w:cs="Arial" w:eastAsia="Arial" w:hAnsi="Arial"/>
                <w:sz w:val="16"/>
                <w:szCs w:val="16"/>
                <w:color w:val="auto"/>
              </w:rPr>
              <w:t>Repayments to subsidiaries for notes payable</w:t>
            </w:r>
          </w:p>
        </w:tc>
        <w:tc>
          <w:tcPr>
            <w:tcW w:w="2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3"/>
              </w:rPr>
              <w:t>(20,901)</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(44,145)</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(59,762)</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borrowings</w:t>
            </w:r>
          </w:p>
        </w:tc>
        <w:tc>
          <w:tcPr>
            <w:tcW w:w="2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213"/>
        </w:trPr>
        <w:tc>
          <w:tcPr>
            <w:tcW w:w="4020" w:type="dxa"/>
            <w:vAlign w:val="bottom"/>
          </w:tcPr>
          <w:p>
            <w:pPr>
              <w:ind w:left="140"/>
              <w:spacing w:after="0"/>
              <w:rPr>
                <w:sz w:val="20"/>
                <w:szCs w:val="20"/>
                <w:color w:val="auto"/>
              </w:rPr>
            </w:pPr>
            <w:r>
              <w:rPr>
                <w:rFonts w:ascii="Arial" w:cs="Arial" w:eastAsia="Arial" w:hAnsi="Arial"/>
                <w:sz w:val="16"/>
                <w:szCs w:val="16"/>
                <w:color w:val="auto"/>
              </w:rPr>
              <w:t>Repayments of long-term borrowings</w:t>
            </w:r>
          </w:p>
        </w:tc>
        <w:tc>
          <w:tcPr>
            <w:tcW w:w="2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common stock, net of issuance costs</w:t>
            </w:r>
          </w:p>
        </w:tc>
        <w:tc>
          <w:tcPr>
            <w:tcW w:w="2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39,085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91,029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020" w:type="dxa"/>
            <w:vAlign w:val="bottom"/>
          </w:tcPr>
          <w:p>
            <w:pPr>
              <w:ind w:left="140"/>
              <w:spacing w:after="0"/>
              <w:rPr>
                <w:sz w:val="20"/>
                <w:szCs w:val="20"/>
                <w:color w:val="auto"/>
              </w:rPr>
            </w:pPr>
            <w:r>
              <w:rPr>
                <w:rFonts w:ascii="Arial" w:cs="Arial" w:eastAsia="Arial" w:hAnsi="Arial"/>
                <w:sz w:val="16"/>
                <w:szCs w:val="16"/>
                <w:color w:val="auto"/>
              </w:rPr>
              <w:t>Debt issuance costs</w:t>
            </w:r>
          </w:p>
        </w:tc>
        <w:tc>
          <w:tcPr>
            <w:tcW w:w="2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paid</w:t>
            </w:r>
          </w:p>
        </w:tc>
        <w:tc>
          <w:tcPr>
            <w:tcW w:w="24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(43,582)</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(40,137)</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(36,509)</w:t>
            </w:r>
          </w:p>
        </w:tc>
        <w:tc>
          <w:tcPr>
            <w:tcW w:w="0" w:type="dxa"/>
            <w:vAlign w:val="bottom"/>
          </w:tcPr>
          <w:p>
            <w:pPr>
              <w:spacing w:after="0"/>
              <w:rPr>
                <w:sz w:val="1"/>
                <w:szCs w:val="1"/>
                <w:color w:val="auto"/>
              </w:rPr>
            </w:pPr>
          </w:p>
        </w:tc>
      </w:tr>
      <w:tr>
        <w:trPr>
          <w:trHeight w:val="206"/>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24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(10,267)</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(8,936)</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8,070</w:t>
            </w:r>
          </w:p>
        </w:tc>
        <w:tc>
          <w:tcPr>
            <w:tcW w:w="0" w:type="dxa"/>
            <w:vAlign w:val="bottom"/>
          </w:tcPr>
          <w:p>
            <w:pPr>
              <w:spacing w:after="0"/>
              <w:rPr>
                <w:sz w:val="1"/>
                <w:szCs w:val="1"/>
                <w:color w:val="auto"/>
              </w:rPr>
            </w:pPr>
          </w:p>
        </w:tc>
      </w:tr>
      <w:tr>
        <w:trPr>
          <w:trHeight w:val="213"/>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change in cash and cash equivalents</w:t>
            </w:r>
          </w:p>
        </w:tc>
        <w:tc>
          <w:tcPr>
            <w:tcW w:w="2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2,283</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2,423</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r>
        <w:trPr>
          <w:trHeight w:val="213"/>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Cash and cash equivalents, beginning of year</w:t>
            </w:r>
          </w:p>
        </w:tc>
        <w:tc>
          <w:tcPr>
            <w:tcW w:w="24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2,859</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1,035</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end of year</w:t>
            </w:r>
          </w:p>
        </w:tc>
        <w:tc>
          <w:tcPr>
            <w:tcW w:w="3340" w:type="dxa"/>
            <w:vAlign w:val="bottom"/>
            <w:gridSpan w:val="2"/>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Cash paid during the year for:</w:t>
            </w:r>
          </w:p>
        </w:tc>
        <w:tc>
          <w:tcPr>
            <w:tcW w:w="2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20" w:type="dxa"/>
            <w:vAlign w:val="bottom"/>
            <w:vMerge w:val="continue"/>
          </w:tcPr>
          <w:p>
            <w:pPr>
              <w:spacing w:after="0"/>
              <w:rPr>
                <w:sz w:val="14"/>
                <w:szCs w:val="14"/>
                <w:color w:val="auto"/>
              </w:rPr>
            </w:pPr>
          </w:p>
        </w:tc>
        <w:tc>
          <w:tcPr>
            <w:tcW w:w="2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w:t>
            </w:r>
          </w:p>
        </w:tc>
        <w:tc>
          <w:tcPr>
            <w:tcW w:w="3340" w:type="dxa"/>
            <w:vAlign w:val="bottom"/>
            <w:gridSpan w:val="2"/>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17,512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18,518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19,442</w:t>
            </w:r>
          </w:p>
        </w:tc>
        <w:tc>
          <w:tcPr>
            <w:tcW w:w="0" w:type="dxa"/>
            <w:vAlign w:val="bottom"/>
          </w:tcPr>
          <w:p>
            <w:pPr>
              <w:spacing w:after="0"/>
              <w:rPr>
                <w:sz w:val="1"/>
                <w:szCs w:val="1"/>
                <w:color w:val="auto"/>
              </w:rPr>
            </w:pPr>
          </w:p>
        </w:tc>
      </w:tr>
      <w:tr>
        <w:trPr>
          <w:trHeight w:val="213"/>
        </w:trPr>
        <w:tc>
          <w:tcPr>
            <w:tcW w:w="4020" w:type="dxa"/>
            <w:vAlign w:val="bottom"/>
          </w:tcPr>
          <w:p>
            <w:pPr>
              <w:ind w:left="140"/>
              <w:spacing w:after="0"/>
              <w:rPr>
                <w:sz w:val="20"/>
                <w:szCs w:val="20"/>
                <w:color w:val="auto"/>
              </w:rPr>
            </w:pPr>
            <w:r>
              <w:rPr>
                <w:rFonts w:ascii="Arial" w:cs="Arial" w:eastAsia="Arial" w:hAnsi="Arial"/>
                <w:sz w:val="16"/>
                <w:szCs w:val="16"/>
                <w:color w:val="auto"/>
              </w:rPr>
              <w:t>Income taxes</w:t>
            </w:r>
          </w:p>
        </w:tc>
        <w:tc>
          <w:tcPr>
            <w:tcW w:w="3340" w:type="dxa"/>
            <w:vAlign w:val="bottom"/>
            <w:gridSpan w:val="2"/>
          </w:tcPr>
          <w:p>
            <w:pPr>
              <w:jc w:val="right"/>
              <w:ind w:right="8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(5,483)</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(4,998)</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3,466</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non-cash activities:</w:t>
            </w:r>
          </w:p>
        </w:tc>
        <w:tc>
          <w:tcPr>
            <w:tcW w:w="2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20" w:type="dxa"/>
            <w:vAlign w:val="bottom"/>
          </w:tcPr>
          <w:p>
            <w:pPr>
              <w:ind w:left="140"/>
              <w:spacing w:after="0"/>
              <w:rPr>
                <w:sz w:val="20"/>
                <w:szCs w:val="20"/>
                <w:color w:val="auto"/>
              </w:rPr>
            </w:pPr>
            <w:r>
              <w:rPr>
                <w:rFonts w:ascii="Arial" w:cs="Arial" w:eastAsia="Arial" w:hAnsi="Arial"/>
                <w:sz w:val="16"/>
                <w:szCs w:val="16"/>
                <w:color w:val="auto"/>
                <w:w w:val="91"/>
              </w:rPr>
              <w:t>Share-based compensation from investment in subsidiaries</w:t>
            </w:r>
          </w:p>
        </w:tc>
        <w:tc>
          <w:tcPr>
            <w:tcW w:w="3340" w:type="dxa"/>
            <w:vAlign w:val="bottom"/>
            <w:gridSpan w:val="2"/>
          </w:tcPr>
          <w:p>
            <w:pPr>
              <w:jc w:val="right"/>
              <w:ind w:right="8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4,656</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4,413</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2,894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Schedule I</w:t>
      </w:r>
    </w:p>
    <w:p>
      <w:pPr>
        <w:sectPr>
          <w:pgSz w:w="11900" w:h="16838" w:orient="portrait"/>
          <w:cols w:equalWidth="0" w:num="1">
            <w:col w:w="11240"/>
          </w:cols>
          <w:pgMar w:left="320" w:top="10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FINANCIAL STATEMENT SCHEDULE</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SJW Group (Parent Only)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Dividends and Other Distributions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SJW Group is a legal entity separate and distinct from its various subsidiaries. As a holding company with no significant operations of its own, SJW Group’s principal sources of funds are dividends or other distributions from its operating subsidiaries, borrowings and the issuance of equity. The rights of SJW Group and, consequently, its creditors and shareholders, to participate in any distribution of assets of any of its subsidiaries are subject to certain prior claims of creditors of such subsidiary.</w:t>
      </w:r>
    </w:p>
    <w:p>
      <w:pPr>
        <w:spacing w:after="0" w:line="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The abilities of certain of SJW Group’s subsidiaries to transfer funds to SJW Group in the form of cash dividends, loans or advances are subject to certain contractual and regulatory restrictions. SJW Group and its subsidiaries are subject to debt covenants that could limit their respective abilities to pay dividends. For a discussion on these covenants, see </w:t>
      </w:r>
      <w:r>
        <w:rPr>
          <w:rFonts w:ascii="Arial" w:cs="Arial" w:eastAsia="Arial" w:hAnsi="Arial"/>
          <w:sz w:val="18"/>
          <w:szCs w:val="18"/>
          <w:u w:val="single" w:color="auto"/>
          <w:color w:val="0000FF"/>
        </w:rPr>
        <w:t>Note 6</w:t>
      </w:r>
      <w:r>
        <w:rPr>
          <w:rFonts w:ascii="Arial" w:cs="Arial" w:eastAsia="Arial" w:hAnsi="Arial"/>
          <w:sz w:val="18"/>
          <w:szCs w:val="18"/>
          <w:color w:val="auto"/>
        </w:rPr>
        <w:t>, “Long-term Debt” to SJW Group and Subsidiaries Notes to Consolidated Financial Statements. In addition, CTWS and its regulated subsidiaries are prohibited from paying dividends if not in compliance with minimum equity requirements under commitments made by SJW Group as part of the approval granted by the PURA and the Maine Public Utilities Commission in connection with the acquisition of CTWS.</w:t>
      </w:r>
    </w:p>
    <w:p>
      <w:pPr>
        <w:spacing w:after="0" w:line="8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December 31, 2022, the restricted net assets of SJW Group’s subsidiaries was approximately $366,512 or 33% of consolidated net assets of SJW Group.</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 SCHEDULE</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 AND RESERVES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380" w:type="dxa"/>
            <w:vAlign w:val="bottom"/>
          </w:tcPr>
          <w:p>
            <w:pPr>
              <w:spacing w:after="0"/>
              <w:rPr>
                <w:sz w:val="14"/>
                <w:szCs w:val="14"/>
                <w:color w:val="auto"/>
              </w:rPr>
            </w:pPr>
          </w:p>
        </w:tc>
        <w:tc>
          <w:tcPr>
            <w:tcW w:w="1160" w:type="dxa"/>
            <w:vAlign w:val="bottom"/>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520" w:type="dxa"/>
            <w:vAlign w:val="bottom"/>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520" w:type="dxa"/>
            <w:vAlign w:val="bottom"/>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gridSpan w:val="2"/>
          </w:tcPr>
          <w:p>
            <w:pPr>
              <w:ind w:left="120"/>
              <w:spacing w:after="0"/>
              <w:rPr>
                <w:sz w:val="20"/>
                <w:szCs w:val="20"/>
                <w:color w:val="auto"/>
              </w:rPr>
            </w:pPr>
            <w:r>
              <w:rPr>
                <w:rFonts w:ascii="Arial" w:cs="Arial" w:eastAsia="Arial" w:hAnsi="Arial"/>
                <w:sz w:val="18"/>
                <w:szCs w:val="18"/>
                <w:color w:val="auto"/>
              </w:rPr>
              <w:t>Balance, beginning of period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4,600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3,891</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Charged to expense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gridSpan w:val="2"/>
          </w:tcPr>
          <w:p>
            <w:pPr>
              <w:ind w:left="120"/>
              <w:spacing w:after="0"/>
              <w:rPr>
                <w:sz w:val="20"/>
                <w:szCs w:val="20"/>
                <w:color w:val="auto"/>
              </w:rPr>
            </w:pPr>
            <w:r>
              <w:rPr>
                <w:rFonts w:ascii="Arial" w:cs="Arial" w:eastAsia="Arial" w:hAnsi="Arial"/>
                <w:sz w:val="18"/>
                <w:szCs w:val="18"/>
                <w:color w:val="auto"/>
              </w:rPr>
              <w:t>Charged to regulatory asset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1,610</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3,032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Accounts written off</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Recoveries of accounts written off</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Balance, end of period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3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Reserve for litigation and claims: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638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Balance, beginning of period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gridSpan w:val="2"/>
          </w:tcPr>
          <w:p>
            <w:pPr>
              <w:ind w:left="120"/>
              <w:spacing w:after="0"/>
              <w:rPr>
                <w:sz w:val="20"/>
                <w:szCs w:val="20"/>
                <w:color w:val="auto"/>
              </w:rPr>
            </w:pPr>
            <w:r>
              <w:rPr>
                <w:rFonts w:ascii="Arial" w:cs="Arial" w:eastAsia="Arial" w:hAnsi="Arial"/>
                <w:sz w:val="18"/>
                <w:szCs w:val="18"/>
                <w:color w:val="auto"/>
              </w:rPr>
              <w:t>Charged to expense</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1,583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Revision to accrual, due to settlements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Payments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Balance, end of period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121"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SJW Group’s management, with the participation of its Chief Executive Officer and Chief Financial Officer, evaluated the effectiveness of SJW Group’s disclosure controls and procedures (as defined in Rules 13a-15(e) and 15d-15(e) under the Securities Exchange Act of 1934, as amended, the “Exchange Act”), as of the end of the period covered by this report. Based on that evaluation, the Chief Executive Officer and Chief Financial Officer concluded that SJW Group’s disclosure controls and procedures as of the end of the period covered by this report have been designed and are functioning effectively to provide reasonable assurance that the information required to be disclosed by SJW Group in the reports that it files or submits under the Exchange Act is recorded, processed, summarized and reported, within the time periods specified in the SEC’s rules and forms, and that such information is accumulated and communicated to management, including our Chief Executive Officer and Chief Financial Officer, or persons performing similar functions, as appropriate to allow timely decisions regarding required disclosure. SJW Group believes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SJW Group’s management is responsible for establishing and maintaining an adequate internal control structure over financial reporting and for an assessment of the effectiveness of internal control over financial reporting, as such items are defined in Rule 13a-15(f) and 15d-15(f) under the Exchange Act.</w:t>
      </w:r>
    </w:p>
    <w:p>
      <w:pPr>
        <w:spacing w:after="0" w:line="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Management has utilized the criteria established in “Internal Control-Integrated Framework (2013)” issued by the Committee of Sponsoring Organizations of the Treadway Commission to evaluate the effectiveness of internal control over financial reporting.</w:t>
      </w:r>
    </w:p>
    <w:p>
      <w:pPr>
        <w:spacing w:after="0" w:line="6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SJW Group’s management has performed an assessment of the effectiveness of internal control over financial reporting as of December 31, 2022. Based on this assessment, management has concluded SJW Group’s internal control over financial reporting as of December 31, 2022 was effective.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83" w:name="page84"/>
    <w:bookmarkEnd w:id="83"/>
    <w:p>
      <w:pPr>
        <w:ind w:right="80"/>
        <w:spacing w:after="0" w:line="277" w:lineRule="auto"/>
        <w:rPr>
          <w:sz w:val="20"/>
          <w:szCs w:val="20"/>
          <w:color w:val="auto"/>
        </w:rPr>
      </w:pPr>
      <w:r>
        <w:rPr>
          <w:rFonts w:ascii="Arial" w:cs="Arial" w:eastAsia="Arial" w:hAnsi="Arial"/>
          <w:sz w:val="18"/>
          <w:szCs w:val="18"/>
          <w:color w:val="auto"/>
        </w:rPr>
        <w:t xml:space="preserve">Our independent registered public accounting firm, DELOITTE &amp; TOUCHE LLP (PCAOB ID No. 34), has issued an auditors’ report on the effectiveness of our internal control over financial reporting, which is included in </w:t>
      </w:r>
      <w:r>
        <w:rPr>
          <w:rFonts w:ascii="Arial" w:cs="Arial" w:eastAsia="Arial" w:hAnsi="Arial"/>
          <w:sz w:val="18"/>
          <w:szCs w:val="18"/>
          <w:u w:val="single" w:color="auto"/>
          <w:color w:val="0000FF"/>
        </w:rPr>
        <w:t>Item 8</w:t>
      </w:r>
      <w:r>
        <w:rPr>
          <w:rFonts w:ascii="Arial" w:cs="Arial" w:eastAsia="Arial" w:hAnsi="Arial"/>
          <w:sz w:val="18"/>
          <w:szCs w:val="18"/>
          <w:color w:val="auto"/>
        </w:rPr>
        <w:t xml:space="preserve"> of this report.</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Changes in Internal Controls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There has been no change in internal control over financial reporting during the fourth fiscal quarter of 2022 that has materially affected, or is reasonably likely to materially affect, the internal controls over financial reporting of SJW Group.</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21" w:lineRule="exact"/>
        <w:rPr>
          <w:sz w:val="20"/>
          <w:szCs w:val="20"/>
          <w:color w:val="auto"/>
        </w:rPr>
      </w:pPr>
    </w:p>
    <w:p>
      <w:pPr>
        <w:ind w:right="1260"/>
        <w:spacing w:after="0" w:line="342" w:lineRule="auto"/>
        <w:rPr>
          <w:sz w:val="20"/>
          <w:szCs w:val="20"/>
          <w:color w:val="auto"/>
        </w:rPr>
      </w:pPr>
      <w:r>
        <w:rPr>
          <w:rFonts w:ascii="Arial" w:cs="Arial" w:eastAsia="Arial" w:hAnsi="Arial"/>
          <w:sz w:val="16"/>
          <w:szCs w:val="16"/>
          <w:color w:val="auto"/>
        </w:rPr>
        <w:t xml:space="preserve">SJW Group intends to post information about the operating and financial performance of SJW Group and its subsidiaries on its website </w:t>
      </w:r>
      <w:r>
        <w:rPr>
          <w:rFonts w:ascii="Arial" w:cs="Arial" w:eastAsia="Arial" w:hAnsi="Arial"/>
          <w:sz w:val="16"/>
          <w:szCs w:val="16"/>
          <w:i w:val="1"/>
          <w:iCs w:val="1"/>
          <w:color w:val="auto"/>
        </w:rPr>
        <w:t xml:space="preserve">http://www.sjwgroup.com </w:t>
      </w:r>
      <w:r>
        <w:rPr>
          <w:rFonts w:ascii="Arial" w:cs="Arial" w:eastAsia="Arial" w:hAnsi="Arial"/>
          <w:sz w:val="16"/>
          <w:szCs w:val="16"/>
          <w:color w:val="auto"/>
        </w:rPr>
        <w:t>from time to time. The content of SJW Group’s website is not incorporated by reference to or part of this report.</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5"/>
          <w:szCs w:val="15"/>
          <w:b w:val="1"/>
          <w:bCs w:val="1"/>
          <w:i w:val="1"/>
          <w:iCs w:val="1"/>
          <w:color w:val="auto"/>
        </w:rPr>
        <w:t>Disclosure Regarding Foreign Jurisdictions that Prevent Inspection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12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information required by this item is contained in part under the caption “Executive Officers of the Registrant” in Part I, Item 1, of this report, and in SJW Group’s Proxy Statement for its 2023 Annual Meeting of Stockholders to be held on April 26, 2023 (the “2023 Proxy Statement”) under the captions “PROPOSAL 1 ELECTION OF DIRECTORS” and “Delinquent Section 16(a) Reports,” and is incorporated herein by reference.</w:t>
      </w:r>
    </w:p>
    <w:p>
      <w:pPr>
        <w:spacing w:after="0" w:line="18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information required by this item is contained in the 2023 Proxy Statement under the captions “Compensation of Directors,” “Executive Compensation and Related Information,” “Compensation Committee Interlocks and Insider Participation,” and “Committee Reports” and is incorporated herein by reference.</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information required by this item is contained in the 2023 Proxy Statement under the captions “Security Ownership of Certain Beneficial Owners and Management” and “Securities Authorized for Issuance under Equity Compensation Plans” and is incorporated herein by reference.</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information required by this item is contained in the 2023 Proxy Statement under the caption “Certain Relationships and Related Transactions” and “Director Independence” and is incorporated herein by reference.</w:t>
      </w:r>
    </w:p>
    <w:p>
      <w:pPr>
        <w:spacing w:after="0" w:line="30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information required by this item is contained in the 2023 Proxy Statement under the caption “Principal Independent Accountants’ Fees and Services”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80" w:type="dxa"/>
            <w:vAlign w:val="bottom"/>
            <w:gridSpan w:val="3"/>
          </w:tcPr>
          <w:p>
            <w:pPr>
              <w:ind w:left="3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500" w:type="dxa"/>
            <w:vAlign w:val="bottom"/>
            <w:gridSpan w:val="2"/>
            <w:vMerge w:val="restart"/>
          </w:tcPr>
          <w:p>
            <w:pPr>
              <w:spacing w:after="0"/>
              <w:rPr>
                <w:sz w:val="20"/>
                <w:szCs w:val="20"/>
                <w:color w:val="auto"/>
              </w:rPr>
            </w:pPr>
            <w:r>
              <w:rPr>
                <w:rFonts w:ascii="Arial" w:cs="Arial" w:eastAsia="Arial" w:hAnsi="Arial"/>
                <w:sz w:val="18"/>
                <w:szCs w:val="18"/>
                <w:color w:val="auto"/>
              </w:rPr>
              <w:t>(a)(1)</w:t>
            </w:r>
          </w:p>
        </w:tc>
        <w:tc>
          <w:tcPr>
            <w:tcW w:w="9840" w:type="dxa"/>
            <w:vAlign w:val="bottom"/>
            <w:gridSpan w:val="9"/>
            <w:vMerge w:val="restart"/>
          </w:tcPr>
          <w:p>
            <w:pPr>
              <w:ind w:left="100"/>
              <w:spacing w:after="0"/>
              <w:rPr>
                <w:sz w:val="20"/>
                <w:szCs w:val="20"/>
                <w:color w:val="auto"/>
              </w:rPr>
            </w:pPr>
            <w:r>
              <w:rPr>
                <w:rFonts w:ascii="Arial" w:cs="Arial" w:eastAsia="Arial" w:hAnsi="Arial"/>
                <w:sz w:val="18"/>
                <w:szCs w:val="18"/>
                <w:color w:val="auto"/>
              </w:rPr>
              <w:t>Financial Statements</w:t>
            </w: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00" w:type="dxa"/>
            <w:vAlign w:val="bottom"/>
            <w:gridSpan w:val="2"/>
            <w:vMerge w:val="continue"/>
          </w:tcPr>
          <w:p>
            <w:pPr>
              <w:spacing w:after="0"/>
              <w:rPr>
                <w:sz w:val="18"/>
                <w:szCs w:val="18"/>
                <w:color w:val="auto"/>
              </w:rPr>
            </w:pPr>
          </w:p>
        </w:tc>
        <w:tc>
          <w:tcPr>
            <w:tcW w:w="9840" w:type="dxa"/>
            <w:vAlign w:val="bottom"/>
            <w:gridSpan w:val="9"/>
            <w:vMerge w:val="continue"/>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0220" w:type="dxa"/>
            <w:vAlign w:val="bottom"/>
            <w:gridSpan w:val="10"/>
          </w:tcPr>
          <w:p>
            <w:pPr>
              <w:spacing w:after="0"/>
              <w:rPr>
                <w:sz w:val="20"/>
                <w:szCs w:val="20"/>
                <w:color w:val="auto"/>
              </w:rPr>
            </w:pPr>
            <w:r>
              <w:rPr>
                <w:rFonts w:ascii="Arial" w:cs="Arial" w:eastAsia="Arial" w:hAnsi="Arial"/>
                <w:sz w:val="18"/>
                <w:szCs w:val="18"/>
                <w:color w:val="0000FF"/>
              </w:rPr>
              <w:t>Report of Independent Registered Public Accounting Firm</w:t>
            </w:r>
          </w:p>
        </w:tc>
        <w:tc>
          <w:tcPr>
            <w:tcW w:w="860" w:type="dxa"/>
            <w:vAlign w:val="bottom"/>
            <w:gridSpan w:val="2"/>
          </w:tcPr>
          <w:p>
            <w:pPr>
              <w:jc w:val="right"/>
              <w:spacing w:after="0"/>
              <w:rPr>
                <w:sz w:val="20"/>
                <w:szCs w:val="20"/>
                <w:color w:val="auto"/>
              </w:rPr>
            </w:pPr>
            <w:r>
              <w:rPr>
                <w:rFonts w:ascii="Arial" w:cs="Arial" w:eastAsia="Arial" w:hAnsi="Arial"/>
                <w:sz w:val="18"/>
                <w:szCs w:val="18"/>
                <w:color w:val="0000FF"/>
              </w:rPr>
              <w:t>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46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8"/>
              </w:rPr>
              <w:t>Consolidated Balance Sheets as of December 31, 2022 and 2021</w:t>
            </w:r>
          </w:p>
        </w:tc>
        <w:tc>
          <w:tcPr>
            <w:tcW w:w="5560" w:type="dxa"/>
            <w:vAlign w:val="bottom"/>
            <w:gridSpan w:val="6"/>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10220" w:type="dxa"/>
            <w:vAlign w:val="bottom"/>
            <w:gridSpan w:val="10"/>
          </w:tcPr>
          <w:p>
            <w:pPr>
              <w:spacing w:after="0"/>
              <w:rPr>
                <w:sz w:val="20"/>
                <w:szCs w:val="20"/>
                <w:color w:val="auto"/>
              </w:rPr>
            </w:pPr>
            <w:r>
              <w:rPr>
                <w:rFonts w:ascii="Arial" w:cs="Arial" w:eastAsia="Arial" w:hAnsi="Arial"/>
                <w:sz w:val="18"/>
                <w:szCs w:val="18"/>
                <w:color w:val="0000FF"/>
              </w:rPr>
              <w:t>Consolidated Statements of Comprehensive Income for the Years ended December 31, 2022, 2021 and 2020</w:t>
            </w:r>
          </w:p>
        </w:tc>
        <w:tc>
          <w:tcPr>
            <w:tcW w:w="860" w:type="dxa"/>
            <w:vAlign w:val="bottom"/>
            <w:gridSpan w:val="2"/>
          </w:tcPr>
          <w:p>
            <w:pPr>
              <w:jc w:val="right"/>
              <w:spacing w:after="0"/>
              <w:rPr>
                <w:sz w:val="20"/>
                <w:szCs w:val="20"/>
                <w:color w:val="auto"/>
              </w:rPr>
            </w:pPr>
            <w:r>
              <w:rPr>
                <w:rFonts w:ascii="Arial" w:cs="Arial" w:eastAsia="Arial" w:hAnsi="Arial"/>
                <w:sz w:val="18"/>
                <w:szCs w:val="18"/>
                <w:color w:val="0000FF"/>
              </w:rPr>
              <w:t>51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378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10220" w:type="dxa"/>
            <w:vAlign w:val="bottom"/>
            <w:gridSpan w:val="10"/>
          </w:tcPr>
          <w:p>
            <w:pPr>
              <w:spacing w:after="0"/>
              <w:rPr>
                <w:sz w:val="20"/>
                <w:szCs w:val="20"/>
                <w:color w:val="auto"/>
              </w:rPr>
            </w:pPr>
            <w:r>
              <w:rPr>
                <w:rFonts w:ascii="Arial" w:cs="Arial" w:eastAsia="Arial" w:hAnsi="Arial"/>
                <w:sz w:val="18"/>
                <w:szCs w:val="18"/>
                <w:color w:val="0000FF"/>
              </w:rPr>
              <w:t>Consolidated Statements of Changes in Stockholders’ Equity for the Years ended December 31, 2022, 2021 and 2020</w:t>
            </w:r>
          </w:p>
        </w:tc>
        <w:tc>
          <w:tcPr>
            <w:tcW w:w="860" w:type="dxa"/>
            <w:vAlign w:val="bottom"/>
            <w:gridSpan w:val="2"/>
          </w:tcPr>
          <w:p>
            <w:pPr>
              <w:jc w:val="right"/>
              <w:spacing w:after="0"/>
              <w:rPr>
                <w:sz w:val="20"/>
                <w:szCs w:val="20"/>
                <w:color w:val="auto"/>
              </w:rPr>
            </w:pPr>
            <w:r>
              <w:rPr>
                <w:rFonts w:ascii="Arial" w:cs="Arial" w:eastAsia="Arial" w:hAnsi="Arial"/>
                <w:sz w:val="18"/>
                <w:szCs w:val="18"/>
                <w:color w:val="0000FF"/>
              </w:rPr>
              <w:t>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69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89"/>
              </w:rPr>
              <w:t>Consolidated Statements of Cash Flows for the Years ended December 31, 2022, 2021 and 2020</w:t>
            </w:r>
          </w:p>
        </w:tc>
        <w:tc>
          <w:tcPr>
            <w:tcW w:w="1520" w:type="dxa"/>
            <w:vAlign w:val="bottom"/>
            <w:tcBorders>
              <w:top w:val="single" w:sz="8" w:color="0000FF"/>
            </w:tcBorders>
            <w:gridSpan w:val="4"/>
          </w:tcPr>
          <w:p>
            <w:pPr>
              <w:spacing w:after="0"/>
              <w:rPr>
                <w:sz w:val="22"/>
                <w:szCs w:val="22"/>
                <w:color w:val="auto"/>
              </w:rPr>
            </w:pPr>
          </w:p>
        </w:tc>
        <w:tc>
          <w:tcPr>
            <w:tcW w:w="1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53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31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9"/>
              </w:rPr>
              <w:t>Notes to Consolidated Financial Statements</w:t>
            </w:r>
          </w:p>
        </w:tc>
        <w:tc>
          <w:tcPr>
            <w:tcW w:w="7060" w:type="dxa"/>
            <w:vAlign w:val="bottom"/>
            <w:gridSpan w:val="8"/>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00" w:type="dxa"/>
            <w:vAlign w:val="bottom"/>
            <w:gridSpan w:val="2"/>
          </w:tcPr>
          <w:p>
            <w:pPr>
              <w:spacing w:after="0"/>
              <w:rPr>
                <w:sz w:val="20"/>
                <w:szCs w:val="20"/>
                <w:color w:val="auto"/>
              </w:rPr>
            </w:pPr>
            <w:r>
              <w:rPr>
                <w:rFonts w:ascii="Arial" w:cs="Arial" w:eastAsia="Arial" w:hAnsi="Arial"/>
                <w:sz w:val="18"/>
                <w:szCs w:val="18"/>
                <w:color w:val="auto"/>
              </w:rPr>
              <w:t>(a)(2)</w:t>
            </w:r>
          </w:p>
        </w:tc>
        <w:tc>
          <w:tcPr>
            <w:tcW w:w="9840" w:type="dxa"/>
            <w:vAlign w:val="bottom"/>
            <w:gridSpan w:val="9"/>
          </w:tcPr>
          <w:p>
            <w:pPr>
              <w:ind w:left="100"/>
              <w:spacing w:after="0"/>
              <w:rPr>
                <w:sz w:val="20"/>
                <w:szCs w:val="20"/>
                <w:color w:val="auto"/>
              </w:rPr>
            </w:pPr>
            <w:r>
              <w:rPr>
                <w:rFonts w:ascii="Arial" w:cs="Arial" w:eastAsia="Arial" w:hAnsi="Arial"/>
                <w:sz w:val="18"/>
                <w:szCs w:val="18"/>
                <w:color w:val="auto"/>
              </w:rPr>
              <w:t>Financial Statement Schedule</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81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0"/>
              </w:rPr>
              <w:t>Condensed Financial Information for SJW Group (Parent Only), Years ended December 31, 2022, 2021 and 2020</w:t>
            </w:r>
          </w:p>
        </w:tc>
        <w:tc>
          <w:tcPr>
            <w:tcW w:w="2040" w:type="dxa"/>
            <w:vAlign w:val="bottom"/>
            <w:gridSpan w:val="2"/>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71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9"/>
              </w:rPr>
              <w:t>Valuation and Qualifying Accounts and Reserves, Years ended December 31, 2022, 2021 and 2020</w:t>
            </w:r>
          </w:p>
        </w:tc>
        <w:tc>
          <w:tcPr>
            <w:tcW w:w="3080" w:type="dxa"/>
            <w:vAlign w:val="bottom"/>
            <w:gridSpan w:val="4"/>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other schedules are omitted as the required information is inapplicable or the information is presented in the consolidated financial statements or related notes.</w:t>
      </w:r>
    </w:p>
    <w:p>
      <w:pPr>
        <w:spacing w:after="0" w:line="62"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6"/>
          <w:szCs w:val="16"/>
          <w:color w:val="auto"/>
        </w:rPr>
        <w:t>Exhibits required to be filed by Item 601 of Regulation 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located immediately following this Item 15.</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exhibits filed herewith are attached hereto (except as noted) and those indicated on the Exhibit Index, which are not filed herewith, were previously filed with the Securities and Exchange Commission as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85" w:name="page86"/>
    <w:bookmarkEnd w:id="85"/>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940" w:type="dxa"/>
            <w:vAlign w:val="bottom"/>
            <w:gridSpan w:val="22"/>
          </w:tcPr>
          <w:p>
            <w:pPr>
              <w:ind w:left="660"/>
              <w:spacing w:after="0"/>
              <w:rPr>
                <w:sz w:val="20"/>
                <w:szCs w:val="20"/>
                <w:color w:val="auto"/>
              </w:rPr>
            </w:pPr>
            <w:r>
              <w:rPr>
                <w:rFonts w:ascii="Arial" w:cs="Arial" w:eastAsia="Arial" w:hAnsi="Arial"/>
                <w:sz w:val="18"/>
                <w:szCs w:val="18"/>
                <w:color w:val="auto"/>
              </w:rPr>
              <w:t>EXHIBIT INDEX</w:t>
            </w:r>
          </w:p>
        </w:tc>
      </w:tr>
      <w:tr>
        <w:trPr>
          <w:trHeight w:val="553"/>
        </w:trPr>
        <w:tc>
          <w:tcPr>
            <w:tcW w:w="150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40" w:type="dxa"/>
            <w:vAlign w:val="bottom"/>
            <w:gridSpan w:val="22"/>
          </w:tcPr>
          <w:p>
            <w:pPr>
              <w:ind w:left="1620"/>
              <w:spacing w:after="0"/>
              <w:rPr>
                <w:sz w:val="20"/>
                <w:szCs w:val="20"/>
                <w:color w:val="auto"/>
              </w:rPr>
            </w:pPr>
            <w:r>
              <w:rPr>
                <w:rFonts w:ascii="Arial" w:cs="Arial" w:eastAsia="Arial" w:hAnsi="Arial"/>
                <w:sz w:val="18"/>
                <w:szCs w:val="18"/>
                <w:b w:val="1"/>
                <w:bCs w:val="1"/>
                <w:color w:val="auto"/>
              </w:rPr>
              <w:t>Description</w:t>
            </w:r>
          </w:p>
        </w:tc>
      </w:tr>
      <w:tr>
        <w:trPr>
          <w:trHeight w:val="317"/>
        </w:trPr>
        <w:tc>
          <w:tcPr>
            <w:tcW w:w="1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720" w:type="dxa"/>
            <w:vAlign w:val="bottom"/>
            <w:tcBorders>
              <w:top w:val="single" w:sz="8" w:color="auto"/>
            </w:tcBorders>
            <w:gridSpan w:val="26"/>
          </w:tcPr>
          <w:p>
            <w:pPr>
              <w:spacing w:after="0"/>
              <w:rPr>
                <w:rFonts w:ascii="Arial" w:cs="Arial" w:eastAsia="Arial" w:hAnsi="Arial"/>
                <w:sz w:val="18"/>
                <w:szCs w:val="18"/>
                <w:color w:val="0000FF"/>
                <w:w w:val="98"/>
              </w:rPr>
            </w:pPr>
            <w:hyperlink r:id="rId110">
              <w:r>
                <w:rPr>
                  <w:rFonts w:ascii="Arial" w:cs="Arial" w:eastAsia="Arial" w:hAnsi="Arial"/>
                  <w:sz w:val="18"/>
                  <w:szCs w:val="18"/>
                  <w:color w:val="0000FF"/>
                  <w:w w:val="98"/>
                </w:rPr>
                <w:t>Equity Distribution Agreement, dated November 17, 2021, by and among the Company, J.P. Morgan Securities LLC, Janney</w:t>
              </w:r>
            </w:hyperlink>
          </w:p>
        </w:tc>
      </w:tr>
      <w:tr>
        <w:trPr>
          <w:trHeight w:val="156"/>
        </w:trPr>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tcBorders>
            <w:gridSpan w:val="13"/>
          </w:tcPr>
          <w:p>
            <w:pPr>
              <w:spacing w:after="0" w:line="156" w:lineRule="exact"/>
              <w:rPr>
                <w:rFonts w:ascii="Arial" w:cs="Arial" w:eastAsia="Arial" w:hAnsi="Arial"/>
                <w:sz w:val="18"/>
                <w:szCs w:val="18"/>
                <w:color w:val="0000FF"/>
                <w:w w:val="92"/>
              </w:rPr>
            </w:pPr>
            <w:hyperlink r:id="rId110">
              <w:r>
                <w:rPr>
                  <w:rFonts w:ascii="Arial" w:cs="Arial" w:eastAsia="Arial" w:hAnsi="Arial"/>
                  <w:sz w:val="18"/>
                  <w:szCs w:val="18"/>
                  <w:color w:val="0000FF"/>
                  <w:w w:val="92"/>
                </w:rPr>
                <w:t>Montgomery Scott LLC, RBC Capital Markets, LLC and Wells Fargo Securities, LLC. Incorporated by reference to Exhibit</w:t>
              </w:r>
            </w:hyperlink>
          </w:p>
        </w:tc>
        <w:tc>
          <w:tcPr>
            <w:tcW w:w="760" w:type="dxa"/>
            <w:vAlign w:val="bottom"/>
            <w:gridSpan w:val="13"/>
          </w:tcPr>
          <w:p>
            <w:pPr>
              <w:spacing w:after="0" w:line="156" w:lineRule="exact"/>
              <w:rPr>
                <w:rFonts w:ascii="Arial" w:cs="Arial" w:eastAsia="Arial" w:hAnsi="Arial"/>
                <w:sz w:val="18"/>
                <w:szCs w:val="18"/>
                <w:color w:val="0000FF"/>
                <w:w w:val="98"/>
              </w:rPr>
            </w:pPr>
            <w:hyperlink r:id="rId110">
              <w:r>
                <w:rPr>
                  <w:rFonts w:ascii="Arial" w:cs="Arial" w:eastAsia="Arial" w:hAnsi="Arial"/>
                  <w:sz w:val="18"/>
                  <w:szCs w:val="18"/>
                  <w:color w:val="0000FF"/>
                  <w:w w:val="98"/>
                </w:rPr>
                <w:t>1.1 to the</w:t>
              </w:r>
            </w:hyperlink>
          </w:p>
        </w:tc>
      </w:tr>
      <w:tr>
        <w:trPr>
          <w:trHeight w:val="169"/>
        </w:trPr>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60" w:type="dxa"/>
            <w:vAlign w:val="bottom"/>
            <w:tcBorders>
              <w:top w:val="single" w:sz="8" w:color="0000FF"/>
            </w:tcBorders>
            <w:gridSpan w:val="23"/>
          </w:tcPr>
          <w:p>
            <w:pPr>
              <w:spacing w:after="0" w:line="169" w:lineRule="exact"/>
              <w:rPr>
                <w:rFonts w:ascii="Arial" w:cs="Arial" w:eastAsia="Arial" w:hAnsi="Arial"/>
                <w:sz w:val="18"/>
                <w:szCs w:val="18"/>
                <w:color w:val="0000FF"/>
              </w:rPr>
            </w:pPr>
            <w:hyperlink r:id="rId110">
              <w:r>
                <w:rPr>
                  <w:rFonts w:ascii="Arial" w:cs="Arial" w:eastAsia="Arial" w:hAnsi="Arial"/>
                  <w:sz w:val="18"/>
                  <w:szCs w:val="18"/>
                  <w:color w:val="0000FF"/>
                </w:rPr>
                <w:t>Form 8-K filed on November 17, 2021</w:t>
              </w:r>
              <w:r>
                <w:rPr>
                  <w:rFonts w:ascii="Arial" w:cs="Arial" w:eastAsia="Arial" w:hAnsi="Arial"/>
                  <w:sz w:val="18"/>
                  <w:szCs w:val="18"/>
                  <w:color w:val="000000"/>
                </w:rPr>
                <w:t>. (2)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40" w:type="dxa"/>
            <w:vAlign w:val="bottom"/>
          </w:tcPr>
          <w:p>
            <w:pPr>
              <w:ind w:left="2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6"/>
          </w:tcPr>
          <w:p>
            <w:pPr>
              <w:spacing w:after="0"/>
              <w:rPr>
                <w:rFonts w:ascii="Arial" w:cs="Arial" w:eastAsia="Arial" w:hAnsi="Arial"/>
                <w:sz w:val="18"/>
                <w:szCs w:val="18"/>
                <w:color w:val="0000FF"/>
                <w:w w:val="95"/>
              </w:rPr>
            </w:pPr>
            <w:hyperlink r:id="rId111">
              <w:r>
                <w:rPr>
                  <w:rFonts w:ascii="Arial" w:cs="Arial" w:eastAsia="Arial" w:hAnsi="Arial"/>
                  <w:sz w:val="18"/>
                  <w:szCs w:val="18"/>
                  <w:color w:val="0000FF"/>
                  <w:w w:val="95"/>
                </w:rPr>
                <w:t>Agreement and Plan of Merger, dated as of March 14, 2018, by and among SJW Group, Hydro Sub, Inc. and Connecticut Water</w:t>
              </w:r>
            </w:hyperlink>
          </w:p>
        </w:tc>
      </w:tr>
      <w:tr>
        <w:trPr>
          <w:trHeight w:val="156"/>
        </w:trPr>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11">
              <w:r>
                <w:rPr>
                  <w:rFonts w:ascii="Arial" w:cs="Arial" w:eastAsia="Arial" w:hAnsi="Arial"/>
                  <w:sz w:val="18"/>
                  <w:szCs w:val="18"/>
                  <w:color w:val="0000FF"/>
                </w:rPr>
                <w:t>Service, Inc. Incorporated by reference as Exhibit 2.1 to Form 8-K filed on March 15, 2018</w:t>
              </w:r>
              <w:r>
                <w:rPr>
                  <w:rFonts w:ascii="Arial" w:cs="Arial" w:eastAsia="Arial" w:hAnsi="Arial"/>
                  <w:sz w:val="18"/>
                  <w:szCs w:val="18"/>
                  <w:color w:val="000000"/>
                </w:rPr>
                <w:t>.</w:t>
              </w:r>
            </w:hyperlink>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40" w:type="dxa"/>
            <w:vAlign w:val="bottom"/>
          </w:tcPr>
          <w:p>
            <w:pPr>
              <w:ind w:left="2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6"/>
          </w:tcPr>
          <w:p>
            <w:pPr>
              <w:spacing w:after="0"/>
              <w:rPr>
                <w:rFonts w:ascii="Arial" w:cs="Arial" w:eastAsia="Arial" w:hAnsi="Arial"/>
                <w:sz w:val="18"/>
                <w:szCs w:val="18"/>
                <w:color w:val="0000FF"/>
                <w:w w:val="92"/>
              </w:rPr>
            </w:pPr>
            <w:hyperlink r:id="rId112">
              <w:r>
                <w:rPr>
                  <w:rFonts w:ascii="Arial" w:cs="Arial" w:eastAsia="Arial" w:hAnsi="Arial"/>
                  <w:sz w:val="18"/>
                  <w:szCs w:val="18"/>
                  <w:color w:val="0000FF"/>
                  <w:w w:val="92"/>
                </w:rPr>
                <w:t>Amended and Restated Agreement and Plan of Merger, dated as of May 30, 2018, by and among SJW Group, Hydro Sub, Inc. and</w:t>
              </w:r>
            </w:hyperlink>
          </w:p>
        </w:tc>
      </w:tr>
      <w:tr>
        <w:trPr>
          <w:trHeight w:val="155"/>
        </w:trPr>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12">
              <w:r>
                <w:rPr>
                  <w:rFonts w:ascii="Arial" w:cs="Arial" w:eastAsia="Arial" w:hAnsi="Arial"/>
                  <w:sz w:val="18"/>
                  <w:szCs w:val="18"/>
                  <w:color w:val="0000FF"/>
                </w:rPr>
                <w:t>Connecticut Water Service, Inc. Incorporated by reference as Exhibit 2.1 to Form 8-K filed on May 31, 2018</w:t>
              </w:r>
              <w:r>
                <w:rPr>
                  <w:rFonts w:ascii="Arial" w:cs="Arial" w:eastAsia="Arial" w:hAnsi="Arial"/>
                  <w:sz w:val="18"/>
                  <w:szCs w:val="18"/>
                  <w:color w:val="000000"/>
                </w:rPr>
                <w:t>.</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40" w:type="dxa"/>
            <w:vAlign w:val="bottom"/>
          </w:tcPr>
          <w:p>
            <w:pPr>
              <w:ind w:left="2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6"/>
          </w:tcPr>
          <w:p>
            <w:pPr>
              <w:spacing w:after="0"/>
              <w:rPr>
                <w:rFonts w:ascii="Arial" w:cs="Arial" w:eastAsia="Arial" w:hAnsi="Arial"/>
                <w:sz w:val="18"/>
                <w:szCs w:val="18"/>
                <w:color w:val="0000FF"/>
                <w:w w:val="92"/>
              </w:rPr>
            </w:pPr>
            <w:hyperlink r:id="rId113">
              <w:r>
                <w:rPr>
                  <w:rFonts w:ascii="Arial" w:cs="Arial" w:eastAsia="Arial" w:hAnsi="Arial"/>
                  <w:sz w:val="18"/>
                  <w:szCs w:val="18"/>
                  <w:color w:val="0000FF"/>
                  <w:w w:val="92"/>
                </w:rPr>
                <w:t>Second Amended and Restated Agreement and Plan of Merger, dated as of August 5, 2018, by and among SJW Group, Hydro Sub,</w:t>
              </w:r>
            </w:hyperlink>
          </w:p>
        </w:tc>
      </w:tr>
      <w:tr>
        <w:trPr>
          <w:trHeight w:val="155"/>
        </w:trPr>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19"/>
          </w:tcPr>
          <w:p>
            <w:pPr>
              <w:spacing w:after="0" w:line="156" w:lineRule="exact"/>
              <w:rPr>
                <w:rFonts w:ascii="Arial" w:cs="Arial" w:eastAsia="Arial" w:hAnsi="Arial"/>
                <w:sz w:val="18"/>
                <w:szCs w:val="18"/>
                <w:color w:val="0000FF"/>
                <w:w w:val="97"/>
              </w:rPr>
            </w:pPr>
            <w:hyperlink r:id="rId113">
              <w:r>
                <w:rPr>
                  <w:rFonts w:ascii="Arial" w:cs="Arial" w:eastAsia="Arial" w:hAnsi="Arial"/>
                  <w:sz w:val="18"/>
                  <w:szCs w:val="18"/>
                  <w:color w:val="0000FF"/>
                  <w:w w:val="97"/>
                </w:rPr>
                <w:t>Inc. and Connecticut Water Service, Inc. Incorporated by reference as Exhibit 2.1 to Form 8-K filed on August 6, 2018</w:t>
              </w:r>
              <w:r>
                <w:rPr>
                  <w:rFonts w:ascii="Arial" w:cs="Arial" w:eastAsia="Arial" w:hAnsi="Arial"/>
                  <w:sz w:val="18"/>
                  <w:szCs w:val="18"/>
                  <w:color w:val="000000"/>
                  <w:w w:val="97"/>
                </w:rPr>
                <w:t>. (3)</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40" w:type="dxa"/>
            <w:vAlign w:val="bottom"/>
          </w:tcPr>
          <w:p>
            <w:pPr>
              <w:ind w:left="2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6"/>
          </w:tcPr>
          <w:p>
            <w:pPr>
              <w:spacing w:after="0"/>
              <w:rPr>
                <w:rFonts w:ascii="Arial" w:cs="Arial" w:eastAsia="Arial" w:hAnsi="Arial"/>
                <w:sz w:val="18"/>
                <w:szCs w:val="18"/>
                <w:color w:val="0000FF"/>
                <w:w w:val="98"/>
              </w:rPr>
            </w:pPr>
            <w:hyperlink r:id="rId114">
              <w:r>
                <w:rPr>
                  <w:rFonts w:ascii="Arial" w:cs="Arial" w:eastAsia="Arial" w:hAnsi="Arial"/>
                  <w:sz w:val="18"/>
                  <w:szCs w:val="18"/>
                  <w:color w:val="0000FF"/>
                  <w:w w:val="98"/>
                </w:rPr>
                <w:t>Certificate of Incorporation of SJW Group. Incorporated by reference to Exhibit 3.1 to Form 8-K filed on November 15, 2016</w:t>
              </w:r>
            </w:hyperlink>
            <w:r>
              <w:rPr>
                <w:rFonts w:ascii="Arial" w:cs="Arial" w:eastAsia="Arial" w:hAnsi="Arial"/>
                <w:sz w:val="18"/>
                <w:szCs w:val="18"/>
                <w:color w:val="000000"/>
                <w:w w:val="98"/>
              </w:rPr>
              <w:t>.</w:t>
            </w: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4"/>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40" w:type="dxa"/>
            <w:vAlign w:val="bottom"/>
          </w:tcPr>
          <w:p>
            <w:pPr>
              <w:ind w:left="2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6"/>
          </w:tcPr>
          <w:p>
            <w:pPr>
              <w:spacing w:after="0"/>
              <w:rPr>
                <w:rFonts w:ascii="Arial" w:cs="Arial" w:eastAsia="Arial" w:hAnsi="Arial"/>
                <w:sz w:val="18"/>
                <w:szCs w:val="18"/>
                <w:color w:val="0000FF"/>
                <w:w w:val="95"/>
              </w:rPr>
            </w:pPr>
            <w:hyperlink r:id="rId115">
              <w:r>
                <w:rPr>
                  <w:rFonts w:ascii="Arial" w:cs="Arial" w:eastAsia="Arial" w:hAnsi="Arial"/>
                  <w:sz w:val="18"/>
                  <w:szCs w:val="18"/>
                  <w:color w:val="0000FF"/>
                  <w:w w:val="95"/>
                </w:rPr>
                <w:t>Certificate of Amendment of the Certificate of Incorporation of SJW Group. Incorporated by reference to Exhibit 3.3 to Form 8-K</w:t>
              </w:r>
            </w:hyperlink>
          </w:p>
        </w:tc>
      </w:tr>
      <w:tr>
        <w:trPr>
          <w:trHeight w:val="155"/>
        </w:trPr>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15">
              <w:r>
                <w:rPr>
                  <w:rFonts w:ascii="Arial" w:cs="Arial" w:eastAsia="Arial" w:hAnsi="Arial"/>
                  <w:sz w:val="18"/>
                  <w:szCs w:val="18"/>
                  <w:color w:val="0000FF"/>
                </w:rPr>
                <w:t>filed on November 15, 2016</w:t>
              </w:r>
              <w:r>
                <w:rPr>
                  <w:rFonts w:ascii="Arial" w:cs="Arial" w:eastAsia="Arial" w:hAnsi="Arial"/>
                  <w:sz w:val="18"/>
                  <w:szCs w:val="18"/>
                  <w:color w:val="000000"/>
                </w:rPr>
                <w:t>.</w:t>
              </w:r>
            </w:hyperlink>
          </w:p>
        </w:tc>
        <w:tc>
          <w:tcPr>
            <w:tcW w:w="1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40" w:type="dxa"/>
            <w:vAlign w:val="bottom"/>
          </w:tcPr>
          <w:p>
            <w:pPr>
              <w:ind w:left="2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6"/>
          </w:tcPr>
          <w:p>
            <w:pPr>
              <w:spacing w:after="0"/>
              <w:rPr>
                <w:rFonts w:ascii="Arial" w:cs="Arial" w:eastAsia="Arial" w:hAnsi="Arial"/>
                <w:sz w:val="18"/>
                <w:szCs w:val="18"/>
                <w:color w:val="0000FF"/>
                <w:w w:val="92"/>
              </w:rPr>
            </w:pPr>
            <w:hyperlink r:id="rId116">
              <w:r>
                <w:rPr>
                  <w:rFonts w:ascii="Arial" w:cs="Arial" w:eastAsia="Arial" w:hAnsi="Arial"/>
                  <w:sz w:val="18"/>
                  <w:szCs w:val="18"/>
                  <w:color w:val="0000FF"/>
                  <w:w w:val="92"/>
                </w:rPr>
                <w:t>Certificate of Amendment of Certificate of Incorporation of SJW Group dated April 24, 2019. Incorporated by reference to Exhibit 3.1</w:t>
              </w:r>
            </w:hyperlink>
          </w:p>
        </w:tc>
      </w:tr>
      <w:tr>
        <w:trPr>
          <w:trHeight w:val="156"/>
        </w:trPr>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16">
              <w:r>
                <w:rPr>
                  <w:rFonts w:ascii="Arial" w:cs="Arial" w:eastAsia="Arial" w:hAnsi="Arial"/>
                  <w:sz w:val="18"/>
                  <w:szCs w:val="18"/>
                  <w:color w:val="0000FF"/>
                </w:rPr>
                <w:t>to Form 8-K filed on April 25, 2019</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1"/>
        </w:trPr>
        <w:tc>
          <w:tcPr>
            <w:tcW w:w="1240" w:type="dxa"/>
            <w:vAlign w:val="bottom"/>
          </w:tcPr>
          <w:p>
            <w:pPr>
              <w:ind w:left="20"/>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6"/>
          </w:tcPr>
          <w:p>
            <w:pPr>
              <w:spacing w:after="0"/>
              <w:rPr>
                <w:rFonts w:ascii="Arial" w:cs="Arial" w:eastAsia="Arial" w:hAnsi="Arial"/>
                <w:sz w:val="18"/>
                <w:szCs w:val="18"/>
                <w:color w:val="0000FF"/>
              </w:rPr>
            </w:pPr>
            <w:hyperlink r:id="rId117">
              <w:r>
                <w:rPr>
                  <w:rFonts w:ascii="Arial" w:cs="Arial" w:eastAsia="Arial" w:hAnsi="Arial"/>
                  <w:sz w:val="18"/>
                  <w:szCs w:val="18"/>
                  <w:color w:val="0000FF"/>
                </w:rPr>
                <w:t>Bylaws of SJW Group. Incorporated by reference to Exhibit 3.2 to Form 8-K filed on November 15, 2016</w:t>
              </w:r>
            </w:hyperlink>
            <w:r>
              <w:rPr>
                <w:rFonts w:ascii="Arial" w:cs="Arial" w:eastAsia="Arial" w:hAnsi="Arial"/>
                <w:sz w:val="18"/>
                <w:szCs w:val="18"/>
                <w:color w:val="000000"/>
              </w:rPr>
              <w:t>.</w:t>
            </w: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260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240" w:type="dxa"/>
            <w:vAlign w:val="bottom"/>
          </w:tcPr>
          <w:p>
            <w:pPr>
              <w:ind w:left="20"/>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6"/>
          </w:tcPr>
          <w:p>
            <w:pPr>
              <w:spacing w:after="0"/>
              <w:rPr>
                <w:rFonts w:ascii="Arial" w:cs="Arial" w:eastAsia="Arial" w:hAnsi="Arial"/>
                <w:sz w:val="18"/>
                <w:szCs w:val="18"/>
                <w:color w:val="0000FF"/>
                <w:w w:val="92"/>
              </w:rPr>
            </w:pPr>
            <w:hyperlink r:id="rId118">
              <w:r>
                <w:rPr>
                  <w:rFonts w:ascii="Arial" w:cs="Arial" w:eastAsia="Arial" w:hAnsi="Arial"/>
                  <w:sz w:val="18"/>
                  <w:szCs w:val="18"/>
                  <w:color w:val="0000FF"/>
                  <w:w w:val="92"/>
                </w:rPr>
                <w:t>Amended and Restated Bylaws of SJW Group effective as of January 25, 2017. Incorporated by reference to Exhibit 3.1 to the Form</w:t>
              </w:r>
            </w:hyperlink>
          </w:p>
        </w:tc>
      </w:tr>
      <w:tr>
        <w:trPr>
          <w:trHeight w:val="155"/>
        </w:trPr>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18">
              <w:r>
                <w:rPr>
                  <w:rFonts w:ascii="Arial" w:cs="Arial" w:eastAsia="Arial" w:hAnsi="Arial"/>
                  <w:sz w:val="18"/>
                  <w:szCs w:val="18"/>
                  <w:color w:val="0000FF"/>
                </w:rPr>
                <w:t>8-K filed on January 26, 2017</w:t>
              </w:r>
              <w:r>
                <w:rPr>
                  <w:rFonts w:ascii="Arial" w:cs="Arial" w:eastAsia="Arial" w:hAnsi="Arial"/>
                  <w:sz w:val="18"/>
                  <w:szCs w:val="18"/>
                  <w:color w:val="000000"/>
                </w:rPr>
                <w:t>.</w:t>
              </w:r>
            </w:hyperlink>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240" w:type="dxa"/>
            <w:vAlign w:val="bottom"/>
          </w:tcPr>
          <w:p>
            <w:pPr>
              <w:ind w:left="20"/>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6"/>
          </w:tcPr>
          <w:p>
            <w:pPr>
              <w:spacing w:after="0"/>
              <w:rPr>
                <w:sz w:val="20"/>
                <w:szCs w:val="20"/>
                <w:color w:val="auto"/>
              </w:rPr>
            </w:pPr>
            <w:r>
              <w:rPr>
                <w:rFonts w:ascii="Arial" w:cs="Arial" w:eastAsia="Arial" w:hAnsi="Arial"/>
                <w:sz w:val="18"/>
                <w:szCs w:val="18"/>
                <w:color w:val="auto"/>
                <w:w w:val="96"/>
              </w:rPr>
              <w:t>Instruments Defining the Rights of Security Holders, including Indentures: Except as listed below in Exhibit 4.5, no issue of the</w:t>
            </w:r>
          </w:p>
        </w:tc>
      </w:tr>
      <w:tr>
        <w:trPr>
          <w:trHeight w:val="188"/>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20" w:type="dxa"/>
            <w:vAlign w:val="bottom"/>
            <w:gridSpan w:val="26"/>
          </w:tcPr>
          <w:p>
            <w:pPr>
              <w:spacing w:after="0" w:line="189" w:lineRule="exact"/>
              <w:rPr>
                <w:sz w:val="20"/>
                <w:szCs w:val="20"/>
                <w:color w:val="auto"/>
              </w:rPr>
            </w:pPr>
            <w:r>
              <w:rPr>
                <w:rFonts w:ascii="Arial" w:cs="Arial" w:eastAsia="Arial" w:hAnsi="Arial"/>
                <w:sz w:val="18"/>
                <w:szCs w:val="18"/>
                <w:color w:val="auto"/>
                <w:w w:val="90"/>
              </w:rPr>
              <w:t>registrant’s long-term debt exceeds 10 percent of its total assets. SJW Group hereby agrees to furnish upon request to the Commission</w:t>
            </w:r>
          </w:p>
        </w:tc>
      </w:tr>
      <w:tr>
        <w:trPr>
          <w:trHeight w:val="230"/>
        </w:trPr>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20" w:type="dxa"/>
            <w:vAlign w:val="bottom"/>
            <w:gridSpan w:val="26"/>
          </w:tcPr>
          <w:p>
            <w:pPr>
              <w:spacing w:after="0"/>
              <w:rPr>
                <w:sz w:val="20"/>
                <w:szCs w:val="20"/>
                <w:color w:val="auto"/>
              </w:rPr>
            </w:pPr>
            <w:r>
              <w:rPr>
                <w:rFonts w:ascii="Arial" w:cs="Arial" w:eastAsia="Arial" w:hAnsi="Arial"/>
                <w:sz w:val="18"/>
                <w:szCs w:val="18"/>
                <w:color w:val="auto"/>
                <w:w w:val="98"/>
              </w:rPr>
              <w:t>a copy of each such instrument defining the rights of holders of unregistered senior and subordinated debt of the Company.</w:t>
            </w:r>
          </w:p>
        </w:tc>
      </w:tr>
      <w:tr>
        <w:trPr>
          <w:trHeight w:val="338"/>
        </w:trPr>
        <w:tc>
          <w:tcPr>
            <w:tcW w:w="1240" w:type="dxa"/>
            <w:vAlign w:val="bottom"/>
          </w:tcPr>
          <w:p>
            <w:pPr>
              <w:ind w:left="2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6"/>
          </w:tcPr>
          <w:p>
            <w:pPr>
              <w:spacing w:after="0"/>
              <w:rPr>
                <w:rFonts w:ascii="Arial" w:cs="Arial" w:eastAsia="Arial" w:hAnsi="Arial"/>
                <w:sz w:val="18"/>
                <w:szCs w:val="18"/>
                <w:color w:val="0000FF"/>
                <w:w w:val="92"/>
              </w:rPr>
            </w:pPr>
            <w:hyperlink r:id="rId119">
              <w:r>
                <w:rPr>
                  <w:rFonts w:ascii="Arial" w:cs="Arial" w:eastAsia="Arial" w:hAnsi="Arial"/>
                  <w:sz w:val="18"/>
                  <w:szCs w:val="18"/>
                  <w:color w:val="0000FF"/>
                  <w:w w:val="92"/>
                </w:rPr>
                <w:t>Form of Common Stock Certificate of SJW Group. Incorporated by reference to Exhibit 4.1 to Form 8-K filed on November 15, 2016</w:t>
              </w:r>
            </w:hyperlink>
            <w:r>
              <w:rPr>
                <w:rFonts w:ascii="Arial" w:cs="Arial" w:eastAsia="Arial" w:hAnsi="Arial"/>
                <w:sz w:val="18"/>
                <w:szCs w:val="18"/>
                <w:color w:val="000000"/>
                <w:w w:val="92"/>
              </w:rPr>
              <w:t>.</w:t>
            </w:r>
          </w:p>
        </w:tc>
      </w:tr>
      <w:tr>
        <w:trPr>
          <w:trHeight w:val="358"/>
        </w:trPr>
        <w:tc>
          <w:tcPr>
            <w:tcW w:w="1240" w:type="dxa"/>
            <w:vAlign w:val="bottom"/>
          </w:tcPr>
          <w:p>
            <w:pPr>
              <w:ind w:left="20"/>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tcBorders>
              <w:top w:val="single" w:sz="8" w:color="0000FF"/>
            </w:tcBorders>
            <w:gridSpan w:val="22"/>
          </w:tcPr>
          <w:p>
            <w:pPr>
              <w:spacing w:after="0"/>
              <w:rPr>
                <w:rFonts w:ascii="Arial" w:cs="Arial" w:eastAsia="Arial" w:hAnsi="Arial"/>
                <w:sz w:val="18"/>
                <w:szCs w:val="18"/>
                <w:color w:val="0000FF"/>
                <w:w w:val="90"/>
              </w:rPr>
            </w:pPr>
            <w:hyperlink r:id="rId120">
              <w:r>
                <w:rPr>
                  <w:rFonts w:ascii="Arial" w:cs="Arial" w:eastAsia="Arial" w:hAnsi="Arial"/>
                  <w:sz w:val="18"/>
                  <w:szCs w:val="18"/>
                  <w:color w:val="0000FF"/>
                  <w:w w:val="90"/>
                </w:rPr>
                <w:t>Indenture dated as of June 1, 2010 between San Jose Water Company and Wells Fargo Bank, National Association. Incorporated by</w:t>
              </w:r>
            </w:hyperlink>
          </w:p>
        </w:tc>
        <w:tc>
          <w:tcPr>
            <w:tcW w:w="80" w:type="dxa"/>
            <w:vAlign w:val="bottom"/>
            <w:gridSpan w:val="4"/>
          </w:tcPr>
          <w:p>
            <w:pPr>
              <w:spacing w:after="0"/>
              <w:rPr>
                <w:sz w:val="24"/>
                <w:szCs w:val="24"/>
                <w:color w:val="auto"/>
              </w:rPr>
            </w:pPr>
          </w:p>
        </w:tc>
      </w:tr>
      <w:tr>
        <w:trPr>
          <w:trHeight w:val="155"/>
        </w:trPr>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20">
              <w:r>
                <w:rPr>
                  <w:rFonts w:ascii="Arial" w:cs="Arial" w:eastAsia="Arial" w:hAnsi="Arial"/>
                  <w:sz w:val="18"/>
                  <w:szCs w:val="18"/>
                  <w:color w:val="0000FF"/>
                </w:rPr>
                <w:t>reference to Exhibit 4.1 to Form 10-Q for the quarter ended June 30, 2010</w:t>
              </w:r>
              <w:r>
                <w:rPr>
                  <w:rFonts w:ascii="Arial" w:cs="Arial" w:eastAsia="Arial" w:hAnsi="Arial"/>
                  <w:sz w:val="18"/>
                  <w:szCs w:val="18"/>
                  <w:color w:val="000000"/>
                </w:rPr>
                <w:t>.</w:t>
              </w:r>
            </w:hyperlink>
          </w:p>
        </w:tc>
        <w:tc>
          <w:tcPr>
            <w:tcW w:w="2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40" w:type="dxa"/>
            <w:vAlign w:val="bottom"/>
            <w:gridSpan w:val="5"/>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240" w:type="dxa"/>
            <w:vAlign w:val="bottom"/>
          </w:tcPr>
          <w:p>
            <w:pPr>
              <w:ind w:left="20"/>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6"/>
          </w:tcPr>
          <w:p>
            <w:pPr>
              <w:spacing w:after="0"/>
              <w:rPr>
                <w:sz w:val="20"/>
                <w:szCs w:val="20"/>
                <w:color w:val="auto"/>
              </w:rPr>
            </w:pPr>
            <w:r>
              <w:rPr>
                <w:rFonts w:ascii="Arial" w:cs="Arial" w:eastAsia="Arial" w:hAnsi="Arial"/>
                <w:sz w:val="18"/>
                <w:szCs w:val="18"/>
                <w:color w:val="auto"/>
                <w:w w:val="95"/>
              </w:rPr>
              <w:t>Indenture dated as of December 1, 2016, by and between California Pollution Control Financing Authority and The Bank of New</w:t>
            </w:r>
          </w:p>
        </w:tc>
      </w:tr>
      <w:tr>
        <w:trPr>
          <w:trHeight w:val="188"/>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20" w:type="dxa"/>
            <w:vAlign w:val="bottom"/>
            <w:gridSpan w:val="26"/>
          </w:tcPr>
          <w:p>
            <w:pPr>
              <w:spacing w:after="0" w:line="189" w:lineRule="exact"/>
              <w:rPr>
                <w:sz w:val="20"/>
                <w:szCs w:val="20"/>
                <w:color w:val="auto"/>
              </w:rPr>
            </w:pPr>
            <w:r>
              <w:rPr>
                <w:rFonts w:ascii="Arial" w:cs="Arial" w:eastAsia="Arial" w:hAnsi="Arial"/>
                <w:sz w:val="18"/>
                <w:szCs w:val="18"/>
                <w:color w:val="auto"/>
                <w:w w:val="91"/>
              </w:rPr>
              <w:t>York Mellon Trust Company, N.A. relating to the Bond. SJW Group agrees to furnish to the Commission upon request a copy of such</w:t>
            </w:r>
          </w:p>
        </w:tc>
      </w:tr>
      <w:tr>
        <w:trPr>
          <w:trHeight w:val="230"/>
        </w:trPr>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20" w:type="dxa"/>
            <w:vAlign w:val="bottom"/>
            <w:gridSpan w:val="26"/>
          </w:tcPr>
          <w:p>
            <w:pPr>
              <w:spacing w:after="0"/>
              <w:rPr>
                <w:sz w:val="20"/>
                <w:szCs w:val="20"/>
                <w:color w:val="auto"/>
              </w:rPr>
            </w:pPr>
            <w:r>
              <w:rPr>
                <w:rFonts w:ascii="Arial" w:cs="Arial" w:eastAsia="Arial" w:hAnsi="Arial"/>
                <w:sz w:val="18"/>
                <w:szCs w:val="18"/>
                <w:color w:val="auto"/>
              </w:rPr>
              <w:t>agreement which it has elected not to file under the provisions of Regulation S-K 601(b)(4)(iii).</w:t>
            </w:r>
          </w:p>
        </w:tc>
      </w:tr>
      <w:tr>
        <w:trPr>
          <w:trHeight w:val="337"/>
        </w:trPr>
        <w:tc>
          <w:tcPr>
            <w:tcW w:w="1240" w:type="dxa"/>
            <w:vAlign w:val="bottom"/>
          </w:tcPr>
          <w:p>
            <w:pPr>
              <w:ind w:left="20"/>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6"/>
          </w:tcPr>
          <w:p>
            <w:pPr>
              <w:spacing w:after="0"/>
              <w:rPr>
                <w:rFonts w:ascii="Arial" w:cs="Arial" w:eastAsia="Arial" w:hAnsi="Arial"/>
                <w:sz w:val="18"/>
                <w:szCs w:val="18"/>
                <w:color w:val="0000FF"/>
                <w:w w:val="93"/>
              </w:rPr>
            </w:pPr>
            <w:hyperlink r:id="rId121">
              <w:r>
                <w:rPr>
                  <w:rFonts w:ascii="Arial" w:cs="Arial" w:eastAsia="Arial" w:hAnsi="Arial"/>
                  <w:sz w:val="18"/>
                  <w:szCs w:val="18"/>
                  <w:color w:val="0000FF"/>
                  <w:w w:val="93"/>
                </w:rPr>
                <w:t>Form of 3.05% Senior Notes due November 1, 2029. Incorporated by reference to Schedule 1(a) of the Note Purchase Agreement</w:t>
              </w:r>
            </w:hyperlink>
          </w:p>
        </w:tc>
      </w:tr>
      <w:tr>
        <w:trPr>
          <w:trHeight w:val="156"/>
        </w:trPr>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21">
              <w:r>
                <w:rPr>
                  <w:rFonts w:ascii="Arial" w:cs="Arial" w:eastAsia="Arial" w:hAnsi="Arial"/>
                  <w:sz w:val="18"/>
                  <w:szCs w:val="18"/>
                  <w:color w:val="0000FF"/>
                </w:rPr>
                <w:t>attached as Exhibit 10.1 to the Form 8-K filed on October 9, 2019</w:t>
              </w:r>
              <w:r>
                <w:rPr>
                  <w:rFonts w:ascii="Arial" w:cs="Arial" w:eastAsia="Arial" w:hAnsi="Arial"/>
                  <w:sz w:val="18"/>
                  <w:szCs w:val="18"/>
                  <w:color w:val="000000"/>
                </w:rPr>
                <w:t>.</w:t>
              </w:r>
            </w:hyperlink>
          </w:p>
        </w:tc>
        <w:tc>
          <w:tcPr>
            <w:tcW w:w="36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40" w:type="dxa"/>
            <w:vAlign w:val="bottom"/>
            <w:gridSpan w:val="5"/>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62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1"/>
        </w:trPr>
        <w:tc>
          <w:tcPr>
            <w:tcW w:w="1240" w:type="dxa"/>
            <w:vAlign w:val="bottom"/>
          </w:tcPr>
          <w:p>
            <w:pPr>
              <w:ind w:left="20"/>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6"/>
          </w:tcPr>
          <w:p>
            <w:pPr>
              <w:spacing w:after="0"/>
              <w:rPr>
                <w:rFonts w:ascii="Arial" w:cs="Arial" w:eastAsia="Arial" w:hAnsi="Arial"/>
                <w:sz w:val="18"/>
                <w:szCs w:val="18"/>
                <w:color w:val="0000FF"/>
                <w:w w:val="97"/>
              </w:rPr>
            </w:pPr>
            <w:hyperlink r:id="rId122">
              <w:r>
                <w:rPr>
                  <w:rFonts w:ascii="Arial" w:cs="Arial" w:eastAsia="Arial" w:hAnsi="Arial"/>
                  <w:sz w:val="18"/>
                  <w:szCs w:val="18"/>
                  <w:color w:val="0000FF"/>
                  <w:w w:val="97"/>
                </w:rPr>
                <w:t>Description of SJW Group’s capital stock registered under section 12 of the Securities Exchange Act of 1934 Incorporated by</w:t>
              </w:r>
            </w:hyperlink>
          </w:p>
        </w:tc>
      </w:tr>
      <w:tr>
        <w:trPr>
          <w:trHeight w:val="169"/>
        </w:trPr>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60" w:type="dxa"/>
            <w:vAlign w:val="bottom"/>
            <w:tcBorders>
              <w:top w:val="single" w:sz="8" w:color="0000FF"/>
            </w:tcBorders>
            <w:gridSpan w:val="14"/>
          </w:tcPr>
          <w:p>
            <w:pPr>
              <w:spacing w:after="0" w:line="169" w:lineRule="exact"/>
              <w:rPr>
                <w:rFonts w:ascii="Arial" w:cs="Arial" w:eastAsia="Arial" w:hAnsi="Arial"/>
                <w:sz w:val="18"/>
                <w:szCs w:val="18"/>
                <w:color w:val="0000FF"/>
              </w:rPr>
            </w:pPr>
            <w:hyperlink r:id="rId122">
              <w:r>
                <w:rPr>
                  <w:rFonts w:ascii="Arial" w:cs="Arial" w:eastAsia="Arial" w:hAnsi="Arial"/>
                  <w:sz w:val="18"/>
                  <w:szCs w:val="18"/>
                  <w:color w:val="0000FF"/>
                </w:rPr>
                <w:t>reference to Exhibit 4.6 to form 10-K for the year ended December 31, 2019</w:t>
              </w:r>
              <w:r>
                <w:rPr>
                  <w:rFonts w:ascii="Arial" w:cs="Arial" w:eastAsia="Arial" w:hAnsi="Arial"/>
                  <w:sz w:val="18"/>
                  <w:szCs w:val="18"/>
                  <w:color w:val="000000"/>
                </w:rPr>
                <w:t>.</w:t>
              </w:r>
            </w:hyperlink>
          </w:p>
        </w:tc>
        <w:tc>
          <w:tcPr>
            <w:tcW w:w="620" w:type="dxa"/>
            <w:vAlign w:val="bottom"/>
            <w:gridSpan w:val="10"/>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00" w:type="dxa"/>
            <w:vAlign w:val="bottom"/>
            <w:gridSpan w:val="7"/>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860" w:type="dxa"/>
            <w:vAlign w:val="bottom"/>
            <w:gridSpan w:val="1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240" w:type="dxa"/>
            <w:vAlign w:val="bottom"/>
          </w:tcPr>
          <w:p>
            <w:pPr>
              <w:ind w:left="20"/>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6"/>
          </w:tcPr>
          <w:p>
            <w:pPr>
              <w:spacing w:after="0"/>
              <w:rPr>
                <w:rFonts w:ascii="Arial" w:cs="Arial" w:eastAsia="Arial" w:hAnsi="Arial"/>
                <w:sz w:val="18"/>
                <w:szCs w:val="18"/>
                <w:color w:val="0000FF"/>
                <w:w w:val="89"/>
              </w:rPr>
            </w:pPr>
            <w:hyperlink r:id="rId123">
              <w:r>
                <w:rPr>
                  <w:rFonts w:ascii="Arial" w:cs="Arial" w:eastAsia="Arial" w:hAnsi="Arial"/>
                  <w:sz w:val="18"/>
                  <w:szCs w:val="18"/>
                  <w:color w:val="0000FF"/>
                  <w:w w:val="89"/>
                </w:rPr>
                <w:t>Water Supply Contract dated January 27, 1981, between San Jose Water Works and the Santa Clara Valley Water District, as amended.</w:t>
              </w:r>
            </w:hyperlink>
          </w:p>
        </w:tc>
      </w:tr>
      <w:tr>
        <w:trPr>
          <w:trHeight w:val="155"/>
        </w:trPr>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23">
              <w:r>
                <w:rPr>
                  <w:rFonts w:ascii="Arial" w:cs="Arial" w:eastAsia="Arial" w:hAnsi="Arial"/>
                  <w:sz w:val="18"/>
                  <w:szCs w:val="18"/>
                  <w:color w:val="0000FF"/>
                </w:rPr>
                <w:t>Incorporated by reference to Exhibit 10.1 to Form 10-K for the year ended December 31, 2001</w:t>
              </w:r>
              <w:r>
                <w:rPr>
                  <w:rFonts w:ascii="Arial" w:cs="Arial" w:eastAsia="Arial" w:hAnsi="Arial"/>
                  <w:sz w:val="18"/>
                  <w:szCs w:val="18"/>
                  <w:color w:val="000000"/>
                </w:rPr>
                <w:t>.</w:t>
              </w:r>
            </w:hyperlink>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10.2</w:t>
            </w:r>
          </w:p>
        </w:tc>
        <w:tc>
          <w:tcPr>
            <w:tcW w:w="9700" w:type="dxa"/>
            <w:vAlign w:val="bottom"/>
            <w:gridSpan w:val="33"/>
          </w:tcPr>
          <w:p>
            <w:pPr>
              <w:spacing w:after="0"/>
              <w:rPr>
                <w:rFonts w:ascii="Arial" w:cs="Arial" w:eastAsia="Arial" w:hAnsi="Arial"/>
                <w:sz w:val="18"/>
                <w:szCs w:val="18"/>
                <w:color w:val="0000FF"/>
                <w:w w:val="91"/>
              </w:rPr>
            </w:pPr>
            <w:hyperlink r:id="rId125">
              <w:r>
                <w:rPr>
                  <w:rFonts w:ascii="Arial" w:cs="Arial" w:eastAsia="Arial" w:hAnsi="Arial"/>
                  <w:sz w:val="18"/>
                  <w:szCs w:val="18"/>
                  <w:color w:val="0000FF"/>
                  <w:w w:val="91"/>
                </w:rPr>
                <w:t>Grantor Trust Agreement by and between San Jose Water Company and Wells Fargo Bank, National Association dated November 2,</w:t>
              </w:r>
            </w:hyperlink>
          </w:p>
        </w:tc>
      </w:tr>
      <w:tr>
        <w:trPr>
          <w:trHeight w:val="156"/>
        </w:trPr>
        <w:tc>
          <w:tcPr>
            <w:tcW w:w="1500" w:type="dxa"/>
            <w:vAlign w:val="bottom"/>
          </w:tcPr>
          <w:p>
            <w:pPr>
              <w:spacing w:after="0"/>
              <w:rPr>
                <w:sz w:val="13"/>
                <w:szCs w:val="13"/>
                <w:color w:val="auto"/>
              </w:rPr>
            </w:pPr>
          </w:p>
        </w:tc>
        <w:tc>
          <w:tcPr>
            <w:tcW w:w="954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25">
              <w:r>
                <w:rPr>
                  <w:rFonts w:ascii="Arial" w:cs="Arial" w:eastAsia="Arial" w:hAnsi="Arial"/>
                  <w:sz w:val="18"/>
                  <w:szCs w:val="18"/>
                  <w:color w:val="0000FF"/>
                </w:rPr>
                <w:t>2012. Incorporated by reference as Exhibit 10.4 to Form 10-K for the year ended December 31, 2012</w:t>
              </w:r>
              <w:r>
                <w:rPr>
                  <w:rFonts w:ascii="Arial" w:cs="Arial" w:eastAsia="Arial" w:hAnsi="Arial"/>
                  <w:sz w:val="18"/>
                  <w:szCs w:val="18"/>
                  <w:color w:val="000000"/>
                </w:rPr>
                <w:t>.</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500" w:type="dxa"/>
            <w:vAlign w:val="bottom"/>
          </w:tcPr>
          <w:p>
            <w:pPr>
              <w:spacing w:after="0"/>
              <w:rPr>
                <w:sz w:val="20"/>
                <w:szCs w:val="20"/>
                <w:color w:val="auto"/>
              </w:rPr>
            </w:pPr>
            <w:r>
              <w:rPr>
                <w:rFonts w:ascii="Arial" w:cs="Arial" w:eastAsia="Arial" w:hAnsi="Arial"/>
                <w:sz w:val="18"/>
                <w:szCs w:val="18"/>
                <w:color w:val="auto"/>
              </w:rPr>
              <w:t>10.3</w:t>
            </w:r>
          </w:p>
        </w:tc>
        <w:tc>
          <w:tcPr>
            <w:tcW w:w="9340" w:type="dxa"/>
            <w:vAlign w:val="bottom"/>
            <w:tcBorders>
              <w:bottom w:val="single" w:sz="8" w:color="0000FF"/>
            </w:tcBorders>
            <w:gridSpan w:val="23"/>
          </w:tcPr>
          <w:p>
            <w:pPr>
              <w:spacing w:after="0"/>
              <w:rPr>
                <w:rFonts w:ascii="Arial" w:cs="Arial" w:eastAsia="Arial" w:hAnsi="Arial"/>
                <w:sz w:val="18"/>
                <w:szCs w:val="18"/>
                <w:color w:val="0000FF"/>
                <w:w w:val="90"/>
              </w:rPr>
            </w:pPr>
            <w:hyperlink r:id="rId126">
              <w:r>
                <w:rPr>
                  <w:rFonts w:ascii="Arial" w:cs="Arial" w:eastAsia="Arial" w:hAnsi="Arial"/>
                  <w:sz w:val="18"/>
                  <w:szCs w:val="18"/>
                  <w:color w:val="0000FF"/>
                  <w:w w:val="90"/>
                </w:rPr>
                <w:t>Credit Agreement among SJW Group, San Jose Water Company, SJWTX, Inc., Connecticut Water Service Inc., JPMorgan Chase</w:t>
              </w:r>
            </w:hyperlink>
          </w:p>
        </w:tc>
        <w:tc>
          <w:tcPr>
            <w:tcW w:w="360" w:type="dxa"/>
            <w:vAlign w:val="bottom"/>
            <w:gridSpan w:val="10"/>
          </w:tcPr>
          <w:p>
            <w:pPr>
              <w:spacing w:after="0"/>
              <w:rPr>
                <w:sz w:val="24"/>
                <w:szCs w:val="24"/>
                <w:color w:val="auto"/>
              </w:rPr>
            </w:pPr>
          </w:p>
        </w:tc>
      </w:tr>
      <w:tr>
        <w:trPr>
          <w:trHeight w:val="156"/>
        </w:trPr>
        <w:tc>
          <w:tcPr>
            <w:tcW w:w="1500" w:type="dxa"/>
            <w:vAlign w:val="bottom"/>
          </w:tcPr>
          <w:p>
            <w:pPr>
              <w:spacing w:after="0"/>
              <w:rPr>
                <w:sz w:val="13"/>
                <w:szCs w:val="13"/>
                <w:color w:val="auto"/>
              </w:rPr>
            </w:pPr>
          </w:p>
        </w:tc>
        <w:tc>
          <w:tcPr>
            <w:tcW w:w="9700" w:type="dxa"/>
            <w:vAlign w:val="bottom"/>
            <w:gridSpan w:val="33"/>
          </w:tcPr>
          <w:p>
            <w:pPr>
              <w:spacing w:after="0" w:line="156" w:lineRule="exact"/>
              <w:rPr>
                <w:rFonts w:ascii="Arial" w:cs="Arial" w:eastAsia="Arial" w:hAnsi="Arial"/>
                <w:sz w:val="18"/>
                <w:szCs w:val="18"/>
                <w:color w:val="0000FF"/>
                <w:w w:val="92"/>
              </w:rPr>
            </w:pPr>
            <w:hyperlink r:id="rId126">
              <w:r>
                <w:rPr>
                  <w:rFonts w:ascii="Arial" w:cs="Arial" w:eastAsia="Arial" w:hAnsi="Arial"/>
                  <w:sz w:val="18"/>
                  <w:szCs w:val="18"/>
                  <w:color w:val="0000FF"/>
                  <w:w w:val="92"/>
                </w:rPr>
                <w:t>Bank, N.A., and Wells Fargo Bank, National Association, dated August 2, 2022. Incorporated by reference to Exhibit 10.1 to Form 8-</w:t>
              </w:r>
            </w:hyperlink>
          </w:p>
        </w:tc>
      </w:tr>
      <w:tr>
        <w:trPr>
          <w:trHeight w:val="169"/>
        </w:trPr>
        <w:tc>
          <w:tcPr>
            <w:tcW w:w="1500" w:type="dxa"/>
            <w:vAlign w:val="bottom"/>
          </w:tcPr>
          <w:p>
            <w:pPr>
              <w:spacing w:after="0"/>
              <w:rPr>
                <w:sz w:val="14"/>
                <w:szCs w:val="14"/>
                <w:color w:val="auto"/>
              </w:rPr>
            </w:pPr>
          </w:p>
        </w:tc>
        <w:tc>
          <w:tcPr>
            <w:tcW w:w="192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2"/>
              </w:rPr>
            </w:pPr>
            <w:hyperlink r:id="rId126">
              <w:r>
                <w:rPr>
                  <w:rFonts w:ascii="Arial" w:cs="Arial" w:eastAsia="Arial" w:hAnsi="Arial"/>
                  <w:sz w:val="18"/>
                  <w:szCs w:val="18"/>
                  <w:color w:val="0000FF"/>
                  <w:w w:val="92"/>
                </w:rPr>
                <w:t>K filed on August 5, 2022.</w:t>
              </w:r>
            </w:hyperlink>
          </w:p>
        </w:tc>
        <w:tc>
          <w:tcPr>
            <w:tcW w:w="7700" w:type="dxa"/>
            <w:vAlign w:val="bottom"/>
            <w:tcBorders>
              <w:top w:val="single" w:sz="8" w:color="0000FF"/>
            </w:tcBorders>
            <w:gridSpan w:val="2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1500" w:type="dxa"/>
            <w:vAlign w:val="bottom"/>
          </w:tcPr>
          <w:p>
            <w:pPr>
              <w:spacing w:after="0"/>
              <w:rPr>
                <w:sz w:val="20"/>
                <w:szCs w:val="20"/>
                <w:color w:val="auto"/>
              </w:rPr>
            </w:pPr>
            <w:r>
              <w:rPr>
                <w:rFonts w:ascii="Arial" w:cs="Arial" w:eastAsia="Arial" w:hAnsi="Arial"/>
                <w:sz w:val="18"/>
                <w:szCs w:val="18"/>
                <w:color w:val="auto"/>
              </w:rPr>
              <w:t>10.4</w:t>
            </w:r>
          </w:p>
        </w:tc>
        <w:tc>
          <w:tcPr>
            <w:tcW w:w="9700" w:type="dxa"/>
            <w:vAlign w:val="bottom"/>
            <w:gridSpan w:val="33"/>
          </w:tcPr>
          <w:p>
            <w:pPr>
              <w:spacing w:after="0"/>
              <w:rPr>
                <w:rFonts w:ascii="Arial" w:cs="Arial" w:eastAsia="Arial" w:hAnsi="Arial"/>
                <w:sz w:val="18"/>
                <w:szCs w:val="18"/>
                <w:color w:val="0000FF"/>
                <w:w w:val="96"/>
              </w:rPr>
            </w:pPr>
            <w:hyperlink r:id="rId127">
              <w:r>
                <w:rPr>
                  <w:rFonts w:ascii="Arial" w:cs="Arial" w:eastAsia="Arial" w:hAnsi="Arial"/>
                  <w:sz w:val="18"/>
                  <w:szCs w:val="18"/>
                  <w:color w:val="0000FF"/>
                  <w:w w:val="96"/>
                </w:rPr>
                <w:t>Credit Agreement, dated April 23, 2021, between San Jose Water Company and JPMorgan Chase Bank, N.A. Incorporated by</w:t>
              </w:r>
            </w:hyperlink>
          </w:p>
        </w:tc>
      </w:tr>
      <w:tr>
        <w:trPr>
          <w:trHeight w:val="183"/>
        </w:trPr>
        <w:tc>
          <w:tcPr>
            <w:tcW w:w="1500" w:type="dxa"/>
            <w:vAlign w:val="bottom"/>
          </w:tcPr>
          <w:p>
            <w:pPr>
              <w:spacing w:after="0"/>
              <w:rPr>
                <w:sz w:val="15"/>
                <w:szCs w:val="15"/>
                <w:color w:val="auto"/>
              </w:rPr>
            </w:pPr>
          </w:p>
        </w:tc>
        <w:tc>
          <w:tcPr>
            <w:tcW w:w="9060" w:type="dxa"/>
            <w:vAlign w:val="bottom"/>
            <w:tcBorders>
              <w:top w:val="single" w:sz="8" w:color="0000FF"/>
            </w:tcBorders>
            <w:gridSpan w:val="17"/>
          </w:tcPr>
          <w:p>
            <w:pPr>
              <w:spacing w:after="0" w:line="182" w:lineRule="exact"/>
              <w:rPr>
                <w:rFonts w:ascii="Arial" w:cs="Arial" w:eastAsia="Arial" w:hAnsi="Arial"/>
                <w:sz w:val="18"/>
                <w:szCs w:val="18"/>
                <w:color w:val="0000FF"/>
              </w:rPr>
            </w:pPr>
            <w:hyperlink r:id="rId127">
              <w:r>
                <w:rPr>
                  <w:rFonts w:ascii="Arial" w:cs="Arial" w:eastAsia="Arial" w:hAnsi="Arial"/>
                  <w:sz w:val="18"/>
                  <w:szCs w:val="18"/>
                  <w:color w:val="0000FF"/>
                </w:rPr>
                <w:t>reference to Exhibit 10.1 to Form 8-K filed on April 27, 2021</w:t>
              </w:r>
              <w:r>
                <w:rPr>
                  <w:rFonts w:ascii="Arial" w:cs="Arial" w:eastAsia="Arial" w:hAnsi="Arial"/>
                  <w:sz w:val="18"/>
                  <w:szCs w:val="18"/>
                  <w:color w:val="000000"/>
                </w:rPr>
                <w:t>.</w:t>
              </w:r>
            </w:hyperlink>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5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500" w:type="dxa"/>
            <w:vAlign w:val="bottom"/>
          </w:tcPr>
          <w:p>
            <w:pPr>
              <w:spacing w:after="0"/>
              <w:rPr>
                <w:sz w:val="20"/>
                <w:szCs w:val="20"/>
                <w:color w:val="auto"/>
              </w:rPr>
            </w:pPr>
            <w:r>
              <w:rPr>
                <w:rFonts w:ascii="Arial" w:cs="Arial" w:eastAsia="Arial" w:hAnsi="Arial"/>
                <w:sz w:val="18"/>
                <w:szCs w:val="18"/>
                <w:color w:val="auto"/>
              </w:rPr>
              <w:t>10.5</w:t>
            </w:r>
          </w:p>
        </w:tc>
        <w:tc>
          <w:tcPr>
            <w:tcW w:w="9700" w:type="dxa"/>
            <w:vAlign w:val="bottom"/>
            <w:gridSpan w:val="33"/>
          </w:tcPr>
          <w:p>
            <w:pPr>
              <w:spacing w:after="0"/>
              <w:rPr>
                <w:rFonts w:ascii="Arial" w:cs="Arial" w:eastAsia="Arial" w:hAnsi="Arial"/>
                <w:sz w:val="18"/>
                <w:szCs w:val="18"/>
                <w:color w:val="0000FF"/>
                <w:w w:val="98"/>
              </w:rPr>
            </w:pPr>
            <w:hyperlink r:id="rId128">
              <w:r>
                <w:rPr>
                  <w:rFonts w:ascii="Arial" w:cs="Arial" w:eastAsia="Arial" w:hAnsi="Arial"/>
                  <w:sz w:val="18"/>
                  <w:szCs w:val="18"/>
                  <w:color w:val="0000FF"/>
                  <w:w w:val="98"/>
                </w:rPr>
                <w:t>Loan Agreement dated as of June 1, 2010 between the California Pollution Control Financing Authority and San Jose Water</w:t>
              </w:r>
            </w:hyperlink>
          </w:p>
        </w:tc>
      </w:tr>
      <w:tr>
        <w:trPr>
          <w:trHeight w:val="156"/>
        </w:trPr>
        <w:tc>
          <w:tcPr>
            <w:tcW w:w="1500" w:type="dxa"/>
            <w:vAlign w:val="bottom"/>
          </w:tcPr>
          <w:p>
            <w:pPr>
              <w:spacing w:after="0"/>
              <w:rPr>
                <w:sz w:val="13"/>
                <w:szCs w:val="13"/>
                <w:color w:val="auto"/>
              </w:rPr>
            </w:pPr>
          </w:p>
        </w:tc>
        <w:tc>
          <w:tcPr>
            <w:tcW w:w="89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28">
              <w:r>
                <w:rPr>
                  <w:rFonts w:ascii="Arial" w:cs="Arial" w:eastAsia="Arial" w:hAnsi="Arial"/>
                  <w:sz w:val="18"/>
                  <w:szCs w:val="18"/>
                  <w:color w:val="0000FF"/>
                </w:rPr>
                <w:t>Company. Incorporated by reference to Exhibit 10.3 to Form 10-Q for the quarter ended June 30, 2010</w:t>
              </w:r>
              <w:r>
                <w:rPr>
                  <w:rFonts w:ascii="Arial" w:cs="Arial" w:eastAsia="Arial" w:hAnsi="Arial"/>
                  <w:sz w:val="18"/>
                  <w:szCs w:val="18"/>
                  <w:color w:val="000000"/>
                </w:rPr>
                <w:t>.</w:t>
              </w:r>
            </w:hyperlink>
          </w:p>
        </w:tc>
        <w:tc>
          <w:tcPr>
            <w:tcW w:w="20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5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500" w:type="dxa"/>
            <w:vAlign w:val="bottom"/>
          </w:tcPr>
          <w:p>
            <w:pPr>
              <w:spacing w:after="0"/>
              <w:rPr>
                <w:sz w:val="20"/>
                <w:szCs w:val="20"/>
                <w:color w:val="auto"/>
              </w:rPr>
            </w:pPr>
            <w:r>
              <w:rPr>
                <w:rFonts w:ascii="Arial" w:cs="Arial" w:eastAsia="Arial" w:hAnsi="Arial"/>
                <w:sz w:val="18"/>
                <w:szCs w:val="18"/>
                <w:color w:val="auto"/>
              </w:rPr>
              <w:t>10.6</w:t>
            </w:r>
          </w:p>
        </w:tc>
        <w:tc>
          <w:tcPr>
            <w:tcW w:w="9700" w:type="dxa"/>
            <w:vAlign w:val="bottom"/>
            <w:gridSpan w:val="33"/>
          </w:tcPr>
          <w:p>
            <w:pPr>
              <w:spacing w:after="0"/>
              <w:rPr>
                <w:rFonts w:ascii="Arial" w:cs="Arial" w:eastAsia="Arial" w:hAnsi="Arial"/>
                <w:sz w:val="18"/>
                <w:szCs w:val="18"/>
                <w:color w:val="0000FF"/>
                <w:w w:val="94"/>
              </w:rPr>
            </w:pPr>
            <w:hyperlink r:id="rId129">
              <w:r>
                <w:rPr>
                  <w:rFonts w:ascii="Arial" w:cs="Arial" w:eastAsia="Arial" w:hAnsi="Arial"/>
                  <w:sz w:val="18"/>
                  <w:szCs w:val="18"/>
                  <w:color w:val="0000FF"/>
                  <w:w w:val="94"/>
                </w:rPr>
                <w:t>Loan Agreement dated as of December 1, 2016 between the California Pollution Control Financing Authority and San Jose Water</w:t>
              </w:r>
            </w:hyperlink>
          </w:p>
        </w:tc>
      </w:tr>
      <w:tr>
        <w:trPr>
          <w:trHeight w:val="156"/>
        </w:trPr>
        <w:tc>
          <w:tcPr>
            <w:tcW w:w="1500" w:type="dxa"/>
            <w:vAlign w:val="bottom"/>
          </w:tcPr>
          <w:p>
            <w:pPr>
              <w:spacing w:after="0"/>
              <w:rPr>
                <w:sz w:val="13"/>
                <w:szCs w:val="13"/>
                <w:color w:val="auto"/>
              </w:rPr>
            </w:pPr>
          </w:p>
        </w:tc>
        <w:tc>
          <w:tcPr>
            <w:tcW w:w="936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29">
              <w:r>
                <w:rPr>
                  <w:rFonts w:ascii="Arial" w:cs="Arial" w:eastAsia="Arial" w:hAnsi="Arial"/>
                  <w:sz w:val="18"/>
                  <w:szCs w:val="18"/>
                  <w:color w:val="0000FF"/>
                </w:rPr>
                <w:t>Company. Incorporated by reference to Exhibit 10.7 to Form 10-K for the year ended December 31, 2016</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5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260" w:type="dxa"/>
            <w:vAlign w:val="bottom"/>
            <w:tcBorders>
              <w:left w:val="single" w:sz="8" w:color="0000FF"/>
            </w:tcBorders>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500" w:type="dxa"/>
            <w:vAlign w:val="bottom"/>
          </w:tcPr>
          <w:p>
            <w:pPr>
              <w:spacing w:after="0"/>
              <w:rPr>
                <w:sz w:val="20"/>
                <w:szCs w:val="20"/>
                <w:color w:val="auto"/>
              </w:rPr>
            </w:pPr>
            <w:r>
              <w:rPr>
                <w:rFonts w:ascii="Arial" w:cs="Arial" w:eastAsia="Arial" w:hAnsi="Arial"/>
                <w:sz w:val="18"/>
                <w:szCs w:val="18"/>
                <w:color w:val="auto"/>
              </w:rPr>
              <w:t>10.7</w:t>
            </w:r>
          </w:p>
        </w:tc>
        <w:tc>
          <w:tcPr>
            <w:tcW w:w="9300" w:type="dxa"/>
            <w:vAlign w:val="bottom"/>
            <w:tcBorders>
              <w:bottom w:val="single" w:sz="8" w:color="0000FF"/>
            </w:tcBorders>
            <w:gridSpan w:val="21"/>
          </w:tcPr>
          <w:p>
            <w:pPr>
              <w:spacing w:after="0"/>
              <w:rPr>
                <w:rFonts w:ascii="Arial" w:cs="Arial" w:eastAsia="Arial" w:hAnsi="Arial"/>
                <w:sz w:val="18"/>
                <w:szCs w:val="18"/>
                <w:color w:val="0000FF"/>
                <w:w w:val="90"/>
              </w:rPr>
            </w:pPr>
            <w:hyperlink r:id="rId130">
              <w:r>
                <w:rPr>
                  <w:rFonts w:ascii="Arial" w:cs="Arial" w:eastAsia="Arial" w:hAnsi="Arial"/>
                  <w:sz w:val="18"/>
                  <w:szCs w:val="18"/>
                  <w:color w:val="0000FF"/>
                  <w:w w:val="90"/>
                </w:rPr>
                <w:t>Bond Purchase Contract dated June 9, 2010 among Goldman, Sachs &amp; Co., the Honorable Bill Lockyer, Treasurer of the State of</w:t>
              </w:r>
            </w:hyperlink>
          </w:p>
        </w:tc>
        <w:tc>
          <w:tcPr>
            <w:tcW w:w="400" w:type="dxa"/>
            <w:vAlign w:val="bottom"/>
            <w:gridSpan w:val="12"/>
          </w:tcPr>
          <w:p>
            <w:pPr>
              <w:spacing w:after="0"/>
              <w:rPr>
                <w:sz w:val="24"/>
                <w:szCs w:val="24"/>
                <w:color w:val="auto"/>
              </w:rPr>
            </w:pPr>
          </w:p>
        </w:tc>
      </w:tr>
      <w:tr>
        <w:trPr>
          <w:trHeight w:val="156"/>
        </w:trPr>
        <w:tc>
          <w:tcPr>
            <w:tcW w:w="1500" w:type="dxa"/>
            <w:vAlign w:val="bottom"/>
          </w:tcPr>
          <w:p>
            <w:pPr>
              <w:spacing w:after="0"/>
              <w:rPr>
                <w:sz w:val="13"/>
                <w:szCs w:val="13"/>
                <w:color w:val="auto"/>
              </w:rPr>
            </w:pPr>
          </w:p>
        </w:tc>
        <w:tc>
          <w:tcPr>
            <w:tcW w:w="9700" w:type="dxa"/>
            <w:vAlign w:val="bottom"/>
            <w:gridSpan w:val="33"/>
          </w:tcPr>
          <w:p>
            <w:pPr>
              <w:spacing w:after="0" w:line="156" w:lineRule="exact"/>
              <w:rPr>
                <w:rFonts w:ascii="Arial" w:cs="Arial" w:eastAsia="Arial" w:hAnsi="Arial"/>
                <w:sz w:val="18"/>
                <w:szCs w:val="18"/>
                <w:color w:val="0000FF"/>
                <w:w w:val="93"/>
              </w:rPr>
            </w:pPr>
            <w:hyperlink r:id="rId130">
              <w:r>
                <w:rPr>
                  <w:rFonts w:ascii="Arial" w:cs="Arial" w:eastAsia="Arial" w:hAnsi="Arial"/>
                  <w:sz w:val="18"/>
                  <w:szCs w:val="18"/>
                  <w:color w:val="0000FF"/>
                  <w:w w:val="93"/>
                </w:rPr>
                <w:t>California, the California Pollution Control Financing Authority and San Jose Water Company. Incorporated by reference to Exhibit</w:t>
              </w:r>
            </w:hyperlink>
          </w:p>
        </w:tc>
      </w:tr>
      <w:tr>
        <w:trPr>
          <w:trHeight w:val="169"/>
        </w:trPr>
        <w:tc>
          <w:tcPr>
            <w:tcW w:w="1500" w:type="dxa"/>
            <w:vAlign w:val="bottom"/>
          </w:tcPr>
          <w:p>
            <w:pPr>
              <w:spacing w:after="0"/>
              <w:rPr>
                <w:sz w:val="14"/>
                <w:szCs w:val="14"/>
                <w:color w:val="auto"/>
              </w:rPr>
            </w:pPr>
          </w:p>
        </w:tc>
        <w:tc>
          <w:tcPr>
            <w:tcW w:w="9500" w:type="dxa"/>
            <w:vAlign w:val="bottom"/>
            <w:tcBorders>
              <w:top w:val="single" w:sz="8" w:color="0000FF"/>
            </w:tcBorders>
            <w:gridSpan w:val="27"/>
          </w:tcPr>
          <w:p>
            <w:pPr>
              <w:spacing w:after="0" w:line="169" w:lineRule="exact"/>
              <w:rPr>
                <w:rFonts w:ascii="Arial" w:cs="Arial" w:eastAsia="Arial" w:hAnsi="Arial"/>
                <w:sz w:val="18"/>
                <w:szCs w:val="18"/>
                <w:color w:val="0000FF"/>
              </w:rPr>
            </w:pPr>
            <w:hyperlink r:id="rId130">
              <w:r>
                <w:rPr>
                  <w:rFonts w:ascii="Arial" w:cs="Arial" w:eastAsia="Arial" w:hAnsi="Arial"/>
                  <w:sz w:val="18"/>
                  <w:szCs w:val="18"/>
                  <w:color w:val="0000FF"/>
                </w:rPr>
                <w:t>10.</w:t>
              </w:r>
              <w:r>
                <w:rPr>
                  <w:rFonts w:ascii="Arial" w:cs="Arial" w:eastAsia="Arial" w:hAnsi="Arial"/>
                  <w:sz w:val="18"/>
                  <w:szCs w:val="18"/>
                  <w:u w:val="single" w:color="auto"/>
                  <w:color w:val="0000FF"/>
                </w:rPr>
                <w:t>4</w:t>
              </w:r>
              <w:r>
                <w:rPr>
                  <w:rFonts w:ascii="Arial" w:cs="Arial" w:eastAsia="Arial" w:hAnsi="Arial"/>
                  <w:sz w:val="18"/>
                  <w:szCs w:val="18"/>
                  <w:color w:val="0000FF"/>
                </w:rPr>
                <w:t xml:space="preserve"> to Form 10-Q for the quarter ended June 30, 2010.</w:t>
              </w:r>
            </w:hyperlink>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5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spacing w:after="0"/>
              <w:rPr>
                <w:sz w:val="20"/>
                <w:szCs w:val="20"/>
                <w:color w:val="auto"/>
              </w:rPr>
            </w:pPr>
            <w:r>
              <w:rPr>
                <w:rFonts w:ascii="Arial" w:cs="Arial" w:eastAsia="Arial" w:hAnsi="Arial"/>
                <w:sz w:val="18"/>
                <w:szCs w:val="18"/>
                <w:color w:val="auto"/>
              </w:rPr>
              <w:t>10.8</w:t>
            </w:r>
          </w:p>
        </w:tc>
        <w:tc>
          <w:tcPr>
            <w:tcW w:w="9700" w:type="dxa"/>
            <w:vAlign w:val="bottom"/>
            <w:gridSpan w:val="33"/>
          </w:tcPr>
          <w:p>
            <w:pPr>
              <w:spacing w:after="0"/>
              <w:rPr>
                <w:rFonts w:ascii="Arial" w:cs="Arial" w:eastAsia="Arial" w:hAnsi="Arial"/>
                <w:sz w:val="18"/>
                <w:szCs w:val="18"/>
                <w:color w:val="0000FF"/>
                <w:w w:val="93"/>
              </w:rPr>
            </w:pPr>
            <w:hyperlink r:id="rId131">
              <w:r>
                <w:rPr>
                  <w:rFonts w:ascii="Arial" w:cs="Arial" w:eastAsia="Arial" w:hAnsi="Arial"/>
                  <w:sz w:val="18"/>
                  <w:szCs w:val="18"/>
                  <w:color w:val="0000FF"/>
                  <w:w w:val="93"/>
                </w:rPr>
                <w:t>Bond Purchase Contract dated December 15, 2016 among Morgan Stanley &amp; Co. LLC, RBC Capital Markets, LLC, the Honorable</w:t>
              </w:r>
            </w:hyperlink>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5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2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500" w:type="dxa"/>
            <w:vAlign w:val="bottom"/>
          </w:tcPr>
          <w:p>
            <w:pPr>
              <w:spacing w:after="0"/>
              <w:rPr>
                <w:sz w:val="13"/>
                <w:szCs w:val="13"/>
                <w:color w:val="auto"/>
              </w:rPr>
            </w:pPr>
          </w:p>
        </w:tc>
        <w:tc>
          <w:tcPr>
            <w:tcW w:w="9700" w:type="dxa"/>
            <w:vAlign w:val="bottom"/>
            <w:gridSpan w:val="33"/>
          </w:tcPr>
          <w:p>
            <w:pPr>
              <w:spacing w:after="0" w:line="156" w:lineRule="exact"/>
              <w:rPr>
                <w:rFonts w:ascii="Arial" w:cs="Arial" w:eastAsia="Arial" w:hAnsi="Arial"/>
                <w:sz w:val="18"/>
                <w:szCs w:val="18"/>
                <w:color w:val="0000FF"/>
                <w:w w:val="91"/>
              </w:rPr>
            </w:pPr>
            <w:hyperlink r:id="rId131">
              <w:r>
                <w:rPr>
                  <w:rFonts w:ascii="Arial" w:cs="Arial" w:eastAsia="Arial" w:hAnsi="Arial"/>
                  <w:sz w:val="18"/>
                  <w:szCs w:val="18"/>
                  <w:color w:val="0000FF"/>
                  <w:w w:val="91"/>
                </w:rPr>
                <w:t>John Chiang, Treasurer of the State of California, the California Pollution Control Financing Authority and San Jose Water Company.</w:t>
              </w:r>
            </w:hyperlink>
          </w:p>
        </w:tc>
      </w:tr>
      <w:tr>
        <w:trPr>
          <w:trHeight w:val="169"/>
        </w:trPr>
        <w:tc>
          <w:tcPr>
            <w:tcW w:w="1500" w:type="dxa"/>
            <w:vAlign w:val="bottom"/>
          </w:tcPr>
          <w:p>
            <w:pPr>
              <w:spacing w:after="0"/>
              <w:rPr>
                <w:sz w:val="14"/>
                <w:szCs w:val="14"/>
                <w:color w:val="auto"/>
              </w:rPr>
            </w:pPr>
          </w:p>
        </w:tc>
        <w:tc>
          <w:tcPr>
            <w:tcW w:w="6860" w:type="dxa"/>
            <w:vAlign w:val="bottom"/>
            <w:tcBorders>
              <w:top w:val="single" w:sz="8" w:color="0000FF"/>
              <w:bottom w:val="single" w:sz="8" w:color="0000FF"/>
            </w:tcBorders>
            <w:gridSpan w:val="10"/>
          </w:tcPr>
          <w:p>
            <w:pPr>
              <w:spacing w:after="0" w:line="169" w:lineRule="exact"/>
              <w:rPr>
                <w:rFonts w:ascii="Arial" w:cs="Arial" w:eastAsia="Arial" w:hAnsi="Arial"/>
                <w:sz w:val="18"/>
                <w:szCs w:val="18"/>
                <w:color w:val="0000FF"/>
                <w:w w:val="90"/>
              </w:rPr>
            </w:pPr>
            <w:hyperlink r:id="rId131">
              <w:r>
                <w:rPr>
                  <w:rFonts w:ascii="Arial" w:cs="Arial" w:eastAsia="Arial" w:hAnsi="Arial"/>
                  <w:sz w:val="18"/>
                  <w:szCs w:val="18"/>
                  <w:color w:val="0000FF"/>
                  <w:w w:val="90"/>
                </w:rPr>
                <w:t>Incorporated by reference to Exhibit 10.9 to Form 10-K for the year ended December 31, 2016.</w:t>
              </w:r>
            </w:hyperlink>
          </w:p>
        </w:tc>
        <w:tc>
          <w:tcPr>
            <w:tcW w:w="2820" w:type="dxa"/>
            <w:vAlign w:val="bottom"/>
            <w:tcBorders>
              <w:top w:val="single" w:sz="8" w:color="0000FF"/>
            </w:tcBorders>
            <w:gridSpan w:val="22"/>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1500" w:type="dxa"/>
            <w:vAlign w:val="bottom"/>
          </w:tcPr>
          <w:p>
            <w:pPr>
              <w:spacing w:after="0"/>
              <w:rPr>
                <w:sz w:val="20"/>
                <w:szCs w:val="20"/>
                <w:color w:val="auto"/>
              </w:rPr>
            </w:pPr>
            <w:r>
              <w:rPr>
                <w:rFonts w:ascii="Arial" w:cs="Arial" w:eastAsia="Arial" w:hAnsi="Arial"/>
                <w:sz w:val="18"/>
                <w:szCs w:val="18"/>
                <w:color w:val="auto"/>
              </w:rPr>
              <w:t>10.9</w:t>
            </w:r>
          </w:p>
        </w:tc>
        <w:tc>
          <w:tcPr>
            <w:tcW w:w="9700" w:type="dxa"/>
            <w:vAlign w:val="bottom"/>
            <w:gridSpan w:val="33"/>
          </w:tcPr>
          <w:p>
            <w:pPr>
              <w:spacing w:after="0"/>
              <w:rPr>
                <w:rFonts w:ascii="Arial" w:cs="Arial" w:eastAsia="Arial" w:hAnsi="Arial"/>
                <w:sz w:val="18"/>
                <w:szCs w:val="18"/>
                <w:color w:val="0000FF"/>
                <w:w w:val="95"/>
              </w:rPr>
            </w:pPr>
            <w:hyperlink r:id="rId132">
              <w:r>
                <w:rPr>
                  <w:rFonts w:ascii="Arial" w:cs="Arial" w:eastAsia="Arial" w:hAnsi="Arial"/>
                  <w:sz w:val="18"/>
                  <w:szCs w:val="18"/>
                  <w:color w:val="0000FF"/>
                  <w:w w:val="95"/>
                </w:rPr>
                <w:t>Note Agreement between SJW Corp. and the Prudential Insurance Company of America, dated June 30, 2011. Incorporated by</w:t>
              </w:r>
            </w:hyperlink>
          </w:p>
        </w:tc>
      </w:tr>
      <w:tr>
        <w:trPr>
          <w:trHeight w:val="156"/>
        </w:trPr>
        <w:tc>
          <w:tcPr>
            <w:tcW w:w="1500" w:type="dxa"/>
            <w:vAlign w:val="bottom"/>
          </w:tcPr>
          <w:p>
            <w:pPr>
              <w:spacing w:after="0"/>
              <w:rPr>
                <w:sz w:val="13"/>
                <w:szCs w:val="13"/>
                <w:color w:val="auto"/>
              </w:rPr>
            </w:pPr>
          </w:p>
        </w:tc>
        <w:tc>
          <w:tcPr>
            <w:tcW w:w="912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32">
              <w:r>
                <w:rPr>
                  <w:rFonts w:ascii="Arial" w:cs="Arial" w:eastAsia="Arial" w:hAnsi="Arial"/>
                  <w:sz w:val="18"/>
                  <w:szCs w:val="18"/>
                  <w:color w:val="0000FF"/>
                </w:rPr>
                <w:t>reference as Exhibit 10.3 to Form 8-K filed on July 7, 2011</w:t>
              </w:r>
              <w:r>
                <w:rPr>
                  <w:rFonts w:ascii="Arial" w:cs="Arial" w:eastAsia="Arial" w:hAnsi="Arial"/>
                  <w:sz w:val="18"/>
                  <w:szCs w:val="18"/>
                  <w:color w:val="000000"/>
                </w:rPr>
                <w:t>.</w:t>
              </w:r>
            </w:hyperlink>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5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500" w:type="dxa"/>
            <w:vAlign w:val="bottom"/>
          </w:tcPr>
          <w:p>
            <w:pPr>
              <w:spacing w:after="0"/>
              <w:rPr>
                <w:sz w:val="20"/>
                <w:szCs w:val="20"/>
                <w:color w:val="auto"/>
              </w:rPr>
            </w:pPr>
            <w:r>
              <w:rPr>
                <w:rFonts w:ascii="Arial" w:cs="Arial" w:eastAsia="Arial" w:hAnsi="Arial"/>
                <w:sz w:val="18"/>
                <w:szCs w:val="18"/>
                <w:color w:val="auto"/>
              </w:rPr>
              <w:t>10.10</w:t>
            </w:r>
          </w:p>
        </w:tc>
        <w:tc>
          <w:tcPr>
            <w:tcW w:w="9700" w:type="dxa"/>
            <w:vAlign w:val="bottom"/>
            <w:gridSpan w:val="33"/>
          </w:tcPr>
          <w:p>
            <w:pPr>
              <w:spacing w:after="0"/>
              <w:rPr>
                <w:rFonts w:ascii="Arial" w:cs="Arial" w:eastAsia="Arial" w:hAnsi="Arial"/>
                <w:sz w:val="18"/>
                <w:szCs w:val="18"/>
                <w:color w:val="0000FF"/>
                <w:w w:val="93"/>
              </w:rPr>
            </w:pPr>
            <w:hyperlink r:id="rId133">
              <w:r>
                <w:rPr>
                  <w:rFonts w:ascii="Arial" w:cs="Arial" w:eastAsia="Arial" w:hAnsi="Arial"/>
                  <w:sz w:val="18"/>
                  <w:szCs w:val="18"/>
                  <w:color w:val="0000FF"/>
                  <w:w w:val="93"/>
                </w:rPr>
                <w:t>Note Agreement between San Jose Water Company and John Hancock Life Insurance Company (U.S.A.) and John Hancock Life</w:t>
              </w:r>
            </w:hyperlink>
          </w:p>
        </w:tc>
      </w:tr>
      <w:tr>
        <w:trPr>
          <w:trHeight w:val="156"/>
        </w:trPr>
        <w:tc>
          <w:tcPr>
            <w:tcW w:w="1500" w:type="dxa"/>
            <w:vAlign w:val="bottom"/>
          </w:tcPr>
          <w:p>
            <w:pPr>
              <w:spacing w:after="0"/>
              <w:rPr>
                <w:sz w:val="13"/>
                <w:szCs w:val="13"/>
                <w:color w:val="auto"/>
              </w:rPr>
            </w:pPr>
          </w:p>
        </w:tc>
        <w:tc>
          <w:tcPr>
            <w:tcW w:w="930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89"/>
              </w:rPr>
            </w:pPr>
            <w:hyperlink r:id="rId133">
              <w:r>
                <w:rPr>
                  <w:rFonts w:ascii="Arial" w:cs="Arial" w:eastAsia="Arial" w:hAnsi="Arial"/>
                  <w:sz w:val="18"/>
                  <w:szCs w:val="18"/>
                  <w:color w:val="0000FF"/>
                  <w:w w:val="89"/>
                </w:rPr>
                <w:t>Insurance Company of New York, dated January 24, 2014. Incorporated by reference as Exhibit 10.1 to Form 8-K filed on January</w:t>
              </w:r>
            </w:hyperlink>
          </w:p>
        </w:tc>
        <w:tc>
          <w:tcPr>
            <w:tcW w:w="400" w:type="dxa"/>
            <w:vAlign w:val="bottom"/>
            <w:tcBorders>
              <w:bottom w:val="single" w:sz="8" w:color="0000FF"/>
            </w:tcBorders>
            <w:gridSpan w:val="12"/>
          </w:tcPr>
          <w:p>
            <w:pPr>
              <w:jc w:val="right"/>
              <w:ind w:right="40"/>
              <w:spacing w:after="0" w:line="156" w:lineRule="exact"/>
              <w:rPr>
                <w:rFonts w:ascii="Arial" w:cs="Arial" w:eastAsia="Arial" w:hAnsi="Arial"/>
                <w:sz w:val="18"/>
                <w:szCs w:val="18"/>
                <w:color w:val="0000FF"/>
              </w:rPr>
            </w:pPr>
            <w:hyperlink r:id="rId133">
              <w:r>
                <w:rPr>
                  <w:rFonts w:ascii="Arial" w:cs="Arial" w:eastAsia="Arial" w:hAnsi="Arial"/>
                  <w:sz w:val="18"/>
                  <w:szCs w:val="18"/>
                  <w:color w:val="0000FF"/>
                </w:rPr>
                <w:t>29,</w:t>
              </w:r>
            </w:hyperlink>
          </w:p>
        </w:tc>
      </w:tr>
      <w:tr>
        <w:trPr>
          <w:trHeight w:val="169"/>
        </w:trPr>
        <w:tc>
          <w:tcPr>
            <w:tcW w:w="1500" w:type="dxa"/>
            <w:vAlign w:val="bottom"/>
          </w:tcPr>
          <w:p>
            <w:pPr>
              <w:spacing w:after="0"/>
              <w:rPr>
                <w:sz w:val="14"/>
                <w:szCs w:val="14"/>
                <w:color w:val="auto"/>
              </w:rPr>
            </w:pPr>
          </w:p>
        </w:tc>
        <w:tc>
          <w:tcPr>
            <w:tcW w:w="1920" w:type="dxa"/>
            <w:vAlign w:val="bottom"/>
            <w:gridSpan w:val="2"/>
          </w:tcPr>
          <w:p>
            <w:pPr>
              <w:spacing w:after="0" w:line="169" w:lineRule="exact"/>
              <w:rPr>
                <w:rFonts w:ascii="Arial" w:cs="Arial" w:eastAsia="Arial" w:hAnsi="Arial"/>
                <w:sz w:val="18"/>
                <w:szCs w:val="18"/>
                <w:color w:val="0000FF"/>
              </w:rPr>
            </w:pPr>
            <w:hyperlink r:id="rId133">
              <w:r>
                <w:rPr>
                  <w:rFonts w:ascii="Arial" w:cs="Arial" w:eastAsia="Arial" w:hAnsi="Arial"/>
                  <w:sz w:val="18"/>
                  <w:szCs w:val="18"/>
                  <w:color w:val="0000FF"/>
                </w:rPr>
                <w:t>2014</w:t>
              </w:r>
              <w:r>
                <w:rPr>
                  <w:rFonts w:ascii="Arial" w:cs="Arial" w:eastAsia="Arial" w:hAnsi="Arial"/>
                  <w:sz w:val="18"/>
                  <w:szCs w:val="18"/>
                  <w:color w:val="000000"/>
                </w:rPr>
                <w:t>.</w:t>
              </w:r>
            </w:hyperlink>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500" w:type="dxa"/>
            <w:vAlign w:val="bottom"/>
          </w:tcPr>
          <w:p>
            <w:pPr>
              <w:spacing w:after="0"/>
              <w:rPr>
                <w:sz w:val="20"/>
                <w:szCs w:val="20"/>
                <w:color w:val="auto"/>
              </w:rPr>
            </w:pPr>
            <w:r>
              <w:rPr>
                <w:rFonts w:ascii="Arial" w:cs="Arial" w:eastAsia="Arial" w:hAnsi="Arial"/>
                <w:sz w:val="18"/>
                <w:szCs w:val="18"/>
                <w:color w:val="auto"/>
              </w:rPr>
              <w:t>10.11</w:t>
            </w:r>
          </w:p>
        </w:tc>
        <w:tc>
          <w:tcPr>
            <w:tcW w:w="9700" w:type="dxa"/>
            <w:vAlign w:val="bottom"/>
            <w:gridSpan w:val="33"/>
          </w:tcPr>
          <w:p>
            <w:pPr>
              <w:spacing w:after="0"/>
              <w:rPr>
                <w:rFonts w:ascii="Arial" w:cs="Arial" w:eastAsia="Arial" w:hAnsi="Arial"/>
                <w:sz w:val="18"/>
                <w:szCs w:val="18"/>
                <w:color w:val="0000FF"/>
                <w:w w:val="93"/>
              </w:rPr>
            </w:pPr>
            <w:hyperlink r:id="rId134">
              <w:r>
                <w:rPr>
                  <w:rFonts w:ascii="Arial" w:cs="Arial" w:eastAsia="Arial" w:hAnsi="Arial"/>
                  <w:sz w:val="18"/>
                  <w:szCs w:val="18"/>
                  <w:color w:val="0000FF"/>
                  <w:w w:val="93"/>
                </w:rPr>
                <w:t>Note Purchase Agreement among San Jose Water Company and certain affiliates of MetLife, Inc., Brighthouse Financial, Inc. and</w:t>
              </w:r>
            </w:hyperlink>
          </w:p>
        </w:tc>
      </w:tr>
      <w:tr>
        <w:trPr>
          <w:trHeight w:val="155"/>
        </w:trPr>
        <w:tc>
          <w:tcPr>
            <w:tcW w:w="1500" w:type="dxa"/>
            <w:vAlign w:val="bottom"/>
          </w:tcPr>
          <w:p>
            <w:pPr>
              <w:spacing w:after="0"/>
              <w:rPr>
                <w:sz w:val="13"/>
                <w:szCs w:val="13"/>
                <w:color w:val="auto"/>
              </w:rPr>
            </w:pPr>
          </w:p>
        </w:tc>
        <w:tc>
          <w:tcPr>
            <w:tcW w:w="9380" w:type="dxa"/>
            <w:vAlign w:val="bottom"/>
            <w:tcBorders>
              <w:top w:val="single" w:sz="8" w:color="0000FF"/>
              <w:bottom w:val="single" w:sz="8" w:color="0000FF"/>
            </w:tcBorders>
            <w:gridSpan w:val="25"/>
          </w:tcPr>
          <w:p>
            <w:pPr>
              <w:spacing w:after="0" w:line="156" w:lineRule="exact"/>
              <w:rPr>
                <w:rFonts w:ascii="Arial" w:cs="Arial" w:eastAsia="Arial" w:hAnsi="Arial"/>
                <w:sz w:val="18"/>
                <w:szCs w:val="18"/>
                <w:color w:val="0000FF"/>
                <w:w w:val="92"/>
              </w:rPr>
            </w:pPr>
            <w:hyperlink r:id="rId134">
              <w:r>
                <w:rPr>
                  <w:rFonts w:ascii="Arial" w:cs="Arial" w:eastAsia="Arial" w:hAnsi="Arial"/>
                  <w:sz w:val="18"/>
                  <w:szCs w:val="18"/>
                  <w:color w:val="0000FF"/>
                  <w:w w:val="92"/>
                </w:rPr>
                <w:t>New York Life Insurance Company, dated March 28, 2019. Incorporated by reference to Exhibit 10.1 to Form 8-K filed on March</w:t>
              </w:r>
            </w:hyperlink>
          </w:p>
        </w:tc>
        <w:tc>
          <w:tcPr>
            <w:tcW w:w="260" w:type="dxa"/>
            <w:vAlign w:val="bottom"/>
            <w:tcBorders>
              <w:bottom w:val="single" w:sz="8" w:color="0000FF"/>
            </w:tcBorders>
            <w:gridSpan w:val="5"/>
          </w:tcPr>
          <w:p>
            <w:pPr>
              <w:jc w:val="right"/>
              <w:ind w:right="20"/>
              <w:spacing w:after="0" w:line="156" w:lineRule="exact"/>
              <w:rPr>
                <w:rFonts w:ascii="Arial" w:cs="Arial" w:eastAsia="Arial" w:hAnsi="Arial"/>
                <w:sz w:val="18"/>
                <w:szCs w:val="18"/>
                <w:color w:val="0000FF"/>
                <w:w w:val="87"/>
              </w:rPr>
            </w:pPr>
            <w:hyperlink r:id="rId134">
              <w:r>
                <w:rPr>
                  <w:rFonts w:ascii="Arial" w:cs="Arial" w:eastAsia="Arial" w:hAnsi="Arial"/>
                  <w:sz w:val="18"/>
                  <w:szCs w:val="18"/>
                  <w:color w:val="0000FF"/>
                  <w:w w:val="87"/>
                </w:rPr>
                <w:t>28,</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500" w:type="dxa"/>
            <w:vAlign w:val="bottom"/>
          </w:tcPr>
          <w:p>
            <w:pPr>
              <w:spacing w:after="0"/>
              <w:rPr>
                <w:sz w:val="14"/>
                <w:szCs w:val="14"/>
                <w:color w:val="auto"/>
              </w:rPr>
            </w:pPr>
          </w:p>
        </w:tc>
        <w:tc>
          <w:tcPr>
            <w:tcW w:w="1920" w:type="dxa"/>
            <w:vAlign w:val="bottom"/>
            <w:gridSpan w:val="2"/>
          </w:tcPr>
          <w:p>
            <w:pPr>
              <w:spacing w:after="0" w:line="169" w:lineRule="exact"/>
              <w:rPr>
                <w:rFonts w:ascii="Arial" w:cs="Arial" w:eastAsia="Arial" w:hAnsi="Arial"/>
                <w:sz w:val="18"/>
                <w:szCs w:val="18"/>
                <w:color w:val="0000FF"/>
              </w:rPr>
            </w:pPr>
            <w:hyperlink r:id="rId134">
              <w:r>
                <w:rPr>
                  <w:rFonts w:ascii="Arial" w:cs="Arial" w:eastAsia="Arial" w:hAnsi="Arial"/>
                  <w:sz w:val="18"/>
                  <w:szCs w:val="18"/>
                  <w:color w:val="0000FF"/>
                </w:rPr>
                <w:t>2019</w:t>
              </w:r>
              <w:r>
                <w:rPr>
                  <w:rFonts w:ascii="Arial" w:cs="Arial" w:eastAsia="Arial" w:hAnsi="Arial"/>
                  <w:sz w:val="18"/>
                  <w:szCs w:val="18"/>
                  <w:color w:val="000000"/>
                </w:rPr>
                <w:t>.</w:t>
              </w:r>
            </w:hyperlink>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500" w:type="dxa"/>
            <w:vAlign w:val="bottom"/>
          </w:tcPr>
          <w:p>
            <w:pPr>
              <w:spacing w:after="0"/>
              <w:rPr>
                <w:sz w:val="20"/>
                <w:szCs w:val="20"/>
                <w:color w:val="auto"/>
              </w:rPr>
            </w:pPr>
            <w:r>
              <w:rPr>
                <w:rFonts w:ascii="Arial" w:cs="Arial" w:eastAsia="Arial" w:hAnsi="Arial"/>
                <w:sz w:val="18"/>
                <w:szCs w:val="18"/>
                <w:color w:val="auto"/>
              </w:rPr>
              <w:t>10.12</w:t>
            </w:r>
          </w:p>
        </w:tc>
        <w:tc>
          <w:tcPr>
            <w:tcW w:w="9700" w:type="dxa"/>
            <w:vAlign w:val="bottom"/>
            <w:gridSpan w:val="33"/>
          </w:tcPr>
          <w:p>
            <w:pPr>
              <w:spacing w:after="0"/>
              <w:rPr>
                <w:rFonts w:ascii="Arial" w:cs="Arial" w:eastAsia="Arial" w:hAnsi="Arial"/>
                <w:sz w:val="18"/>
                <w:szCs w:val="18"/>
                <w:color w:val="0000FF"/>
                <w:w w:val="93"/>
              </w:rPr>
            </w:pPr>
            <w:hyperlink r:id="rId121">
              <w:r>
                <w:rPr>
                  <w:rFonts w:ascii="Arial" w:cs="Arial" w:eastAsia="Arial" w:hAnsi="Arial"/>
                  <w:sz w:val="18"/>
                  <w:szCs w:val="18"/>
                  <w:color w:val="0000FF"/>
                  <w:w w:val="93"/>
                </w:rPr>
                <w:t>Note Purchase Agreement among SJW Group and Purchases listed therein, dated October 8, 2019, along with the forms of senior</w:t>
              </w:r>
            </w:hyperlink>
          </w:p>
        </w:tc>
      </w:tr>
      <w:tr>
        <w:trPr>
          <w:trHeight w:val="155"/>
        </w:trPr>
        <w:tc>
          <w:tcPr>
            <w:tcW w:w="1500" w:type="dxa"/>
            <w:vAlign w:val="bottom"/>
          </w:tcPr>
          <w:p>
            <w:pPr>
              <w:spacing w:after="0"/>
              <w:rPr>
                <w:sz w:val="13"/>
                <w:szCs w:val="13"/>
                <w:color w:val="auto"/>
              </w:rPr>
            </w:pPr>
          </w:p>
        </w:tc>
        <w:tc>
          <w:tcPr>
            <w:tcW w:w="932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21">
              <w:r>
                <w:rPr>
                  <w:rFonts w:ascii="Arial" w:cs="Arial" w:eastAsia="Arial" w:hAnsi="Arial"/>
                  <w:sz w:val="18"/>
                  <w:szCs w:val="18"/>
                  <w:color w:val="0000FF"/>
                </w:rPr>
                <w:t>notes. Incorporated by reference to Exhibit 10.1 to the Form 8-K filed on October 9, 2019</w:t>
              </w:r>
              <w:r>
                <w:rPr>
                  <w:rFonts w:ascii="Arial" w:cs="Arial" w:eastAsia="Arial" w:hAnsi="Arial"/>
                  <w:sz w:val="18"/>
                  <w:szCs w:val="18"/>
                  <w:color w:val="00B050"/>
                </w:rPr>
                <w:t>.</w:t>
              </w:r>
            </w:hyperlink>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900" w:type="dxa"/>
            <w:vAlign w:val="bottom"/>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10.13</w:t>
            </w:r>
          </w:p>
        </w:tc>
        <w:tc>
          <w:tcPr>
            <w:tcW w:w="9700" w:type="dxa"/>
            <w:vAlign w:val="bottom"/>
            <w:gridSpan w:val="33"/>
          </w:tcPr>
          <w:p>
            <w:pPr>
              <w:spacing w:after="0"/>
              <w:rPr>
                <w:rFonts w:ascii="Arial" w:cs="Arial" w:eastAsia="Arial" w:hAnsi="Arial"/>
                <w:sz w:val="18"/>
                <w:szCs w:val="18"/>
                <w:color w:val="0000FF"/>
                <w:w w:val="90"/>
              </w:rPr>
            </w:pPr>
            <w:hyperlink r:id="rId135">
              <w:r>
                <w:rPr>
                  <w:rFonts w:ascii="Arial" w:cs="Arial" w:eastAsia="Arial" w:hAnsi="Arial"/>
                  <w:sz w:val="18"/>
                  <w:szCs w:val="18"/>
                  <w:color w:val="0000FF"/>
                  <w:w w:val="90"/>
                </w:rPr>
                <w:t>Note Purchase Agreement among The Connecticut Water Company and Purchasers listed therein, dated August 4, 2021. Incorporated</w:t>
              </w:r>
            </w:hyperlink>
          </w:p>
        </w:tc>
      </w:tr>
      <w:tr>
        <w:trPr>
          <w:trHeight w:val="183"/>
        </w:trPr>
        <w:tc>
          <w:tcPr>
            <w:tcW w:w="1500" w:type="dxa"/>
            <w:vAlign w:val="bottom"/>
          </w:tcPr>
          <w:p>
            <w:pPr>
              <w:spacing w:after="0"/>
              <w:rPr>
                <w:sz w:val="15"/>
                <w:szCs w:val="15"/>
                <w:color w:val="auto"/>
              </w:rPr>
            </w:pPr>
          </w:p>
        </w:tc>
        <w:tc>
          <w:tcPr>
            <w:tcW w:w="9640" w:type="dxa"/>
            <w:vAlign w:val="bottom"/>
            <w:tcBorders>
              <w:top w:val="single" w:sz="8" w:color="0000FF"/>
            </w:tcBorders>
            <w:gridSpan w:val="30"/>
          </w:tcPr>
          <w:p>
            <w:pPr>
              <w:spacing w:after="0" w:line="182" w:lineRule="exact"/>
              <w:rPr>
                <w:rFonts w:ascii="Arial" w:cs="Arial" w:eastAsia="Arial" w:hAnsi="Arial"/>
                <w:sz w:val="18"/>
                <w:szCs w:val="18"/>
                <w:color w:val="0000FF"/>
              </w:rPr>
            </w:pPr>
            <w:hyperlink r:id="rId135">
              <w:r>
                <w:rPr>
                  <w:rFonts w:ascii="Arial" w:cs="Arial" w:eastAsia="Arial" w:hAnsi="Arial"/>
                  <w:sz w:val="18"/>
                  <w:szCs w:val="18"/>
                  <w:color w:val="0000FF"/>
                </w:rPr>
                <w:t>by reference to Exhibit 10.1 to Form 8-K filed on August 5, 2021</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500" w:type="dxa"/>
            <w:vAlign w:val="bottom"/>
          </w:tcPr>
          <w:p>
            <w:pPr>
              <w:spacing w:after="0" w:line="20" w:lineRule="exact"/>
              <w:rPr>
                <w:sz w:val="1"/>
                <w:szCs w:val="1"/>
                <w:color w:val="auto"/>
              </w:rPr>
            </w:pPr>
          </w:p>
        </w:tc>
        <w:tc>
          <w:tcPr>
            <w:tcW w:w="3900" w:type="dxa"/>
            <w:vAlign w:val="bottom"/>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500" w:type="dxa"/>
            <w:vAlign w:val="bottom"/>
          </w:tcPr>
          <w:p>
            <w:pPr>
              <w:spacing w:after="0"/>
              <w:rPr>
                <w:sz w:val="20"/>
                <w:szCs w:val="20"/>
                <w:color w:val="auto"/>
              </w:rPr>
            </w:pPr>
            <w:r>
              <w:rPr>
                <w:rFonts w:ascii="Arial" w:cs="Arial" w:eastAsia="Arial" w:hAnsi="Arial"/>
                <w:sz w:val="18"/>
                <w:szCs w:val="18"/>
                <w:color w:val="auto"/>
              </w:rPr>
              <w:t>10.14</w:t>
            </w:r>
          </w:p>
        </w:tc>
        <w:tc>
          <w:tcPr>
            <w:tcW w:w="9700" w:type="dxa"/>
            <w:vAlign w:val="bottom"/>
            <w:gridSpan w:val="33"/>
          </w:tcPr>
          <w:p>
            <w:pPr>
              <w:spacing w:after="0"/>
              <w:rPr>
                <w:rFonts w:ascii="Arial" w:cs="Arial" w:eastAsia="Arial" w:hAnsi="Arial"/>
                <w:sz w:val="18"/>
                <w:szCs w:val="18"/>
                <w:color w:val="0000FF"/>
                <w:w w:val="94"/>
              </w:rPr>
            </w:pPr>
            <w:hyperlink r:id="rId136">
              <w:r>
                <w:rPr>
                  <w:rFonts w:ascii="Arial" w:cs="Arial" w:eastAsia="Arial" w:hAnsi="Arial"/>
                  <w:sz w:val="18"/>
                  <w:szCs w:val="18"/>
                  <w:color w:val="0000FF"/>
                  <w:w w:val="94"/>
                </w:rPr>
                <w:t>Master Loan Agreement between The Connecticut Water Company and CoBank, ACB, dated October 29, 2012. Incorporated by</w:t>
              </w:r>
            </w:hyperlink>
          </w:p>
        </w:tc>
      </w:tr>
      <w:tr>
        <w:trPr>
          <w:trHeight w:val="155"/>
        </w:trPr>
        <w:tc>
          <w:tcPr>
            <w:tcW w:w="1500" w:type="dxa"/>
            <w:vAlign w:val="bottom"/>
          </w:tcPr>
          <w:p>
            <w:pPr>
              <w:spacing w:after="0"/>
              <w:rPr>
                <w:sz w:val="13"/>
                <w:szCs w:val="13"/>
                <w:color w:val="auto"/>
              </w:rPr>
            </w:pPr>
          </w:p>
        </w:tc>
        <w:tc>
          <w:tcPr>
            <w:tcW w:w="928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36">
              <w:r>
                <w:rPr>
                  <w:rFonts w:ascii="Arial" w:cs="Arial" w:eastAsia="Arial" w:hAnsi="Arial"/>
                  <w:sz w:val="18"/>
                  <w:szCs w:val="18"/>
                  <w:color w:val="0000FF"/>
                </w:rPr>
                <w:t>reference to Exhibit 10.1 to Connecticut Water Service, Inc.’s Form 8-K filed on November 2, 2012</w:t>
              </w:r>
              <w:r>
                <w:rPr>
                  <w:rFonts w:ascii="Arial" w:cs="Arial" w:eastAsia="Arial" w:hAnsi="Arial"/>
                  <w:sz w:val="18"/>
                  <w:szCs w:val="18"/>
                  <w:color w:val="000000"/>
                </w:rPr>
                <w:t>.</w:t>
              </w:r>
            </w:hyperlink>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24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900" w:type="dxa"/>
            <w:vAlign w:val="bottom"/>
            <w:gridSpan w:val="3"/>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1"/>
        </w:trPr>
        <w:tc>
          <w:tcPr>
            <w:tcW w:w="1500" w:type="dxa"/>
            <w:vAlign w:val="bottom"/>
          </w:tcPr>
          <w:p>
            <w:pPr>
              <w:spacing w:after="0"/>
              <w:rPr>
                <w:sz w:val="20"/>
                <w:szCs w:val="20"/>
                <w:color w:val="auto"/>
              </w:rPr>
            </w:pPr>
            <w:r>
              <w:rPr>
                <w:rFonts w:ascii="Arial" w:cs="Arial" w:eastAsia="Arial" w:hAnsi="Arial"/>
                <w:sz w:val="18"/>
                <w:szCs w:val="18"/>
                <w:color w:val="auto"/>
              </w:rPr>
              <w:t>10.15</w:t>
            </w:r>
          </w:p>
        </w:tc>
        <w:tc>
          <w:tcPr>
            <w:tcW w:w="9700" w:type="dxa"/>
            <w:vAlign w:val="bottom"/>
            <w:gridSpan w:val="33"/>
          </w:tcPr>
          <w:p>
            <w:pPr>
              <w:spacing w:after="0"/>
              <w:rPr>
                <w:rFonts w:ascii="Arial" w:cs="Arial" w:eastAsia="Arial" w:hAnsi="Arial"/>
                <w:sz w:val="18"/>
                <w:szCs w:val="18"/>
                <w:color w:val="0000FF"/>
                <w:w w:val="89"/>
              </w:rPr>
            </w:pPr>
            <w:hyperlink r:id="rId137">
              <w:r>
                <w:rPr>
                  <w:rFonts w:ascii="Arial" w:cs="Arial" w:eastAsia="Arial" w:hAnsi="Arial"/>
                  <w:sz w:val="18"/>
                  <w:szCs w:val="18"/>
                  <w:color w:val="0000FF"/>
                  <w:w w:val="89"/>
                </w:rPr>
                <w:t>San Jose Water Company Executive Supplemental Retirement Plan, as Amended and Restated on January 25, 2012, effective January</w:t>
              </w:r>
            </w:hyperlink>
          </w:p>
        </w:tc>
      </w:tr>
      <w:tr>
        <w:trPr>
          <w:trHeight w:val="156"/>
        </w:trPr>
        <w:tc>
          <w:tcPr>
            <w:tcW w:w="1500" w:type="dxa"/>
            <w:vAlign w:val="bottom"/>
          </w:tcPr>
          <w:p>
            <w:pPr>
              <w:spacing w:after="0"/>
              <w:rPr>
                <w:sz w:val="13"/>
                <w:szCs w:val="13"/>
                <w:color w:val="auto"/>
              </w:rPr>
            </w:pPr>
          </w:p>
        </w:tc>
        <w:tc>
          <w:tcPr>
            <w:tcW w:w="966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37">
              <w:r>
                <w:rPr>
                  <w:rFonts w:ascii="Arial" w:cs="Arial" w:eastAsia="Arial" w:hAnsi="Arial"/>
                  <w:sz w:val="18"/>
                  <w:szCs w:val="18"/>
                  <w:color w:val="0000FF"/>
                </w:rPr>
                <w:t>1, 2012. Incorporated by reference as Exhibit 10.20 to Form 10-K for the year ended December 31, 2011</w:t>
              </w:r>
              <w:r>
                <w:rPr>
                  <w:rFonts w:ascii="Arial" w:cs="Arial" w:eastAsia="Arial" w:hAnsi="Arial"/>
                  <w:sz w:val="18"/>
                  <w:szCs w:val="18"/>
                  <w:color w:val="000000"/>
                </w:rPr>
                <w:t>. (2)</w:t>
              </w:r>
            </w:hyperlink>
          </w:p>
        </w:tc>
        <w:tc>
          <w:tcPr>
            <w:tcW w:w="40" w:type="dxa"/>
            <w:vAlign w:val="bottom"/>
            <w:gridSpan w:val="2"/>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900" w:type="dxa"/>
            <w:vAlign w:val="bottom"/>
            <w:gridSpan w:val="3"/>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2460" w:type="dxa"/>
            <w:vAlign w:val="bottom"/>
            <w:gridSpan w:val="6"/>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r>
      <w:tr>
        <w:trPr>
          <w:trHeight w:val="371"/>
        </w:trPr>
        <w:tc>
          <w:tcPr>
            <w:tcW w:w="1500" w:type="dxa"/>
            <w:vAlign w:val="bottom"/>
          </w:tcPr>
          <w:p>
            <w:pPr>
              <w:spacing w:after="0"/>
              <w:rPr>
                <w:sz w:val="20"/>
                <w:szCs w:val="20"/>
                <w:color w:val="auto"/>
              </w:rPr>
            </w:pPr>
            <w:r>
              <w:rPr>
                <w:rFonts w:ascii="Arial" w:cs="Arial" w:eastAsia="Arial" w:hAnsi="Arial"/>
                <w:sz w:val="18"/>
                <w:szCs w:val="18"/>
                <w:color w:val="auto"/>
              </w:rPr>
              <w:t>10.16</w:t>
            </w:r>
          </w:p>
        </w:tc>
        <w:tc>
          <w:tcPr>
            <w:tcW w:w="9700" w:type="dxa"/>
            <w:vAlign w:val="bottom"/>
            <w:gridSpan w:val="33"/>
          </w:tcPr>
          <w:p>
            <w:pPr>
              <w:spacing w:after="0"/>
              <w:rPr>
                <w:rFonts w:ascii="Arial" w:cs="Arial" w:eastAsia="Arial" w:hAnsi="Arial"/>
                <w:sz w:val="18"/>
                <w:szCs w:val="18"/>
                <w:color w:val="0000FF"/>
                <w:w w:val="94"/>
              </w:rPr>
            </w:pPr>
            <w:hyperlink r:id="rId138">
              <w:r>
                <w:rPr>
                  <w:rFonts w:ascii="Arial" w:cs="Arial" w:eastAsia="Arial" w:hAnsi="Arial"/>
                  <w:sz w:val="18"/>
                  <w:szCs w:val="18"/>
                  <w:color w:val="0000FF"/>
                  <w:w w:val="94"/>
                </w:rPr>
                <w:t>The First Amendment to the Executive Supplemental Retirement Plan effective November 15, 2016. Incorporated by reference to</w:t>
              </w:r>
            </w:hyperlink>
          </w:p>
        </w:tc>
      </w:tr>
      <w:tr>
        <w:trPr>
          <w:trHeight w:val="155"/>
        </w:trPr>
        <w:tc>
          <w:tcPr>
            <w:tcW w:w="1500" w:type="dxa"/>
            <w:vAlign w:val="bottom"/>
          </w:tcPr>
          <w:p>
            <w:pPr>
              <w:spacing w:after="0"/>
              <w:rPr>
                <w:sz w:val="13"/>
                <w:szCs w:val="13"/>
                <w:color w:val="auto"/>
              </w:rPr>
            </w:pPr>
          </w:p>
        </w:tc>
        <w:tc>
          <w:tcPr>
            <w:tcW w:w="934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38">
              <w:r>
                <w:rPr>
                  <w:rFonts w:ascii="Arial" w:cs="Arial" w:eastAsia="Arial" w:hAnsi="Arial"/>
                  <w:sz w:val="18"/>
                  <w:szCs w:val="18"/>
                  <w:color w:val="0000FF"/>
                </w:rPr>
                <w:t>Exhibit 10.14 to the Form 10-K for the year ended December 31, 2016</w:t>
              </w:r>
              <w:r>
                <w:rPr>
                  <w:rFonts w:ascii="Arial" w:cs="Arial" w:eastAsia="Arial" w:hAnsi="Arial"/>
                  <w:sz w:val="18"/>
                  <w:szCs w:val="18"/>
                  <w:color w:val="000000"/>
                </w:rPr>
                <w:t>. (2)</w:t>
              </w:r>
            </w:hyperlink>
          </w:p>
        </w:tc>
        <w:tc>
          <w:tcPr>
            <w:tcW w:w="80" w:type="dxa"/>
            <w:vAlign w:val="bottom"/>
            <w:gridSpan w:val="3"/>
          </w:tcPr>
          <w:p>
            <w:pPr>
              <w:spacing w:after="0"/>
              <w:rPr>
                <w:sz w:val="13"/>
                <w:szCs w:val="13"/>
                <w:color w:val="auto"/>
              </w:rPr>
            </w:pPr>
          </w:p>
        </w:tc>
        <w:tc>
          <w:tcPr>
            <w:tcW w:w="280" w:type="dxa"/>
            <w:vAlign w:val="bottom"/>
            <w:gridSpan w:val="7"/>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900" w:type="dxa"/>
            <w:vAlign w:val="bottom"/>
            <w:gridSpan w:val="3"/>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10.17</w:t>
            </w:r>
          </w:p>
        </w:tc>
        <w:tc>
          <w:tcPr>
            <w:tcW w:w="9700" w:type="dxa"/>
            <w:vAlign w:val="bottom"/>
            <w:gridSpan w:val="33"/>
          </w:tcPr>
          <w:p>
            <w:pPr>
              <w:spacing w:after="0"/>
              <w:rPr>
                <w:rFonts w:ascii="Arial" w:cs="Arial" w:eastAsia="Arial" w:hAnsi="Arial"/>
                <w:sz w:val="18"/>
                <w:szCs w:val="18"/>
                <w:color w:val="0000FF"/>
                <w:w w:val="94"/>
              </w:rPr>
            </w:pPr>
            <w:hyperlink r:id="rId139">
              <w:r>
                <w:rPr>
                  <w:rFonts w:ascii="Arial" w:cs="Arial" w:eastAsia="Arial" w:hAnsi="Arial"/>
                  <w:sz w:val="18"/>
                  <w:szCs w:val="18"/>
                  <w:color w:val="0000FF"/>
                  <w:w w:val="94"/>
                </w:rPr>
                <w:t>The Second Amendment to the Executive Supplemental Retirement Plan effective October 9, 2019. Incorporated by reference to</w:t>
              </w:r>
            </w:hyperlink>
          </w:p>
        </w:tc>
      </w:tr>
      <w:tr>
        <w:trPr>
          <w:trHeight w:val="155"/>
        </w:trPr>
        <w:tc>
          <w:tcPr>
            <w:tcW w:w="1500" w:type="dxa"/>
            <w:vAlign w:val="bottom"/>
          </w:tcPr>
          <w:p>
            <w:pPr>
              <w:spacing w:after="0"/>
              <w:rPr>
                <w:sz w:val="13"/>
                <w:szCs w:val="13"/>
                <w:color w:val="auto"/>
              </w:rPr>
            </w:pPr>
          </w:p>
        </w:tc>
        <w:tc>
          <w:tcPr>
            <w:tcW w:w="92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39">
              <w:r>
                <w:rPr>
                  <w:rFonts w:ascii="Arial" w:cs="Arial" w:eastAsia="Arial" w:hAnsi="Arial"/>
                  <w:sz w:val="18"/>
                  <w:szCs w:val="18"/>
                  <w:color w:val="0000FF"/>
                </w:rPr>
                <w:t>Exhibit 10.5 to the Form 8-K filed on October 9, 2019</w:t>
              </w:r>
              <w:r>
                <w:rPr>
                  <w:rFonts w:ascii="Arial" w:cs="Arial" w:eastAsia="Arial" w:hAnsi="Arial"/>
                  <w:sz w:val="18"/>
                  <w:szCs w:val="18"/>
                  <w:color w:val="000000"/>
                </w:rPr>
                <w:t>. (2)</w:t>
              </w:r>
            </w:hyperlink>
          </w:p>
        </w:tc>
        <w:tc>
          <w:tcPr>
            <w:tcW w:w="160" w:type="dxa"/>
            <w:vAlign w:val="bottom"/>
            <w:gridSpan w:val="7"/>
          </w:tcPr>
          <w:p>
            <w:pPr>
              <w:spacing w:after="0"/>
              <w:rPr>
                <w:sz w:val="13"/>
                <w:szCs w:val="13"/>
                <w:color w:val="auto"/>
              </w:rPr>
            </w:pPr>
          </w:p>
        </w:tc>
        <w:tc>
          <w:tcPr>
            <w:tcW w:w="280" w:type="dxa"/>
            <w:vAlign w:val="bottom"/>
            <w:gridSpan w:val="7"/>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900" w:type="dxa"/>
            <w:vAlign w:val="bottom"/>
            <w:gridSpan w:val="3"/>
            <w:shd w:val="clear" w:color="auto" w:fill="0000FF"/>
          </w:tcPr>
          <w:p>
            <w:pPr>
              <w:spacing w:after="0" w:line="20" w:lineRule="exact"/>
              <w:rPr>
                <w:sz w:val="1"/>
                <w:szCs w:val="1"/>
                <w:color w:val="auto"/>
              </w:rPr>
            </w:pPr>
          </w:p>
        </w:tc>
        <w:tc>
          <w:tcPr>
            <w:tcW w:w="4900" w:type="dxa"/>
            <w:vAlign w:val="bottom"/>
            <w:gridSpan w:val="12"/>
          </w:tcPr>
          <w:p>
            <w:pPr>
              <w:spacing w:after="0" w:line="20" w:lineRule="exact"/>
              <w:rPr>
                <w:sz w:val="1"/>
                <w:szCs w:val="1"/>
                <w:color w:val="auto"/>
              </w:rPr>
            </w:pPr>
          </w:p>
        </w:tc>
        <w:tc>
          <w:tcPr>
            <w:tcW w:w="620" w:type="dxa"/>
            <w:vAlign w:val="bottom"/>
            <w:gridSpan w:val="11"/>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r>
      <w:tr>
        <w:trPr>
          <w:trHeight w:val="371"/>
        </w:trPr>
        <w:tc>
          <w:tcPr>
            <w:tcW w:w="1500" w:type="dxa"/>
            <w:vAlign w:val="bottom"/>
          </w:tcPr>
          <w:p>
            <w:pPr>
              <w:spacing w:after="0"/>
              <w:rPr>
                <w:sz w:val="20"/>
                <w:szCs w:val="20"/>
                <w:color w:val="auto"/>
              </w:rPr>
            </w:pPr>
            <w:r>
              <w:rPr>
                <w:rFonts w:ascii="Arial" w:cs="Arial" w:eastAsia="Arial" w:hAnsi="Arial"/>
                <w:sz w:val="18"/>
                <w:szCs w:val="18"/>
                <w:color w:val="auto"/>
              </w:rPr>
              <w:t>10.18</w:t>
            </w:r>
          </w:p>
        </w:tc>
        <w:tc>
          <w:tcPr>
            <w:tcW w:w="9700" w:type="dxa"/>
            <w:vAlign w:val="bottom"/>
            <w:gridSpan w:val="33"/>
          </w:tcPr>
          <w:p>
            <w:pPr>
              <w:spacing w:after="0"/>
              <w:rPr>
                <w:rFonts w:ascii="Arial" w:cs="Arial" w:eastAsia="Arial" w:hAnsi="Arial"/>
                <w:sz w:val="18"/>
                <w:szCs w:val="18"/>
                <w:color w:val="0000FF"/>
                <w:w w:val="91"/>
              </w:rPr>
            </w:pPr>
            <w:hyperlink r:id="rId140">
              <w:r>
                <w:rPr>
                  <w:rFonts w:ascii="Arial" w:cs="Arial" w:eastAsia="Arial" w:hAnsi="Arial"/>
                  <w:sz w:val="18"/>
                  <w:szCs w:val="18"/>
                  <w:color w:val="0000FF"/>
                  <w:w w:val="91"/>
                </w:rPr>
                <w:t>San Jose Water Company Cash Balance Executive Supplemental Retirement Plan, as Amended and Restated on January 25, 2012,</w:t>
              </w:r>
            </w:hyperlink>
          </w:p>
        </w:tc>
      </w:tr>
      <w:tr>
        <w:trPr>
          <w:trHeight w:val="156"/>
        </w:trPr>
        <w:tc>
          <w:tcPr>
            <w:tcW w:w="1500" w:type="dxa"/>
            <w:vAlign w:val="bottom"/>
          </w:tcPr>
          <w:p>
            <w:pPr>
              <w:spacing w:after="0"/>
              <w:rPr>
                <w:sz w:val="13"/>
                <w:szCs w:val="13"/>
                <w:color w:val="auto"/>
              </w:rPr>
            </w:pPr>
          </w:p>
        </w:tc>
        <w:tc>
          <w:tcPr>
            <w:tcW w:w="9420" w:type="dxa"/>
            <w:vAlign w:val="bottom"/>
            <w:tcBorders>
              <w:top w:val="single" w:sz="8" w:color="0000FF"/>
            </w:tcBorders>
            <w:gridSpan w:val="26"/>
          </w:tcPr>
          <w:p>
            <w:pPr>
              <w:spacing w:after="0" w:line="156" w:lineRule="exact"/>
              <w:rPr>
                <w:rFonts w:ascii="Arial" w:cs="Arial" w:eastAsia="Arial" w:hAnsi="Arial"/>
                <w:sz w:val="18"/>
                <w:szCs w:val="18"/>
                <w:color w:val="0000FF"/>
                <w:w w:val="93"/>
              </w:rPr>
            </w:pPr>
            <w:hyperlink r:id="rId140">
              <w:r>
                <w:rPr>
                  <w:rFonts w:ascii="Arial" w:cs="Arial" w:eastAsia="Arial" w:hAnsi="Arial"/>
                  <w:sz w:val="18"/>
                  <w:szCs w:val="18"/>
                  <w:color w:val="0000FF"/>
                  <w:w w:val="93"/>
                </w:rPr>
                <w:t>effective January 1, 2012. Incorporated by reference as Exhibit 10.23 to Form 10-K for the year ended December 31, 2011</w:t>
              </w:r>
              <w:r>
                <w:rPr>
                  <w:rFonts w:ascii="Arial" w:cs="Arial" w:eastAsia="Arial" w:hAnsi="Arial"/>
                  <w:sz w:val="18"/>
                  <w:szCs w:val="18"/>
                  <w:color w:val="000000"/>
                  <w:w w:val="93"/>
                </w:rPr>
                <w:t>. (2)</w:t>
              </w:r>
            </w:hyperlink>
          </w:p>
        </w:tc>
        <w:tc>
          <w:tcPr>
            <w:tcW w:w="280" w:type="dxa"/>
            <w:vAlign w:val="bottom"/>
            <w:gridSpan w:val="7"/>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1040" w:right="39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10.19</w:t>
            </w:r>
          </w:p>
        </w:tc>
        <w:tc>
          <w:tcPr>
            <w:tcW w:w="9740" w:type="dxa"/>
            <w:vAlign w:val="bottom"/>
            <w:gridSpan w:val="34"/>
          </w:tcPr>
          <w:p>
            <w:pPr>
              <w:spacing w:after="0"/>
              <w:rPr>
                <w:rFonts w:ascii="Arial" w:cs="Arial" w:eastAsia="Arial" w:hAnsi="Arial"/>
                <w:sz w:val="18"/>
                <w:szCs w:val="18"/>
                <w:color w:val="0000FF"/>
                <w:w w:val="91"/>
              </w:rPr>
            </w:pPr>
            <w:hyperlink r:id="rId142">
              <w:r>
                <w:rPr>
                  <w:rFonts w:ascii="Arial" w:cs="Arial" w:eastAsia="Arial" w:hAnsi="Arial"/>
                  <w:sz w:val="18"/>
                  <w:szCs w:val="18"/>
                  <w:color w:val="0000FF"/>
                  <w:w w:val="91"/>
                </w:rPr>
                <w:t>First Amendment to the San Jose Water Company Cash Balance Executive Supplemental Retirement Plan effective as of October 30,</w:t>
              </w:r>
            </w:hyperlink>
          </w:p>
        </w:tc>
      </w:tr>
      <w:tr>
        <w:trPr>
          <w:trHeight w:val="156"/>
        </w:trPr>
        <w:tc>
          <w:tcPr>
            <w:tcW w:w="1500" w:type="dxa"/>
            <w:vAlign w:val="bottom"/>
          </w:tcPr>
          <w:p>
            <w:pPr>
              <w:spacing w:after="0"/>
              <w:rPr>
                <w:sz w:val="13"/>
                <w:szCs w:val="13"/>
                <w:color w:val="auto"/>
              </w:rPr>
            </w:pPr>
          </w:p>
        </w:tc>
        <w:tc>
          <w:tcPr>
            <w:tcW w:w="964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42">
              <w:r>
                <w:rPr>
                  <w:rFonts w:ascii="Arial" w:cs="Arial" w:eastAsia="Arial" w:hAnsi="Arial"/>
                  <w:sz w:val="18"/>
                  <w:szCs w:val="18"/>
                  <w:color w:val="0000FF"/>
                </w:rPr>
                <w:t>2013. Incorporated by reference as Exhibit 10.15 to Form 10-K for the year ended December 31, 2013</w:t>
              </w:r>
              <w:r>
                <w:rPr>
                  <w:rFonts w:ascii="Arial" w:cs="Arial" w:eastAsia="Arial" w:hAnsi="Arial"/>
                  <w:sz w:val="18"/>
                  <w:szCs w:val="18"/>
                  <w:color w:val="000000"/>
                </w:rPr>
                <w:t>. (2)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10.20</w:t>
            </w:r>
          </w:p>
        </w:tc>
        <w:tc>
          <w:tcPr>
            <w:tcW w:w="9740" w:type="dxa"/>
            <w:vAlign w:val="bottom"/>
            <w:gridSpan w:val="34"/>
          </w:tcPr>
          <w:p>
            <w:pPr>
              <w:spacing w:after="0"/>
              <w:rPr>
                <w:rFonts w:ascii="Arial" w:cs="Arial" w:eastAsia="Arial" w:hAnsi="Arial"/>
                <w:sz w:val="18"/>
                <w:szCs w:val="18"/>
                <w:color w:val="0000FF"/>
                <w:w w:val="91"/>
              </w:rPr>
            </w:pPr>
            <w:hyperlink r:id="rId143">
              <w:r>
                <w:rPr>
                  <w:rFonts w:ascii="Arial" w:cs="Arial" w:eastAsia="Arial" w:hAnsi="Arial"/>
                  <w:sz w:val="18"/>
                  <w:szCs w:val="18"/>
                  <w:color w:val="0000FF"/>
                  <w:w w:val="91"/>
                </w:rPr>
                <w:t>Second Amendment to the San Jose Water Company Cash Balance Executive Supplemental Retirement Plan effective as of January</w:t>
              </w:r>
            </w:hyperlink>
          </w:p>
        </w:tc>
      </w:tr>
      <w:tr>
        <w:trPr>
          <w:trHeight w:val="155"/>
        </w:trPr>
        <w:tc>
          <w:tcPr>
            <w:tcW w:w="1500" w:type="dxa"/>
            <w:vAlign w:val="bottom"/>
          </w:tcPr>
          <w:p>
            <w:pPr>
              <w:spacing w:after="0"/>
              <w:rPr>
                <w:sz w:val="13"/>
                <w:szCs w:val="13"/>
                <w:color w:val="auto"/>
              </w:rPr>
            </w:pPr>
          </w:p>
        </w:tc>
        <w:tc>
          <w:tcPr>
            <w:tcW w:w="950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43">
              <w:r>
                <w:rPr>
                  <w:rFonts w:ascii="Arial" w:cs="Arial" w:eastAsia="Arial" w:hAnsi="Arial"/>
                  <w:sz w:val="18"/>
                  <w:szCs w:val="18"/>
                  <w:color w:val="0000FF"/>
                </w:rPr>
                <w:t>31, 2014. Incorporated by reference as Exhibit 10.2 to Form 8-K filed on January 30, 2014</w:t>
              </w:r>
              <w:r>
                <w:rPr>
                  <w:rFonts w:ascii="Arial" w:cs="Arial" w:eastAsia="Arial" w:hAnsi="Arial"/>
                  <w:sz w:val="18"/>
                  <w:szCs w:val="18"/>
                  <w:color w:val="000000"/>
                </w:rPr>
                <w:t>. (2)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10.21</w:t>
            </w:r>
          </w:p>
        </w:tc>
        <w:tc>
          <w:tcPr>
            <w:tcW w:w="9740" w:type="dxa"/>
            <w:vAlign w:val="bottom"/>
            <w:gridSpan w:val="34"/>
          </w:tcPr>
          <w:p>
            <w:pPr>
              <w:spacing w:after="0"/>
              <w:rPr>
                <w:rFonts w:ascii="Arial" w:cs="Arial" w:eastAsia="Arial" w:hAnsi="Arial"/>
                <w:sz w:val="18"/>
                <w:szCs w:val="18"/>
                <w:color w:val="0000FF"/>
                <w:w w:val="92"/>
              </w:rPr>
            </w:pPr>
            <w:hyperlink r:id="rId144">
              <w:r>
                <w:rPr>
                  <w:rFonts w:ascii="Arial" w:cs="Arial" w:eastAsia="Arial" w:hAnsi="Arial"/>
                  <w:sz w:val="18"/>
                  <w:szCs w:val="18"/>
                  <w:color w:val="0000FF"/>
                  <w:w w:val="92"/>
                </w:rPr>
                <w:t>Third Amendment to the San Jose Water Company Cash Balance Executive Supplemental Retirement Plan effective November 15,</w:t>
              </w:r>
            </w:hyperlink>
          </w:p>
        </w:tc>
      </w:tr>
      <w:tr>
        <w:trPr>
          <w:trHeight w:val="155"/>
        </w:trPr>
        <w:tc>
          <w:tcPr>
            <w:tcW w:w="1500" w:type="dxa"/>
            <w:vAlign w:val="bottom"/>
          </w:tcPr>
          <w:p>
            <w:pPr>
              <w:spacing w:after="0"/>
              <w:rPr>
                <w:sz w:val="13"/>
                <w:szCs w:val="13"/>
                <w:color w:val="auto"/>
              </w:rPr>
            </w:pPr>
          </w:p>
        </w:tc>
        <w:tc>
          <w:tcPr>
            <w:tcW w:w="946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44">
              <w:r>
                <w:rPr>
                  <w:rFonts w:ascii="Arial" w:cs="Arial" w:eastAsia="Arial" w:hAnsi="Arial"/>
                  <w:sz w:val="18"/>
                  <w:szCs w:val="18"/>
                  <w:color w:val="0000FF"/>
                </w:rPr>
                <w:t>2016. Incorporated by reference to Exhibit 10.18 to Form 10-K for the year ended December 31, 2016</w:t>
              </w:r>
              <w:r>
                <w:rPr>
                  <w:rFonts w:ascii="Arial" w:cs="Arial" w:eastAsia="Arial" w:hAnsi="Arial"/>
                  <w:sz w:val="18"/>
                  <w:szCs w:val="18"/>
                  <w:color w:val="000000"/>
                </w:rPr>
                <w:t>. (2)</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10.22</w:t>
            </w:r>
          </w:p>
        </w:tc>
        <w:tc>
          <w:tcPr>
            <w:tcW w:w="9740" w:type="dxa"/>
            <w:vAlign w:val="bottom"/>
            <w:gridSpan w:val="34"/>
          </w:tcPr>
          <w:p>
            <w:pPr>
              <w:spacing w:after="0"/>
              <w:rPr>
                <w:rFonts w:ascii="Arial" w:cs="Arial" w:eastAsia="Arial" w:hAnsi="Arial"/>
                <w:sz w:val="18"/>
                <w:szCs w:val="18"/>
                <w:color w:val="0000FF"/>
                <w:w w:val="92"/>
              </w:rPr>
            </w:pPr>
            <w:hyperlink r:id="rId145">
              <w:r>
                <w:rPr>
                  <w:rFonts w:ascii="Arial" w:cs="Arial" w:eastAsia="Arial" w:hAnsi="Arial"/>
                  <w:sz w:val="18"/>
                  <w:szCs w:val="18"/>
                  <w:color w:val="0000FF"/>
                  <w:w w:val="92"/>
                </w:rPr>
                <w:t>Fourth Amendment to the San Jose Water Company Cash Balance Executive Supplemental Retirement Plan effective November 6,</w:t>
              </w:r>
            </w:hyperlink>
          </w:p>
        </w:tc>
      </w:tr>
      <w:tr>
        <w:trPr>
          <w:trHeight w:val="156"/>
        </w:trPr>
        <w:tc>
          <w:tcPr>
            <w:tcW w:w="1500" w:type="dxa"/>
            <w:vAlign w:val="bottom"/>
          </w:tcPr>
          <w:p>
            <w:pPr>
              <w:spacing w:after="0"/>
              <w:rPr>
                <w:sz w:val="13"/>
                <w:szCs w:val="13"/>
                <w:color w:val="auto"/>
              </w:rPr>
            </w:pPr>
          </w:p>
        </w:tc>
        <w:tc>
          <w:tcPr>
            <w:tcW w:w="94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45">
              <w:r>
                <w:rPr>
                  <w:rFonts w:ascii="Arial" w:cs="Arial" w:eastAsia="Arial" w:hAnsi="Arial"/>
                  <w:sz w:val="18"/>
                  <w:szCs w:val="18"/>
                  <w:color w:val="0000FF"/>
                </w:rPr>
                <w:t>2017. Incorporated by reference to Exhibit 10.5 to the Form 10-Q for the quarter ended September 30, 2017</w:t>
              </w:r>
              <w:r>
                <w:rPr>
                  <w:rFonts w:ascii="Arial" w:cs="Arial" w:eastAsia="Arial" w:hAnsi="Arial"/>
                  <w:sz w:val="18"/>
                  <w:szCs w:val="18"/>
                  <w:color w:val="000000"/>
                </w:rPr>
                <w:t>. (2)</w:t>
              </w:r>
            </w:hyperlink>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10.23</w:t>
            </w:r>
          </w:p>
        </w:tc>
        <w:tc>
          <w:tcPr>
            <w:tcW w:w="9740" w:type="dxa"/>
            <w:vAlign w:val="bottom"/>
            <w:gridSpan w:val="34"/>
          </w:tcPr>
          <w:p>
            <w:pPr>
              <w:spacing w:after="0"/>
              <w:rPr>
                <w:rFonts w:ascii="Arial" w:cs="Arial" w:eastAsia="Arial" w:hAnsi="Arial"/>
                <w:sz w:val="18"/>
                <w:szCs w:val="18"/>
                <w:color w:val="0000FF"/>
                <w:w w:val="90"/>
              </w:rPr>
            </w:pPr>
            <w:hyperlink r:id="rId146">
              <w:r>
                <w:rPr>
                  <w:rFonts w:ascii="Arial" w:cs="Arial" w:eastAsia="Arial" w:hAnsi="Arial"/>
                  <w:sz w:val="18"/>
                  <w:szCs w:val="18"/>
                  <w:color w:val="0000FF"/>
                  <w:w w:val="90"/>
                </w:rPr>
                <w:t>Fifth Amendment to the San Jose Water Company Cash Balance Executive Supplemental Retirement Plan effective October 24, 2018.</w:t>
              </w:r>
            </w:hyperlink>
          </w:p>
        </w:tc>
      </w:tr>
      <w:tr>
        <w:trPr>
          <w:trHeight w:val="156"/>
        </w:trPr>
        <w:tc>
          <w:tcPr>
            <w:tcW w:w="1500" w:type="dxa"/>
            <w:vAlign w:val="bottom"/>
          </w:tcPr>
          <w:p>
            <w:pPr>
              <w:spacing w:after="0"/>
              <w:rPr>
                <w:sz w:val="13"/>
                <w:szCs w:val="13"/>
                <w:color w:val="auto"/>
              </w:rPr>
            </w:pPr>
          </w:p>
        </w:tc>
        <w:tc>
          <w:tcPr>
            <w:tcW w:w="972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146">
              <w:r>
                <w:rPr>
                  <w:rFonts w:ascii="Arial" w:cs="Arial" w:eastAsia="Arial" w:hAnsi="Arial"/>
                  <w:sz w:val="18"/>
                  <w:szCs w:val="18"/>
                  <w:color w:val="0000FF"/>
                </w:rPr>
                <w:t>Incorporated by reference as Exhibit 10.21 to Form 10-K for the year ended December 31, 2018</w:t>
              </w:r>
              <w:r>
                <w:rPr>
                  <w:rFonts w:ascii="Arial" w:cs="Arial" w:eastAsia="Arial" w:hAnsi="Arial"/>
                  <w:sz w:val="18"/>
                  <w:szCs w:val="18"/>
                  <w:color w:val="000000"/>
                </w:rPr>
                <w:t>. (2)</w:t>
              </w:r>
            </w:hyperlink>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1"/>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10.24</w:t>
            </w:r>
          </w:p>
        </w:tc>
        <w:tc>
          <w:tcPr>
            <w:tcW w:w="9740" w:type="dxa"/>
            <w:vAlign w:val="bottom"/>
            <w:gridSpan w:val="34"/>
          </w:tcPr>
          <w:p>
            <w:pPr>
              <w:spacing w:after="0"/>
              <w:rPr>
                <w:rFonts w:ascii="Arial" w:cs="Arial" w:eastAsia="Arial" w:hAnsi="Arial"/>
                <w:sz w:val="18"/>
                <w:szCs w:val="18"/>
                <w:color w:val="0000FF"/>
                <w:w w:val="91"/>
              </w:rPr>
            </w:pPr>
            <w:hyperlink r:id="rId147">
              <w:r>
                <w:rPr>
                  <w:rFonts w:ascii="Arial" w:cs="Arial" w:eastAsia="Arial" w:hAnsi="Arial"/>
                  <w:sz w:val="18"/>
                  <w:szCs w:val="18"/>
                  <w:color w:val="0000FF"/>
                  <w:w w:val="91"/>
                </w:rPr>
                <w:t>Sixth Amendment to the San Jose Water Company Cash Balance Executive Supplemental Retirement Plan effective October 9, 2019.</w:t>
              </w:r>
            </w:hyperlink>
          </w:p>
        </w:tc>
      </w:tr>
      <w:tr>
        <w:trPr>
          <w:trHeight w:val="156"/>
        </w:trPr>
        <w:tc>
          <w:tcPr>
            <w:tcW w:w="1500" w:type="dxa"/>
            <w:vAlign w:val="bottom"/>
          </w:tcPr>
          <w:p>
            <w:pPr>
              <w:spacing w:after="0"/>
              <w:rPr>
                <w:sz w:val="13"/>
                <w:szCs w:val="13"/>
                <w:color w:val="auto"/>
              </w:rPr>
            </w:pPr>
          </w:p>
        </w:tc>
        <w:tc>
          <w:tcPr>
            <w:tcW w:w="966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47">
              <w:r>
                <w:rPr>
                  <w:rFonts w:ascii="Arial" w:cs="Arial" w:eastAsia="Arial" w:hAnsi="Arial"/>
                  <w:sz w:val="18"/>
                  <w:szCs w:val="18"/>
                  <w:color w:val="0000FF"/>
                </w:rPr>
                <w:t>Incorporated by reference as Exhibit 10.4 to Form 8-K filed on October 9, 2019</w:t>
              </w:r>
              <w:r>
                <w:rPr>
                  <w:rFonts w:ascii="Arial" w:cs="Arial" w:eastAsia="Arial" w:hAnsi="Arial"/>
                  <w:sz w:val="18"/>
                  <w:szCs w:val="18"/>
                  <w:color w:val="000000"/>
                </w:rPr>
                <w:t>. (2)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1"/>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10.25</w:t>
            </w:r>
          </w:p>
        </w:tc>
        <w:tc>
          <w:tcPr>
            <w:tcW w:w="9740" w:type="dxa"/>
            <w:vAlign w:val="bottom"/>
            <w:gridSpan w:val="34"/>
          </w:tcPr>
          <w:p>
            <w:pPr>
              <w:spacing w:after="0"/>
              <w:rPr>
                <w:rFonts w:ascii="Arial" w:cs="Arial" w:eastAsia="Arial" w:hAnsi="Arial"/>
                <w:sz w:val="18"/>
                <w:szCs w:val="18"/>
                <w:color w:val="0000FF"/>
                <w:w w:val="92"/>
              </w:rPr>
            </w:pPr>
            <w:hyperlink r:id="rId148">
              <w:r>
                <w:rPr>
                  <w:rFonts w:ascii="Arial" w:cs="Arial" w:eastAsia="Arial" w:hAnsi="Arial"/>
                  <w:sz w:val="18"/>
                  <w:szCs w:val="18"/>
                  <w:color w:val="0000FF"/>
                  <w:w w:val="92"/>
                </w:rPr>
                <w:t>SJW Corp. Long-Term Incentive Plan, as amended and restated on July 29, 2015. Incorporated by reference as Exhibit 10.1 to Form</w:t>
              </w:r>
            </w:hyperlink>
          </w:p>
        </w:tc>
      </w:tr>
      <w:tr>
        <w:trPr>
          <w:trHeight w:val="156"/>
        </w:trPr>
        <w:tc>
          <w:tcPr>
            <w:tcW w:w="1500" w:type="dxa"/>
            <w:vAlign w:val="bottom"/>
          </w:tcPr>
          <w:p>
            <w:pPr>
              <w:spacing w:after="0"/>
              <w:rPr>
                <w:sz w:val="13"/>
                <w:szCs w:val="13"/>
                <w:color w:val="auto"/>
              </w:rPr>
            </w:pPr>
          </w:p>
        </w:tc>
        <w:tc>
          <w:tcPr>
            <w:tcW w:w="954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48">
              <w:r>
                <w:rPr>
                  <w:rFonts w:ascii="Arial" w:cs="Arial" w:eastAsia="Arial" w:hAnsi="Arial"/>
                  <w:sz w:val="18"/>
                  <w:szCs w:val="18"/>
                  <w:color w:val="0000FF"/>
                </w:rPr>
                <w:t>10-Q filed for the quarter ended September 30, 2015</w:t>
              </w:r>
              <w:r>
                <w:rPr>
                  <w:rFonts w:ascii="Arial" w:cs="Arial" w:eastAsia="Arial" w:hAnsi="Arial"/>
                  <w:sz w:val="18"/>
                  <w:szCs w:val="18"/>
                  <w:color w:val="000000"/>
                </w:rPr>
                <w:t>. (2)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10.26</w:t>
            </w:r>
          </w:p>
        </w:tc>
        <w:tc>
          <w:tcPr>
            <w:tcW w:w="9740" w:type="dxa"/>
            <w:vAlign w:val="bottom"/>
            <w:gridSpan w:val="34"/>
          </w:tcPr>
          <w:p>
            <w:pPr>
              <w:spacing w:after="0"/>
              <w:rPr>
                <w:rFonts w:ascii="Arial" w:cs="Arial" w:eastAsia="Arial" w:hAnsi="Arial"/>
                <w:sz w:val="18"/>
                <w:szCs w:val="18"/>
                <w:color w:val="0000FF"/>
                <w:w w:val="92"/>
              </w:rPr>
            </w:pPr>
            <w:hyperlink r:id="rId149">
              <w:r>
                <w:rPr>
                  <w:rFonts w:ascii="Arial" w:cs="Arial" w:eastAsia="Arial" w:hAnsi="Arial"/>
                  <w:sz w:val="18"/>
                  <w:szCs w:val="18"/>
                  <w:color w:val="0000FF"/>
                  <w:w w:val="92"/>
                </w:rPr>
                <w:t>First Amendment to the SJW Group Long-Term Incentive Plan dated November 15, 2016. Incorporated by reference to Exhibit 10.21</w:t>
              </w:r>
            </w:hyperlink>
          </w:p>
        </w:tc>
      </w:tr>
      <w:tr>
        <w:trPr>
          <w:trHeight w:val="155"/>
        </w:trPr>
        <w:tc>
          <w:tcPr>
            <w:tcW w:w="1500" w:type="dxa"/>
            <w:vAlign w:val="bottom"/>
          </w:tcPr>
          <w:p>
            <w:pPr>
              <w:spacing w:after="0"/>
              <w:rPr>
                <w:sz w:val="13"/>
                <w:szCs w:val="13"/>
                <w:color w:val="auto"/>
              </w:rPr>
            </w:pPr>
          </w:p>
        </w:tc>
        <w:tc>
          <w:tcPr>
            <w:tcW w:w="968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49">
              <w:r>
                <w:rPr>
                  <w:rFonts w:ascii="Arial" w:cs="Arial" w:eastAsia="Arial" w:hAnsi="Arial"/>
                  <w:sz w:val="18"/>
                  <w:szCs w:val="18"/>
                  <w:color w:val="0000FF"/>
                </w:rPr>
                <w:t>to Form 10-K for the year ended December 31, 2016</w:t>
              </w:r>
              <w:r>
                <w:rPr>
                  <w:rFonts w:ascii="Arial" w:cs="Arial" w:eastAsia="Arial" w:hAnsi="Arial"/>
                  <w:sz w:val="18"/>
                  <w:szCs w:val="18"/>
                  <w:color w:val="000000"/>
                </w:rPr>
                <w:t>. (2)</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10.27</w:t>
            </w:r>
          </w:p>
        </w:tc>
        <w:tc>
          <w:tcPr>
            <w:tcW w:w="9740" w:type="dxa"/>
            <w:vAlign w:val="bottom"/>
            <w:gridSpan w:val="34"/>
          </w:tcPr>
          <w:p>
            <w:pPr>
              <w:spacing w:after="0"/>
              <w:rPr>
                <w:rFonts w:ascii="Arial" w:cs="Arial" w:eastAsia="Arial" w:hAnsi="Arial"/>
                <w:sz w:val="18"/>
                <w:szCs w:val="18"/>
                <w:color w:val="0000FF"/>
                <w:w w:val="92"/>
              </w:rPr>
            </w:pPr>
            <w:hyperlink r:id="rId150">
              <w:r>
                <w:rPr>
                  <w:rFonts w:ascii="Arial" w:cs="Arial" w:eastAsia="Arial" w:hAnsi="Arial"/>
                  <w:sz w:val="18"/>
                  <w:szCs w:val="18"/>
                  <w:color w:val="0000FF"/>
                  <w:w w:val="92"/>
                </w:rPr>
                <w:t>Second Amendment to the SJW Group Long-Term Incentive Plan dated October 28, 2020. Incorporated by reference as Exhibit 10.1</w:t>
              </w:r>
            </w:hyperlink>
          </w:p>
        </w:tc>
      </w:tr>
      <w:tr>
        <w:trPr>
          <w:trHeight w:val="155"/>
        </w:trPr>
        <w:tc>
          <w:tcPr>
            <w:tcW w:w="1500" w:type="dxa"/>
            <w:vAlign w:val="bottom"/>
          </w:tcPr>
          <w:p>
            <w:pPr>
              <w:spacing w:after="0"/>
              <w:rPr>
                <w:sz w:val="13"/>
                <w:szCs w:val="13"/>
                <w:color w:val="auto"/>
              </w:rPr>
            </w:pPr>
          </w:p>
        </w:tc>
        <w:tc>
          <w:tcPr>
            <w:tcW w:w="960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50">
              <w:r>
                <w:rPr>
                  <w:rFonts w:ascii="Arial" w:cs="Arial" w:eastAsia="Arial" w:hAnsi="Arial"/>
                  <w:sz w:val="18"/>
                  <w:szCs w:val="18"/>
                  <w:color w:val="0000FF"/>
                </w:rPr>
                <w:t>to Form 10-Q filed for the quarter ended September 30, 2020</w:t>
              </w:r>
              <w:r>
                <w:rPr>
                  <w:rFonts w:ascii="Arial" w:cs="Arial" w:eastAsia="Arial" w:hAnsi="Arial"/>
                  <w:sz w:val="18"/>
                  <w:szCs w:val="18"/>
                  <w:color w:val="000000"/>
                </w:rPr>
                <w:t>. (2)</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10.28</w:t>
            </w:r>
          </w:p>
        </w:tc>
        <w:tc>
          <w:tcPr>
            <w:tcW w:w="9740" w:type="dxa"/>
            <w:vAlign w:val="bottom"/>
            <w:gridSpan w:val="34"/>
          </w:tcPr>
          <w:p>
            <w:pPr>
              <w:spacing w:after="0"/>
              <w:rPr>
                <w:rFonts w:ascii="Arial" w:cs="Arial" w:eastAsia="Arial" w:hAnsi="Arial"/>
                <w:sz w:val="18"/>
                <w:szCs w:val="18"/>
                <w:color w:val="0000FF"/>
                <w:w w:val="91"/>
              </w:rPr>
            </w:pPr>
            <w:hyperlink r:id="rId151">
              <w:r>
                <w:rPr>
                  <w:rFonts w:ascii="Arial" w:cs="Arial" w:eastAsia="Arial" w:hAnsi="Arial"/>
                  <w:sz w:val="18"/>
                  <w:szCs w:val="18"/>
                  <w:color w:val="0000FF"/>
                  <w:w w:val="91"/>
                </w:rPr>
                <w:t>Third Amendment to the SJW Group Long-Term Incentive Plan dated January 28, 2021. Incorporated by reference to Exhibit 10.31 to</w:t>
              </w:r>
            </w:hyperlink>
          </w:p>
        </w:tc>
      </w:tr>
      <w:tr>
        <w:trPr>
          <w:trHeight w:val="183"/>
        </w:trPr>
        <w:tc>
          <w:tcPr>
            <w:tcW w:w="1500" w:type="dxa"/>
            <w:vAlign w:val="bottom"/>
          </w:tcPr>
          <w:p>
            <w:pPr>
              <w:spacing w:after="0"/>
              <w:rPr>
                <w:sz w:val="15"/>
                <w:szCs w:val="15"/>
                <w:color w:val="auto"/>
              </w:rPr>
            </w:pPr>
          </w:p>
        </w:tc>
        <w:tc>
          <w:tcPr>
            <w:tcW w:w="9720" w:type="dxa"/>
            <w:vAlign w:val="bottom"/>
            <w:tcBorders>
              <w:top w:val="single" w:sz="8" w:color="0000FF"/>
            </w:tcBorders>
            <w:gridSpan w:val="33"/>
          </w:tcPr>
          <w:p>
            <w:pPr>
              <w:spacing w:after="0" w:line="182" w:lineRule="exact"/>
              <w:rPr>
                <w:rFonts w:ascii="Arial" w:cs="Arial" w:eastAsia="Arial" w:hAnsi="Arial"/>
                <w:sz w:val="18"/>
                <w:szCs w:val="18"/>
                <w:color w:val="0000FF"/>
              </w:rPr>
            </w:pPr>
            <w:hyperlink r:id="rId151">
              <w:r>
                <w:rPr>
                  <w:rFonts w:ascii="Arial" w:cs="Arial" w:eastAsia="Arial" w:hAnsi="Arial"/>
                  <w:sz w:val="18"/>
                  <w:szCs w:val="18"/>
                  <w:color w:val="0000FF"/>
                </w:rPr>
                <w:t xml:space="preserve">Form 10-K for the year ended December 31, 2020. </w:t>
              </w:r>
              <w:r>
                <w:rPr>
                  <w:rFonts w:ascii="Arial" w:cs="Arial" w:eastAsia="Arial" w:hAnsi="Arial"/>
                  <w:sz w:val="18"/>
                  <w:szCs w:val="18"/>
                  <w:color w:val="000000"/>
                </w:rPr>
                <w:t>(2)</w:t>
              </w:r>
            </w:hyperlink>
          </w:p>
        </w:tc>
        <w:tc>
          <w:tcPr>
            <w:tcW w:w="20" w:type="dxa"/>
            <w:vAlign w:val="bottom"/>
          </w:tcPr>
          <w:p>
            <w:pPr>
              <w:spacing w:after="0"/>
              <w:rPr>
                <w:sz w:val="15"/>
                <w:szCs w:val="15"/>
                <w:color w:val="auto"/>
              </w:rPr>
            </w:pPr>
          </w:p>
        </w:tc>
      </w:tr>
      <w:tr>
        <w:trPr>
          <w:trHeight w:val="20"/>
        </w:trPr>
        <w:tc>
          <w:tcPr>
            <w:tcW w:w="15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10.29</w:t>
            </w:r>
          </w:p>
        </w:tc>
        <w:tc>
          <w:tcPr>
            <w:tcW w:w="9740" w:type="dxa"/>
            <w:vAlign w:val="bottom"/>
            <w:gridSpan w:val="34"/>
          </w:tcPr>
          <w:p>
            <w:pPr>
              <w:spacing w:after="0"/>
              <w:rPr>
                <w:rFonts w:ascii="Arial" w:cs="Arial" w:eastAsia="Arial" w:hAnsi="Arial"/>
                <w:sz w:val="18"/>
                <w:szCs w:val="18"/>
                <w:color w:val="0000FF"/>
                <w:w w:val="92"/>
              </w:rPr>
            </w:pPr>
            <w:hyperlink r:id="rId152">
              <w:r>
                <w:rPr>
                  <w:rFonts w:ascii="Arial" w:cs="Arial" w:eastAsia="Arial" w:hAnsi="Arial"/>
                  <w:sz w:val="18"/>
                  <w:szCs w:val="18"/>
                  <w:color w:val="0000FF"/>
                  <w:w w:val="92"/>
                </w:rPr>
                <w:t>Employment Agreement of Mr. Eric W. Thornburg dated September 26, 2017, together with Exhibit A (Form of Restricted Stock Unit</w:t>
              </w:r>
            </w:hyperlink>
          </w:p>
        </w:tc>
      </w:tr>
      <w:tr>
        <w:trPr>
          <w:trHeight w:val="155"/>
        </w:trPr>
        <w:tc>
          <w:tcPr>
            <w:tcW w:w="1500" w:type="dxa"/>
            <w:vAlign w:val="bottom"/>
          </w:tcPr>
          <w:p>
            <w:pPr>
              <w:spacing w:after="0"/>
              <w:rPr>
                <w:sz w:val="13"/>
                <w:szCs w:val="13"/>
                <w:color w:val="auto"/>
              </w:rPr>
            </w:pPr>
          </w:p>
        </w:tc>
        <w:tc>
          <w:tcPr>
            <w:tcW w:w="928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0"/>
              </w:rPr>
            </w:pPr>
            <w:hyperlink r:id="rId152">
              <w:r>
                <w:rPr>
                  <w:rFonts w:ascii="Arial" w:cs="Arial" w:eastAsia="Arial" w:hAnsi="Arial"/>
                  <w:sz w:val="18"/>
                  <w:szCs w:val="18"/>
                  <w:color w:val="0000FF"/>
                  <w:w w:val="90"/>
                </w:rPr>
                <w:t>Issuance Agreement - Initial Time-Based Grant), Exhibit B (Form of Restricted Stock Issuance Agreement - Special Time-Based</w:t>
              </w:r>
            </w:hyperlink>
          </w:p>
        </w:tc>
        <w:tc>
          <w:tcPr>
            <w:tcW w:w="420" w:type="dxa"/>
            <w:vAlign w:val="bottom"/>
            <w:tcBorders>
              <w:top w:val="single" w:sz="8" w:color="0000FF"/>
            </w:tcBorders>
            <w:gridSpan w:val="1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500" w:type="dxa"/>
            <w:vAlign w:val="bottom"/>
          </w:tcPr>
          <w:p>
            <w:pPr>
              <w:spacing w:after="0"/>
              <w:rPr>
                <w:sz w:val="14"/>
                <w:szCs w:val="14"/>
                <w:color w:val="auto"/>
              </w:rPr>
            </w:pPr>
          </w:p>
        </w:tc>
        <w:tc>
          <w:tcPr>
            <w:tcW w:w="9740" w:type="dxa"/>
            <w:vAlign w:val="bottom"/>
            <w:gridSpan w:val="34"/>
          </w:tcPr>
          <w:p>
            <w:pPr>
              <w:spacing w:after="0" w:line="169" w:lineRule="exact"/>
              <w:rPr>
                <w:rFonts w:ascii="Arial" w:cs="Arial" w:eastAsia="Arial" w:hAnsi="Arial"/>
                <w:sz w:val="18"/>
                <w:szCs w:val="18"/>
                <w:color w:val="0000FF"/>
                <w:w w:val="93"/>
              </w:rPr>
            </w:pPr>
            <w:hyperlink r:id="rId152">
              <w:r>
                <w:rPr>
                  <w:rFonts w:ascii="Arial" w:cs="Arial" w:eastAsia="Arial" w:hAnsi="Arial"/>
                  <w:sz w:val="18"/>
                  <w:szCs w:val="18"/>
                  <w:color w:val="0000FF"/>
                  <w:w w:val="93"/>
                </w:rPr>
                <w:t>Grant), and Exhibit C (Form of Confidential Settlement Agreement and Release). Incorporated by reference to Exhibit 10.3 to Form</w:t>
              </w:r>
            </w:hyperlink>
          </w:p>
        </w:tc>
      </w:tr>
      <w:tr>
        <w:trPr>
          <w:trHeight w:val="155"/>
        </w:trPr>
        <w:tc>
          <w:tcPr>
            <w:tcW w:w="1500" w:type="dxa"/>
            <w:vAlign w:val="bottom"/>
          </w:tcPr>
          <w:p>
            <w:pPr>
              <w:spacing w:after="0"/>
              <w:rPr>
                <w:sz w:val="13"/>
                <w:szCs w:val="13"/>
                <w:color w:val="auto"/>
              </w:rPr>
            </w:pPr>
          </w:p>
        </w:tc>
        <w:tc>
          <w:tcPr>
            <w:tcW w:w="952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52">
              <w:r>
                <w:rPr>
                  <w:rFonts w:ascii="Arial" w:cs="Arial" w:eastAsia="Arial" w:hAnsi="Arial"/>
                  <w:sz w:val="18"/>
                  <w:szCs w:val="18"/>
                  <w:color w:val="0000FF"/>
                </w:rPr>
                <w:t>10-Q for the quarter ended September 30, 2017</w:t>
              </w:r>
              <w:r>
                <w:rPr>
                  <w:rFonts w:ascii="Arial" w:cs="Arial" w:eastAsia="Arial" w:hAnsi="Arial"/>
                  <w:sz w:val="18"/>
                  <w:szCs w:val="18"/>
                  <w:color w:val="000000"/>
                </w:rPr>
                <w:t>. (2)</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10.30</w:t>
            </w:r>
          </w:p>
        </w:tc>
        <w:tc>
          <w:tcPr>
            <w:tcW w:w="9740" w:type="dxa"/>
            <w:vAlign w:val="bottom"/>
            <w:gridSpan w:val="34"/>
          </w:tcPr>
          <w:p>
            <w:pPr>
              <w:spacing w:after="0"/>
              <w:rPr>
                <w:rFonts w:ascii="Arial" w:cs="Arial" w:eastAsia="Arial" w:hAnsi="Arial"/>
                <w:sz w:val="18"/>
                <w:szCs w:val="18"/>
                <w:color w:val="0000FF"/>
                <w:w w:val="97"/>
              </w:rPr>
            </w:pPr>
            <w:hyperlink r:id="rId153">
              <w:r>
                <w:rPr>
                  <w:rFonts w:ascii="Arial" w:cs="Arial" w:eastAsia="Arial" w:hAnsi="Arial"/>
                  <w:sz w:val="18"/>
                  <w:szCs w:val="18"/>
                  <w:color w:val="0000FF"/>
                  <w:w w:val="97"/>
                </w:rPr>
                <w:t>First Amendment dated December 31, 2019, to the Employment Agreement of Eric W. Thornburg dated September 26, 2017.</w:t>
              </w:r>
            </w:hyperlink>
          </w:p>
        </w:tc>
      </w:tr>
      <w:tr>
        <w:trPr>
          <w:trHeight w:val="156"/>
        </w:trPr>
        <w:tc>
          <w:tcPr>
            <w:tcW w:w="1500" w:type="dxa"/>
            <w:vAlign w:val="bottom"/>
          </w:tcPr>
          <w:p>
            <w:pPr>
              <w:spacing w:after="0"/>
              <w:rPr>
                <w:sz w:val="13"/>
                <w:szCs w:val="13"/>
                <w:color w:val="auto"/>
              </w:rPr>
            </w:pPr>
          </w:p>
        </w:tc>
        <w:tc>
          <w:tcPr>
            <w:tcW w:w="902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53">
              <w:r>
                <w:rPr>
                  <w:rFonts w:ascii="Arial" w:cs="Arial" w:eastAsia="Arial" w:hAnsi="Arial"/>
                  <w:sz w:val="18"/>
                  <w:szCs w:val="18"/>
                  <w:color w:val="0000FF"/>
                </w:rPr>
                <w:t>Incorporated by reference to Exhibit 10.1 to the Form 8-K filed on January 7, 2020</w:t>
              </w:r>
              <w:r>
                <w:rPr>
                  <w:rFonts w:ascii="Arial" w:cs="Arial" w:eastAsia="Arial" w:hAnsi="Arial"/>
                  <w:sz w:val="18"/>
                  <w:szCs w:val="18"/>
                  <w:color w:val="000000"/>
                </w:rPr>
                <w:t>. (2)</w:t>
              </w:r>
            </w:hyperlink>
          </w:p>
        </w:tc>
        <w:tc>
          <w:tcPr>
            <w:tcW w:w="2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3"/>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08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372"/>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10.31</w:t>
            </w:r>
          </w:p>
        </w:tc>
        <w:tc>
          <w:tcPr>
            <w:tcW w:w="9740" w:type="dxa"/>
            <w:vAlign w:val="bottom"/>
            <w:gridSpan w:val="34"/>
          </w:tcPr>
          <w:p>
            <w:pPr>
              <w:spacing w:after="0"/>
              <w:rPr>
                <w:rFonts w:ascii="Arial" w:cs="Arial" w:eastAsia="Arial" w:hAnsi="Arial"/>
                <w:sz w:val="18"/>
                <w:szCs w:val="18"/>
                <w:color w:val="0000FF"/>
                <w:w w:val="91"/>
              </w:rPr>
            </w:pPr>
            <w:hyperlink r:id="rId154">
              <w:r>
                <w:rPr>
                  <w:rFonts w:ascii="Arial" w:cs="Arial" w:eastAsia="Arial" w:hAnsi="Arial"/>
                  <w:sz w:val="18"/>
                  <w:szCs w:val="18"/>
                  <w:color w:val="0000FF"/>
                  <w:w w:val="91"/>
                </w:rPr>
                <w:t>Separation Agreement between SJW Group and Mr. James P. Lynch, dated December 20, 2022. Incorporated by reference as Exhibit</w:t>
              </w:r>
            </w:hyperlink>
          </w:p>
        </w:tc>
      </w:tr>
      <w:tr>
        <w:trPr>
          <w:trHeight w:val="155"/>
        </w:trPr>
        <w:tc>
          <w:tcPr>
            <w:tcW w:w="1500" w:type="dxa"/>
            <w:vAlign w:val="bottom"/>
          </w:tcPr>
          <w:p>
            <w:pPr>
              <w:spacing w:after="0"/>
              <w:rPr>
                <w:sz w:val="13"/>
                <w:szCs w:val="13"/>
                <w:color w:val="auto"/>
              </w:rPr>
            </w:pPr>
          </w:p>
        </w:tc>
        <w:tc>
          <w:tcPr>
            <w:tcW w:w="962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54">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Form 8-K filed on December 23, 2022. </w:t>
              </w:r>
              <w:r>
                <w:rPr>
                  <w:rFonts w:ascii="Arial" w:cs="Arial" w:eastAsia="Arial" w:hAnsi="Arial"/>
                  <w:sz w:val="18"/>
                  <w:szCs w:val="18"/>
                  <w:color w:val="000000"/>
                </w:rPr>
                <w:t>(2)</w:t>
              </w:r>
            </w:hyperlink>
          </w:p>
        </w:tc>
        <w:tc>
          <w:tcPr>
            <w:tcW w:w="120" w:type="dxa"/>
            <w:vAlign w:val="bottom"/>
            <w:gridSpan w:val="6"/>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372"/>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10.32</w:t>
            </w:r>
          </w:p>
        </w:tc>
        <w:tc>
          <w:tcPr>
            <w:tcW w:w="9740" w:type="dxa"/>
            <w:vAlign w:val="bottom"/>
            <w:gridSpan w:val="34"/>
          </w:tcPr>
          <w:p>
            <w:pPr>
              <w:spacing w:after="0"/>
              <w:rPr>
                <w:rFonts w:ascii="Arial" w:cs="Arial" w:eastAsia="Arial" w:hAnsi="Arial"/>
                <w:sz w:val="18"/>
                <w:szCs w:val="18"/>
                <w:color w:val="0000FF"/>
                <w:w w:val="92"/>
              </w:rPr>
            </w:pPr>
            <w:hyperlink r:id="rId155">
              <w:r>
                <w:rPr>
                  <w:rFonts w:ascii="Arial" w:cs="Arial" w:eastAsia="Arial" w:hAnsi="Arial"/>
                  <w:sz w:val="18"/>
                  <w:szCs w:val="18"/>
                  <w:color w:val="0000FF"/>
                  <w:w w:val="92"/>
                </w:rPr>
                <w:t>Standard Form of SJW Group Stock Option Agreement. Incorporated by reference to Exhibit 10.31 to Form 10-K for the year ended</w:t>
              </w:r>
            </w:hyperlink>
          </w:p>
        </w:tc>
      </w:tr>
      <w:tr>
        <w:trPr>
          <w:trHeight w:val="155"/>
        </w:trPr>
        <w:tc>
          <w:tcPr>
            <w:tcW w:w="1500" w:type="dxa"/>
            <w:vAlign w:val="bottom"/>
          </w:tcPr>
          <w:p>
            <w:pPr>
              <w:spacing w:after="0"/>
              <w:rPr>
                <w:sz w:val="13"/>
                <w:szCs w:val="13"/>
                <w:color w:val="auto"/>
              </w:rPr>
            </w:pPr>
          </w:p>
        </w:tc>
        <w:tc>
          <w:tcPr>
            <w:tcW w:w="958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55">
              <w:r>
                <w:rPr>
                  <w:rFonts w:ascii="Arial" w:cs="Arial" w:eastAsia="Arial" w:hAnsi="Arial"/>
                  <w:sz w:val="18"/>
                  <w:szCs w:val="18"/>
                  <w:color w:val="0000FF"/>
                </w:rPr>
                <w:t>December 31, 2016</w:t>
              </w:r>
              <w:r>
                <w:rPr>
                  <w:rFonts w:ascii="Arial" w:cs="Arial" w:eastAsia="Arial" w:hAnsi="Arial"/>
                  <w:sz w:val="18"/>
                  <w:szCs w:val="18"/>
                  <w:color w:val="000000"/>
                </w:rPr>
                <w:t>. (2)</w:t>
              </w:r>
            </w:hyperlink>
          </w:p>
        </w:tc>
        <w:tc>
          <w:tcPr>
            <w:tcW w:w="160" w:type="dxa"/>
            <w:vAlign w:val="bottom"/>
            <w:gridSpan w:val="8"/>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r>
      <w:tr>
        <w:trPr>
          <w:trHeight w:val="371"/>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10.33</w:t>
            </w:r>
          </w:p>
        </w:tc>
        <w:tc>
          <w:tcPr>
            <w:tcW w:w="9740" w:type="dxa"/>
            <w:vAlign w:val="bottom"/>
            <w:gridSpan w:val="34"/>
          </w:tcPr>
          <w:p>
            <w:pPr>
              <w:spacing w:after="0"/>
              <w:rPr>
                <w:rFonts w:ascii="Arial" w:cs="Arial" w:eastAsia="Arial" w:hAnsi="Arial"/>
                <w:sz w:val="18"/>
                <w:szCs w:val="18"/>
                <w:color w:val="0000FF"/>
                <w:w w:val="92"/>
              </w:rPr>
            </w:pPr>
            <w:hyperlink r:id="rId156">
              <w:r>
                <w:rPr>
                  <w:rFonts w:ascii="Arial" w:cs="Arial" w:eastAsia="Arial" w:hAnsi="Arial"/>
                  <w:sz w:val="18"/>
                  <w:szCs w:val="18"/>
                  <w:color w:val="0000FF"/>
                  <w:w w:val="92"/>
                </w:rPr>
                <w:t>SJW Group Amended and Restated Executive Officer Short-Term Incentive Plan dated October 28, 2020. Incorporated by reference</w:t>
              </w:r>
            </w:hyperlink>
          </w:p>
        </w:tc>
      </w:tr>
      <w:tr>
        <w:trPr>
          <w:trHeight w:val="156"/>
        </w:trPr>
        <w:tc>
          <w:tcPr>
            <w:tcW w:w="1500" w:type="dxa"/>
            <w:vAlign w:val="bottom"/>
          </w:tcPr>
          <w:p>
            <w:pPr>
              <w:spacing w:after="0"/>
              <w:rPr>
                <w:sz w:val="13"/>
                <w:szCs w:val="13"/>
                <w:color w:val="auto"/>
              </w:rPr>
            </w:pPr>
          </w:p>
        </w:tc>
        <w:tc>
          <w:tcPr>
            <w:tcW w:w="956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56">
              <w:r>
                <w:rPr>
                  <w:rFonts w:ascii="Arial" w:cs="Arial" w:eastAsia="Arial" w:hAnsi="Arial"/>
                  <w:sz w:val="18"/>
                  <w:szCs w:val="18"/>
                  <w:color w:val="0000FF"/>
                </w:rPr>
                <w:t>as Exhibit 10.2 to Form 10-Q for the quarter ended September 30, 2020</w:t>
              </w:r>
              <w:r>
                <w:rPr>
                  <w:rFonts w:ascii="Arial" w:cs="Arial" w:eastAsia="Arial" w:hAnsi="Arial"/>
                  <w:sz w:val="18"/>
                  <w:szCs w:val="18"/>
                  <w:color w:val="000000"/>
                </w:rPr>
                <w:t>. (2)</w:t>
              </w:r>
            </w:hyperlink>
          </w:p>
        </w:tc>
        <w:tc>
          <w:tcPr>
            <w:tcW w:w="180" w:type="dxa"/>
            <w:vAlign w:val="bottom"/>
            <w:gridSpan w:val="9"/>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360" w:type="dxa"/>
            <w:vAlign w:val="bottom"/>
            <w:gridSpan w:val="4"/>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15"/>
          </w:tcPr>
          <w:p>
            <w:pPr>
              <w:spacing w:after="0" w:line="20" w:lineRule="exact"/>
              <w:rPr>
                <w:sz w:val="1"/>
                <w:szCs w:val="1"/>
                <w:color w:val="auto"/>
              </w:rPr>
            </w:pPr>
          </w:p>
        </w:tc>
      </w:tr>
      <w:tr>
        <w:trPr>
          <w:trHeight w:val="371"/>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10.34</w:t>
            </w:r>
          </w:p>
        </w:tc>
        <w:tc>
          <w:tcPr>
            <w:tcW w:w="9740" w:type="dxa"/>
            <w:vAlign w:val="bottom"/>
            <w:gridSpan w:val="34"/>
          </w:tcPr>
          <w:p>
            <w:pPr>
              <w:spacing w:after="0"/>
              <w:rPr>
                <w:rFonts w:ascii="Arial" w:cs="Arial" w:eastAsia="Arial" w:hAnsi="Arial"/>
                <w:sz w:val="18"/>
                <w:szCs w:val="18"/>
                <w:color w:val="0000FF"/>
                <w:w w:val="94"/>
              </w:rPr>
            </w:pPr>
            <w:hyperlink r:id="rId157">
              <w:r>
                <w:rPr>
                  <w:rFonts w:ascii="Arial" w:cs="Arial" w:eastAsia="Arial" w:hAnsi="Arial"/>
                  <w:sz w:val="18"/>
                  <w:szCs w:val="18"/>
                  <w:color w:val="0000FF"/>
                  <w:w w:val="94"/>
                </w:rPr>
                <w:t>First Amendment to the Executive Officer Short-Term Incentive Plan dated January 28, 2021. Incorporated by reference to Exhibit</w:t>
              </w:r>
            </w:hyperlink>
          </w:p>
        </w:tc>
      </w:tr>
      <w:tr>
        <w:trPr>
          <w:trHeight w:val="183"/>
        </w:trPr>
        <w:tc>
          <w:tcPr>
            <w:tcW w:w="1500" w:type="dxa"/>
            <w:vAlign w:val="bottom"/>
          </w:tcPr>
          <w:p>
            <w:pPr>
              <w:spacing w:after="0"/>
              <w:rPr>
                <w:sz w:val="15"/>
                <w:szCs w:val="15"/>
                <w:color w:val="auto"/>
              </w:rPr>
            </w:pPr>
          </w:p>
        </w:tc>
        <w:tc>
          <w:tcPr>
            <w:tcW w:w="940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r:id="rId157">
              <w:r>
                <w:rPr>
                  <w:rFonts w:ascii="Arial" w:cs="Arial" w:eastAsia="Arial" w:hAnsi="Arial"/>
                  <w:sz w:val="18"/>
                  <w:szCs w:val="18"/>
                  <w:color w:val="0000FF"/>
                </w:rPr>
                <w:t>10.</w:t>
              </w:r>
              <w:r>
                <w:rPr>
                  <w:rFonts w:ascii="Arial" w:cs="Arial" w:eastAsia="Arial" w:hAnsi="Arial"/>
                  <w:sz w:val="18"/>
                  <w:szCs w:val="18"/>
                  <w:u w:val="single" w:color="auto"/>
                  <w:color w:val="0000FF"/>
                </w:rPr>
                <w:t>39</w:t>
              </w:r>
              <w:r>
                <w:rPr>
                  <w:rFonts w:ascii="Arial" w:cs="Arial" w:eastAsia="Arial" w:hAnsi="Arial"/>
                  <w:sz w:val="18"/>
                  <w:szCs w:val="18"/>
                  <w:color w:val="0000FF"/>
                </w:rPr>
                <w:t xml:space="preserve"> to Form 10-K for the year ended December 31, 2020</w:t>
              </w:r>
              <w:r>
                <w:rPr>
                  <w:rFonts w:ascii="Arial" w:cs="Arial" w:eastAsia="Arial" w:hAnsi="Arial"/>
                  <w:sz w:val="18"/>
                  <w:szCs w:val="18"/>
                  <w:color w:val="000000"/>
                </w:rPr>
                <w:t>. (2)</w:t>
              </w:r>
            </w:hyperlink>
          </w:p>
        </w:tc>
        <w:tc>
          <w:tcPr>
            <w:tcW w:w="340" w:type="dxa"/>
            <w:vAlign w:val="bottom"/>
            <w:gridSpan w:val="15"/>
          </w:tcPr>
          <w:p>
            <w:pPr>
              <w:spacing w:after="0"/>
              <w:rPr>
                <w:sz w:val="15"/>
                <w:szCs w:val="15"/>
                <w:color w:val="auto"/>
              </w:rPr>
            </w:pPr>
          </w:p>
        </w:tc>
      </w:tr>
      <w:tr>
        <w:trPr>
          <w:trHeight w:val="20"/>
        </w:trPr>
        <w:tc>
          <w:tcPr>
            <w:tcW w:w="1500" w:type="dxa"/>
            <w:vAlign w:val="bottom"/>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360" w:type="dxa"/>
            <w:vAlign w:val="bottom"/>
            <w:gridSpan w:val="4"/>
            <w:shd w:val="clear" w:color="auto" w:fill="0000FF"/>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gridSpan w:val="16"/>
          </w:tcPr>
          <w:p>
            <w:pPr>
              <w:spacing w:after="0" w:line="20" w:lineRule="exact"/>
              <w:rPr>
                <w:sz w:val="1"/>
                <w:szCs w:val="1"/>
                <w:color w:val="auto"/>
              </w:rPr>
            </w:pPr>
          </w:p>
        </w:tc>
      </w:tr>
      <w:tr>
        <w:trPr>
          <w:trHeight w:val="385"/>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10.35</w:t>
            </w:r>
          </w:p>
        </w:tc>
        <w:tc>
          <w:tcPr>
            <w:tcW w:w="9740" w:type="dxa"/>
            <w:vAlign w:val="bottom"/>
            <w:gridSpan w:val="34"/>
          </w:tcPr>
          <w:p>
            <w:pPr>
              <w:spacing w:after="0"/>
              <w:rPr>
                <w:rFonts w:ascii="Arial" w:cs="Arial" w:eastAsia="Arial" w:hAnsi="Arial"/>
                <w:sz w:val="18"/>
                <w:szCs w:val="18"/>
                <w:color w:val="0000FF"/>
                <w:w w:val="93"/>
              </w:rPr>
            </w:pPr>
            <w:hyperlink r:id="rId158">
              <w:r>
                <w:rPr>
                  <w:rFonts w:ascii="Arial" w:cs="Arial" w:eastAsia="Arial" w:hAnsi="Arial"/>
                  <w:sz w:val="18"/>
                  <w:szCs w:val="18"/>
                  <w:color w:val="0000FF"/>
                  <w:w w:val="93"/>
                </w:rPr>
                <w:t>Amended and Restated Executive Severance Plan, dated October 26, 2022. Incorporated by reference as Exhibit 10.1 to Form 8-K</w:t>
              </w:r>
            </w:hyperlink>
          </w:p>
        </w:tc>
      </w:tr>
      <w:tr>
        <w:trPr>
          <w:trHeight w:val="155"/>
        </w:trPr>
        <w:tc>
          <w:tcPr>
            <w:tcW w:w="1500" w:type="dxa"/>
            <w:vAlign w:val="bottom"/>
          </w:tcPr>
          <w:p>
            <w:pPr>
              <w:spacing w:after="0"/>
              <w:rPr>
                <w:sz w:val="13"/>
                <w:szCs w:val="13"/>
                <w:color w:val="auto"/>
              </w:rPr>
            </w:pPr>
          </w:p>
        </w:tc>
        <w:tc>
          <w:tcPr>
            <w:tcW w:w="938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58">
              <w:r>
                <w:rPr>
                  <w:rFonts w:ascii="Arial" w:cs="Arial" w:eastAsia="Arial" w:hAnsi="Arial"/>
                  <w:sz w:val="18"/>
                  <w:szCs w:val="18"/>
                  <w:color w:val="0000FF"/>
                </w:rPr>
                <w:t xml:space="preserve">filed on October 28, 2022. </w:t>
              </w:r>
              <w:r>
                <w:rPr>
                  <w:rFonts w:ascii="Arial" w:cs="Arial" w:eastAsia="Arial" w:hAnsi="Arial"/>
                  <w:sz w:val="18"/>
                  <w:szCs w:val="18"/>
                  <w:color w:val="000000"/>
                </w:rPr>
                <w:t>(2)</w:t>
              </w:r>
            </w:hyperlink>
          </w:p>
        </w:tc>
        <w:tc>
          <w:tcPr>
            <w:tcW w:w="360" w:type="dxa"/>
            <w:vAlign w:val="bottom"/>
            <w:gridSpan w:val="16"/>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3840" w:type="dxa"/>
            <w:vAlign w:val="bottom"/>
            <w:gridSpan w:val="7"/>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700" w:type="dxa"/>
            <w:vAlign w:val="bottom"/>
            <w:gridSpan w:val="18"/>
          </w:tcPr>
          <w:p>
            <w:pPr>
              <w:spacing w:after="0" w:line="20" w:lineRule="exact"/>
              <w:rPr>
                <w:sz w:val="1"/>
                <w:szCs w:val="1"/>
                <w:color w:val="auto"/>
              </w:rPr>
            </w:pPr>
          </w:p>
        </w:tc>
      </w:tr>
      <w:tr>
        <w:trPr>
          <w:trHeight w:val="372"/>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10.36</w:t>
            </w:r>
          </w:p>
        </w:tc>
        <w:tc>
          <w:tcPr>
            <w:tcW w:w="9740" w:type="dxa"/>
            <w:vAlign w:val="bottom"/>
            <w:gridSpan w:val="34"/>
          </w:tcPr>
          <w:p>
            <w:pPr>
              <w:spacing w:after="0"/>
              <w:rPr>
                <w:rFonts w:ascii="Arial" w:cs="Arial" w:eastAsia="Arial" w:hAnsi="Arial"/>
                <w:sz w:val="18"/>
                <w:szCs w:val="18"/>
                <w:color w:val="0000FF"/>
                <w:w w:val="95"/>
              </w:rPr>
            </w:pPr>
            <w:hyperlink r:id="rId159">
              <w:r>
                <w:rPr>
                  <w:rFonts w:ascii="Arial" w:cs="Arial" w:eastAsia="Arial" w:hAnsi="Arial"/>
                  <w:sz w:val="18"/>
                  <w:szCs w:val="18"/>
                  <w:color w:val="0000FF"/>
                  <w:w w:val="95"/>
                </w:rPr>
                <w:t>San Jose Water Company Special Deferral Election Plan, as amended and restated, effective January 1, 2013. Incorporated by</w:t>
              </w:r>
            </w:hyperlink>
          </w:p>
        </w:tc>
      </w:tr>
      <w:tr>
        <w:trPr>
          <w:trHeight w:val="155"/>
        </w:trPr>
        <w:tc>
          <w:tcPr>
            <w:tcW w:w="1500" w:type="dxa"/>
            <w:vAlign w:val="bottom"/>
          </w:tcPr>
          <w:p>
            <w:pPr>
              <w:spacing w:after="0"/>
              <w:rPr>
                <w:sz w:val="13"/>
                <w:szCs w:val="13"/>
                <w:color w:val="auto"/>
              </w:rPr>
            </w:pPr>
          </w:p>
        </w:tc>
        <w:tc>
          <w:tcPr>
            <w:tcW w:w="904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59">
              <w:r>
                <w:rPr>
                  <w:rFonts w:ascii="Arial" w:cs="Arial" w:eastAsia="Arial" w:hAnsi="Arial"/>
                  <w:sz w:val="18"/>
                  <w:szCs w:val="18"/>
                  <w:color w:val="0000FF"/>
                </w:rPr>
                <w:t>reference as Exhibit 10.36 to Form 10-K for the year ended December 31, 2012</w:t>
              </w:r>
              <w:r>
                <w:rPr>
                  <w:rFonts w:ascii="Arial" w:cs="Arial" w:eastAsia="Arial" w:hAnsi="Arial"/>
                  <w:sz w:val="18"/>
                  <w:szCs w:val="18"/>
                  <w:color w:val="000000"/>
                </w:rPr>
                <w:t>. (2)</w:t>
              </w:r>
            </w:hyperlink>
          </w:p>
        </w:tc>
        <w:tc>
          <w:tcPr>
            <w:tcW w:w="700" w:type="dxa"/>
            <w:vAlign w:val="bottom"/>
            <w:gridSpan w:val="18"/>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1040" w:right="39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10.37</w:t>
            </w:r>
          </w:p>
        </w:tc>
        <w:tc>
          <w:tcPr>
            <w:tcW w:w="9740" w:type="dxa"/>
            <w:vAlign w:val="bottom"/>
            <w:gridSpan w:val="33"/>
          </w:tcPr>
          <w:p>
            <w:pPr>
              <w:spacing w:after="0"/>
              <w:rPr>
                <w:rFonts w:ascii="Arial" w:cs="Arial" w:eastAsia="Arial" w:hAnsi="Arial"/>
                <w:sz w:val="18"/>
                <w:szCs w:val="18"/>
                <w:color w:val="0000FF"/>
                <w:w w:val="93"/>
              </w:rPr>
            </w:pPr>
            <w:hyperlink r:id="rId161">
              <w:r>
                <w:rPr>
                  <w:rFonts w:ascii="Arial" w:cs="Arial" w:eastAsia="Arial" w:hAnsi="Arial"/>
                  <w:sz w:val="18"/>
                  <w:szCs w:val="18"/>
                  <w:color w:val="0000FF"/>
                  <w:w w:val="93"/>
                </w:rPr>
                <w:t>First Amendment to the Special Deferral Election Plan effective November 15, 2016. Incorporated by reference as Exhibit 10.37 to</w:t>
              </w:r>
            </w:hyperlink>
          </w:p>
        </w:tc>
      </w:tr>
      <w:tr>
        <w:trPr>
          <w:trHeight w:val="156"/>
        </w:trPr>
        <w:tc>
          <w:tcPr>
            <w:tcW w:w="1500" w:type="dxa"/>
            <w:vAlign w:val="bottom"/>
          </w:tcPr>
          <w:p>
            <w:pPr>
              <w:spacing w:after="0"/>
              <w:rPr>
                <w:sz w:val="13"/>
                <w:szCs w:val="13"/>
                <w:color w:val="auto"/>
              </w:rPr>
            </w:pPr>
          </w:p>
        </w:tc>
        <w:tc>
          <w:tcPr>
            <w:tcW w:w="944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61">
              <w:r>
                <w:rPr>
                  <w:rFonts w:ascii="Arial" w:cs="Arial" w:eastAsia="Arial" w:hAnsi="Arial"/>
                  <w:sz w:val="18"/>
                  <w:szCs w:val="18"/>
                  <w:color w:val="0000FF"/>
                </w:rPr>
                <w:t>Form 10-K for the year ended December 31, 2016</w:t>
              </w:r>
              <w:r>
                <w:rPr>
                  <w:rFonts w:ascii="Arial" w:cs="Arial" w:eastAsia="Arial" w:hAnsi="Arial"/>
                  <w:sz w:val="18"/>
                  <w:szCs w:val="18"/>
                  <w:color w:val="000000"/>
                </w:rPr>
                <w:t>. (2)</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10.38</w:t>
            </w:r>
          </w:p>
        </w:tc>
        <w:tc>
          <w:tcPr>
            <w:tcW w:w="9740" w:type="dxa"/>
            <w:vAlign w:val="bottom"/>
            <w:gridSpan w:val="33"/>
          </w:tcPr>
          <w:p>
            <w:pPr>
              <w:spacing w:after="0"/>
              <w:rPr>
                <w:rFonts w:ascii="Arial" w:cs="Arial" w:eastAsia="Arial" w:hAnsi="Arial"/>
                <w:sz w:val="18"/>
                <w:szCs w:val="18"/>
                <w:color w:val="0000FF"/>
                <w:w w:val="90"/>
              </w:rPr>
            </w:pPr>
            <w:hyperlink r:id="rId162">
              <w:r>
                <w:rPr>
                  <w:rFonts w:ascii="Arial" w:cs="Arial" w:eastAsia="Arial" w:hAnsi="Arial"/>
                  <w:sz w:val="18"/>
                  <w:szCs w:val="18"/>
                  <w:color w:val="0000FF"/>
                  <w:w w:val="90"/>
                </w:rPr>
                <w:t>SJW Corp. Amended and Restated Deferred Restricted Stock Program, effective January 1, 2008. Incorporated by reference as Exhibit</w:t>
              </w:r>
            </w:hyperlink>
          </w:p>
        </w:tc>
      </w:tr>
      <w:tr>
        <w:trPr>
          <w:trHeight w:val="156"/>
        </w:trPr>
        <w:tc>
          <w:tcPr>
            <w:tcW w:w="1500" w:type="dxa"/>
            <w:vAlign w:val="bottom"/>
          </w:tcPr>
          <w:p>
            <w:pPr>
              <w:spacing w:after="0"/>
              <w:rPr>
                <w:sz w:val="13"/>
                <w:szCs w:val="13"/>
                <w:color w:val="auto"/>
              </w:rPr>
            </w:pPr>
          </w:p>
        </w:tc>
        <w:tc>
          <w:tcPr>
            <w:tcW w:w="972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62">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Form 10-Q for the quarter ended March 31, 2008</w:t>
              </w:r>
              <w:r>
                <w:rPr>
                  <w:rFonts w:ascii="Arial" w:cs="Arial" w:eastAsia="Arial" w:hAnsi="Arial"/>
                  <w:sz w:val="18"/>
                  <w:szCs w:val="18"/>
                  <w:color w:val="000000"/>
                </w:rPr>
                <w:t>. (2)</w:t>
              </w:r>
            </w:hyperlink>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1"/>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10.39</w:t>
            </w:r>
          </w:p>
        </w:tc>
        <w:tc>
          <w:tcPr>
            <w:tcW w:w="9740" w:type="dxa"/>
            <w:vAlign w:val="bottom"/>
            <w:gridSpan w:val="33"/>
          </w:tcPr>
          <w:p>
            <w:pPr>
              <w:spacing w:after="0"/>
              <w:rPr>
                <w:rFonts w:ascii="Arial" w:cs="Arial" w:eastAsia="Arial" w:hAnsi="Arial"/>
                <w:sz w:val="18"/>
                <w:szCs w:val="18"/>
                <w:color w:val="0000FF"/>
                <w:w w:val="95"/>
              </w:rPr>
            </w:pPr>
            <w:hyperlink r:id="rId163">
              <w:r>
                <w:rPr>
                  <w:rFonts w:ascii="Arial" w:cs="Arial" w:eastAsia="Arial" w:hAnsi="Arial"/>
                  <w:sz w:val="18"/>
                  <w:szCs w:val="18"/>
                  <w:color w:val="0000FF"/>
                  <w:w w:val="95"/>
                </w:rPr>
                <w:t>First Amendment to the Amended and Restated Deferred Restricted Stock Program dated November 15, 2016. Incorporated by</w:t>
              </w:r>
            </w:hyperlink>
          </w:p>
        </w:tc>
      </w:tr>
      <w:tr>
        <w:trPr>
          <w:trHeight w:val="156"/>
        </w:trPr>
        <w:tc>
          <w:tcPr>
            <w:tcW w:w="1500" w:type="dxa"/>
            <w:vAlign w:val="bottom"/>
          </w:tcPr>
          <w:p>
            <w:pPr>
              <w:spacing w:after="0"/>
              <w:rPr>
                <w:sz w:val="13"/>
                <w:szCs w:val="13"/>
                <w:color w:val="auto"/>
              </w:rPr>
            </w:pPr>
          </w:p>
        </w:tc>
        <w:tc>
          <w:tcPr>
            <w:tcW w:w="91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63">
              <w:r>
                <w:rPr>
                  <w:rFonts w:ascii="Arial" w:cs="Arial" w:eastAsia="Arial" w:hAnsi="Arial"/>
                  <w:sz w:val="18"/>
                  <w:szCs w:val="18"/>
                  <w:color w:val="0000FF"/>
                </w:rPr>
                <w:t>reference as Exhibit 10.39 to Form 10-K for the year ended December 31, 2016</w:t>
              </w:r>
              <w:r>
                <w:rPr>
                  <w:rFonts w:ascii="Arial" w:cs="Arial" w:eastAsia="Arial" w:hAnsi="Arial"/>
                  <w:sz w:val="18"/>
                  <w:szCs w:val="18"/>
                  <w:color w:val="000000"/>
                </w:rPr>
                <w:t>. (2)</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1"/>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10.40</w:t>
            </w:r>
          </w:p>
        </w:tc>
        <w:tc>
          <w:tcPr>
            <w:tcW w:w="9740" w:type="dxa"/>
            <w:vAlign w:val="bottom"/>
            <w:gridSpan w:val="33"/>
          </w:tcPr>
          <w:p>
            <w:pPr>
              <w:spacing w:after="0"/>
              <w:rPr>
                <w:rFonts w:ascii="Arial" w:cs="Arial" w:eastAsia="Arial" w:hAnsi="Arial"/>
                <w:sz w:val="18"/>
                <w:szCs w:val="18"/>
                <w:color w:val="0000FF"/>
                <w:w w:val="95"/>
              </w:rPr>
            </w:pPr>
            <w:hyperlink r:id="rId164">
              <w:r>
                <w:rPr>
                  <w:rFonts w:ascii="Arial" w:cs="Arial" w:eastAsia="Arial" w:hAnsi="Arial"/>
                  <w:sz w:val="18"/>
                  <w:szCs w:val="18"/>
                  <w:color w:val="0000FF"/>
                  <w:w w:val="95"/>
                </w:rPr>
                <w:t>SJW Corp. Deferral Election Program for Non-Employee Board Members, as amended and restated effective October 30, 2013.</w:t>
              </w:r>
            </w:hyperlink>
          </w:p>
        </w:tc>
      </w:tr>
      <w:tr>
        <w:trPr>
          <w:trHeight w:val="156"/>
        </w:trPr>
        <w:tc>
          <w:tcPr>
            <w:tcW w:w="1500" w:type="dxa"/>
            <w:vAlign w:val="bottom"/>
          </w:tcPr>
          <w:p>
            <w:pPr>
              <w:spacing w:after="0"/>
              <w:rPr>
                <w:sz w:val="13"/>
                <w:szCs w:val="13"/>
                <w:color w:val="auto"/>
              </w:rPr>
            </w:pPr>
          </w:p>
        </w:tc>
        <w:tc>
          <w:tcPr>
            <w:tcW w:w="920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64">
              <w:r>
                <w:rPr>
                  <w:rFonts w:ascii="Arial" w:cs="Arial" w:eastAsia="Arial" w:hAnsi="Arial"/>
                  <w:sz w:val="18"/>
                  <w:szCs w:val="18"/>
                  <w:color w:val="0000FF"/>
                </w:rPr>
                <w:t>Incorporated by reference as Exhibit 10.32 to Form 10-K for the year ended December 31, 2013</w:t>
              </w:r>
              <w:r>
                <w:rPr>
                  <w:rFonts w:ascii="Arial" w:cs="Arial" w:eastAsia="Arial" w:hAnsi="Arial"/>
                  <w:sz w:val="18"/>
                  <w:szCs w:val="18"/>
                  <w:color w:val="000000"/>
                </w:rPr>
                <w:t>. (2)</w:t>
              </w:r>
            </w:hyperlink>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10.41</w:t>
            </w:r>
          </w:p>
        </w:tc>
        <w:tc>
          <w:tcPr>
            <w:tcW w:w="9740" w:type="dxa"/>
            <w:vAlign w:val="bottom"/>
            <w:gridSpan w:val="33"/>
          </w:tcPr>
          <w:p>
            <w:pPr>
              <w:spacing w:after="0"/>
              <w:rPr>
                <w:rFonts w:ascii="Arial" w:cs="Arial" w:eastAsia="Arial" w:hAnsi="Arial"/>
                <w:sz w:val="18"/>
                <w:szCs w:val="18"/>
                <w:color w:val="0000FF"/>
                <w:w w:val="94"/>
              </w:rPr>
            </w:pPr>
            <w:hyperlink r:id="rId165">
              <w:r>
                <w:rPr>
                  <w:rFonts w:ascii="Arial" w:cs="Arial" w:eastAsia="Arial" w:hAnsi="Arial"/>
                  <w:sz w:val="18"/>
                  <w:szCs w:val="18"/>
                  <w:color w:val="0000FF"/>
                  <w:w w:val="94"/>
                </w:rPr>
                <w:t>First Amendment to the Deferral Election Program for Non-Employee Board Members dated November 15, 2016. Incorporated by</w:t>
              </w:r>
            </w:hyperlink>
          </w:p>
        </w:tc>
      </w:tr>
      <w:tr>
        <w:trPr>
          <w:trHeight w:val="155"/>
        </w:trPr>
        <w:tc>
          <w:tcPr>
            <w:tcW w:w="1500" w:type="dxa"/>
            <w:vAlign w:val="bottom"/>
          </w:tcPr>
          <w:p>
            <w:pPr>
              <w:spacing w:after="0"/>
              <w:rPr>
                <w:sz w:val="13"/>
                <w:szCs w:val="13"/>
                <w:color w:val="auto"/>
              </w:rPr>
            </w:pPr>
          </w:p>
        </w:tc>
        <w:tc>
          <w:tcPr>
            <w:tcW w:w="942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65">
              <w:r>
                <w:rPr>
                  <w:rFonts w:ascii="Arial" w:cs="Arial" w:eastAsia="Arial" w:hAnsi="Arial"/>
                  <w:sz w:val="18"/>
                  <w:szCs w:val="18"/>
                  <w:color w:val="0000FF"/>
                </w:rPr>
                <w:t>reference as Exhibit 10.41 to Form 10-K for the year ended December 31, 2016</w:t>
              </w:r>
              <w:r>
                <w:rPr>
                  <w:rFonts w:ascii="Arial" w:cs="Arial" w:eastAsia="Arial" w:hAnsi="Arial"/>
                  <w:sz w:val="18"/>
                  <w:szCs w:val="18"/>
                  <w:color w:val="000000"/>
                </w:rPr>
                <w:t>. (2)</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10.42</w:t>
            </w:r>
          </w:p>
        </w:tc>
        <w:tc>
          <w:tcPr>
            <w:tcW w:w="9740" w:type="dxa"/>
            <w:vAlign w:val="bottom"/>
            <w:gridSpan w:val="33"/>
          </w:tcPr>
          <w:p>
            <w:pPr>
              <w:spacing w:after="0"/>
              <w:rPr>
                <w:rFonts w:ascii="Arial" w:cs="Arial" w:eastAsia="Arial" w:hAnsi="Arial"/>
                <w:sz w:val="18"/>
                <w:szCs w:val="18"/>
                <w:color w:val="0000FF"/>
                <w:w w:val="96"/>
              </w:rPr>
            </w:pPr>
            <w:hyperlink r:id="rId166">
              <w:r>
                <w:rPr>
                  <w:rFonts w:ascii="Arial" w:cs="Arial" w:eastAsia="Arial" w:hAnsi="Arial"/>
                  <w:sz w:val="18"/>
                  <w:szCs w:val="18"/>
                  <w:color w:val="0000FF"/>
                  <w:w w:val="96"/>
                </w:rPr>
                <w:t>Form of SJW Group Restricted Stock Unit Award Agreement for Non-Employee Board Members. Incorporated by reference as</w:t>
              </w:r>
            </w:hyperlink>
          </w:p>
        </w:tc>
      </w:tr>
      <w:tr>
        <w:trPr>
          <w:trHeight w:val="155"/>
        </w:trPr>
        <w:tc>
          <w:tcPr>
            <w:tcW w:w="1500" w:type="dxa"/>
            <w:vAlign w:val="bottom"/>
          </w:tcPr>
          <w:p>
            <w:pPr>
              <w:spacing w:after="0"/>
              <w:rPr>
                <w:sz w:val="13"/>
                <w:szCs w:val="13"/>
                <w:color w:val="auto"/>
              </w:rPr>
            </w:pPr>
          </w:p>
        </w:tc>
        <w:tc>
          <w:tcPr>
            <w:tcW w:w="918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66">
              <w:r>
                <w:rPr>
                  <w:rFonts w:ascii="Arial" w:cs="Arial" w:eastAsia="Arial" w:hAnsi="Arial"/>
                  <w:sz w:val="18"/>
                  <w:szCs w:val="18"/>
                  <w:color w:val="0000FF"/>
                </w:rPr>
                <w:t>Exhibit 10.1 to Form 10-Q for the quarter ended June 30, 2017</w:t>
              </w:r>
              <w:r>
                <w:rPr>
                  <w:rFonts w:ascii="Arial" w:cs="Arial" w:eastAsia="Arial" w:hAnsi="Arial"/>
                  <w:sz w:val="18"/>
                  <w:szCs w:val="18"/>
                  <w:color w:val="000000"/>
                </w:rPr>
                <w:t>. (2)</w:t>
              </w:r>
            </w:hyperlink>
          </w:p>
        </w:tc>
        <w:tc>
          <w:tcPr>
            <w:tcW w:w="18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10.43</w:t>
            </w:r>
          </w:p>
        </w:tc>
        <w:tc>
          <w:tcPr>
            <w:tcW w:w="9740" w:type="dxa"/>
            <w:vAlign w:val="bottom"/>
            <w:gridSpan w:val="33"/>
          </w:tcPr>
          <w:p>
            <w:pPr>
              <w:spacing w:after="0"/>
              <w:rPr>
                <w:rFonts w:ascii="Arial" w:cs="Arial" w:eastAsia="Arial" w:hAnsi="Arial"/>
                <w:sz w:val="18"/>
                <w:szCs w:val="18"/>
                <w:color w:val="0000FF"/>
                <w:w w:val="98"/>
              </w:rPr>
            </w:pPr>
            <w:hyperlink r:id="rId167">
              <w:r>
                <w:rPr>
                  <w:rFonts w:ascii="Arial" w:cs="Arial" w:eastAsia="Arial" w:hAnsi="Arial"/>
                  <w:sz w:val="18"/>
                  <w:szCs w:val="18"/>
                  <w:color w:val="0000FF"/>
                  <w:w w:val="98"/>
                </w:rPr>
                <w:t>Second Amendment to the Formulaic Equity Award Program for Non-Employee Board Members dated November 15, 2016.</w:t>
              </w:r>
            </w:hyperlink>
          </w:p>
        </w:tc>
      </w:tr>
      <w:tr>
        <w:trPr>
          <w:trHeight w:val="156"/>
        </w:trPr>
        <w:tc>
          <w:tcPr>
            <w:tcW w:w="1500" w:type="dxa"/>
            <w:vAlign w:val="bottom"/>
          </w:tcPr>
          <w:p>
            <w:pPr>
              <w:spacing w:after="0"/>
              <w:rPr>
                <w:sz w:val="13"/>
                <w:szCs w:val="13"/>
                <w:color w:val="auto"/>
              </w:rPr>
            </w:pPr>
          </w:p>
        </w:tc>
        <w:tc>
          <w:tcPr>
            <w:tcW w:w="89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67">
              <w:r>
                <w:rPr>
                  <w:rFonts w:ascii="Arial" w:cs="Arial" w:eastAsia="Arial" w:hAnsi="Arial"/>
                  <w:sz w:val="18"/>
                  <w:szCs w:val="18"/>
                  <w:color w:val="0000FF"/>
                </w:rPr>
                <w:t>Incorporated by reference as Exhibit 10.45 to Form 10-K for the year ended December 31, 2016</w:t>
              </w:r>
              <w:r>
                <w:rPr>
                  <w:rFonts w:ascii="Arial" w:cs="Arial" w:eastAsia="Arial" w:hAnsi="Arial"/>
                  <w:sz w:val="18"/>
                  <w:szCs w:val="18"/>
                  <w:color w:val="000000"/>
                </w:rPr>
                <w:t>. (2)</w:t>
              </w:r>
            </w:hyperlink>
          </w:p>
        </w:tc>
        <w:tc>
          <w:tcPr>
            <w:tcW w:w="400" w:type="dxa"/>
            <w:vAlign w:val="bottom"/>
            <w:gridSpan w:val="4"/>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1"/>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10.44</w:t>
            </w:r>
          </w:p>
        </w:tc>
        <w:tc>
          <w:tcPr>
            <w:tcW w:w="9740" w:type="dxa"/>
            <w:vAlign w:val="bottom"/>
            <w:gridSpan w:val="33"/>
          </w:tcPr>
          <w:p>
            <w:pPr>
              <w:spacing w:after="0"/>
              <w:rPr>
                <w:rFonts w:ascii="Arial" w:cs="Arial" w:eastAsia="Arial" w:hAnsi="Arial"/>
                <w:sz w:val="18"/>
                <w:szCs w:val="18"/>
                <w:color w:val="0000FF"/>
                <w:w w:val="92"/>
              </w:rPr>
            </w:pPr>
            <w:hyperlink r:id="rId168">
              <w:r>
                <w:rPr>
                  <w:rFonts w:ascii="Arial" w:cs="Arial" w:eastAsia="Arial" w:hAnsi="Arial"/>
                  <w:sz w:val="18"/>
                  <w:szCs w:val="18"/>
                  <w:color w:val="0000FF"/>
                  <w:w w:val="92"/>
                </w:rPr>
                <w:t>Third Amendment to the Formulaic Equity Award Program for Non-employee Board members dated October 24, 2018. Incorporated</w:t>
              </w:r>
            </w:hyperlink>
          </w:p>
        </w:tc>
      </w:tr>
      <w:tr>
        <w:trPr>
          <w:trHeight w:val="156"/>
        </w:trPr>
        <w:tc>
          <w:tcPr>
            <w:tcW w:w="1500" w:type="dxa"/>
            <w:vAlign w:val="bottom"/>
          </w:tcPr>
          <w:p>
            <w:pPr>
              <w:spacing w:after="0"/>
              <w:rPr>
                <w:sz w:val="13"/>
                <w:szCs w:val="13"/>
                <w:color w:val="auto"/>
              </w:rPr>
            </w:pPr>
          </w:p>
        </w:tc>
        <w:tc>
          <w:tcPr>
            <w:tcW w:w="956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68">
              <w:r>
                <w:rPr>
                  <w:rFonts w:ascii="Arial" w:cs="Arial" w:eastAsia="Arial" w:hAnsi="Arial"/>
                  <w:sz w:val="18"/>
                  <w:szCs w:val="18"/>
                  <w:color w:val="0000FF"/>
                </w:rPr>
                <w:t>by reference as Exhibit 10.48 to Form 10-K for the year ended December 31, 2018</w:t>
              </w:r>
              <w:r>
                <w:rPr>
                  <w:rFonts w:ascii="Arial" w:cs="Arial" w:eastAsia="Arial" w:hAnsi="Arial"/>
                  <w:sz w:val="18"/>
                  <w:szCs w:val="18"/>
                  <w:color w:val="000000"/>
                </w:rPr>
                <w:t>. (2)</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1"/>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10.45</w:t>
            </w:r>
          </w:p>
        </w:tc>
        <w:tc>
          <w:tcPr>
            <w:tcW w:w="9740" w:type="dxa"/>
            <w:vAlign w:val="bottom"/>
            <w:gridSpan w:val="33"/>
          </w:tcPr>
          <w:p>
            <w:pPr>
              <w:spacing w:after="0"/>
              <w:rPr>
                <w:rFonts w:ascii="Arial" w:cs="Arial" w:eastAsia="Arial" w:hAnsi="Arial"/>
                <w:sz w:val="18"/>
                <w:szCs w:val="18"/>
                <w:color w:val="0000FF"/>
              </w:rPr>
            </w:pPr>
            <w:hyperlink r:id="rId169">
              <w:r>
                <w:rPr>
                  <w:rFonts w:ascii="Arial" w:cs="Arial" w:eastAsia="Arial" w:hAnsi="Arial"/>
                  <w:sz w:val="18"/>
                  <w:szCs w:val="18"/>
                  <w:color w:val="0000FF"/>
                </w:rPr>
                <w:t>Fourth Amendment to the Formulaic Equity Award Program for Non-Employee Board Members dated September 8, 2021.</w:t>
              </w:r>
            </w:hyperlink>
          </w:p>
        </w:tc>
      </w:tr>
      <w:tr>
        <w:trPr>
          <w:trHeight w:val="183"/>
        </w:trPr>
        <w:tc>
          <w:tcPr>
            <w:tcW w:w="1500" w:type="dxa"/>
            <w:vAlign w:val="bottom"/>
          </w:tcPr>
          <w:p>
            <w:pPr>
              <w:spacing w:after="0"/>
              <w:rPr>
                <w:sz w:val="15"/>
                <w:szCs w:val="15"/>
                <w:color w:val="auto"/>
              </w:rPr>
            </w:pPr>
          </w:p>
        </w:tc>
        <w:tc>
          <w:tcPr>
            <w:tcW w:w="884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169">
              <w:r>
                <w:rPr>
                  <w:rFonts w:ascii="Arial" w:cs="Arial" w:eastAsia="Arial" w:hAnsi="Arial"/>
                  <w:sz w:val="18"/>
                  <w:szCs w:val="18"/>
                  <w:color w:val="0000FF"/>
                </w:rPr>
                <w:t>Incorporated by reference to Exhibit 10.1 to Form 8-K filed on September 14, 2021</w:t>
              </w:r>
              <w:r>
                <w:rPr>
                  <w:rFonts w:ascii="Arial" w:cs="Arial" w:eastAsia="Arial" w:hAnsi="Arial"/>
                  <w:sz w:val="18"/>
                  <w:szCs w:val="18"/>
                  <w:color w:val="000000"/>
                </w:rPr>
                <w:t>. (2)</w:t>
              </w:r>
            </w:hyperlink>
          </w:p>
        </w:tc>
        <w:tc>
          <w:tcPr>
            <w:tcW w:w="520" w:type="dxa"/>
            <w:vAlign w:val="bottom"/>
            <w:gridSpan w:val="5"/>
          </w:tcPr>
          <w:p>
            <w:pPr>
              <w:spacing w:after="0"/>
              <w:rPr>
                <w:sz w:val="15"/>
                <w:szCs w:val="15"/>
                <w:color w:val="auto"/>
              </w:rPr>
            </w:pPr>
          </w:p>
        </w:tc>
        <w:tc>
          <w:tcPr>
            <w:tcW w:w="1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50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10.46</w:t>
            </w:r>
          </w:p>
        </w:tc>
        <w:tc>
          <w:tcPr>
            <w:tcW w:w="9740" w:type="dxa"/>
            <w:vAlign w:val="bottom"/>
            <w:gridSpan w:val="33"/>
          </w:tcPr>
          <w:p>
            <w:pPr>
              <w:spacing w:after="0"/>
              <w:rPr>
                <w:rFonts w:ascii="Arial" w:cs="Arial" w:eastAsia="Arial" w:hAnsi="Arial"/>
                <w:sz w:val="18"/>
                <w:szCs w:val="18"/>
                <w:color w:val="0000FF"/>
                <w:w w:val="92"/>
              </w:rPr>
            </w:pPr>
            <w:hyperlink r:id="rId170">
              <w:r>
                <w:rPr>
                  <w:rFonts w:ascii="Arial" w:cs="Arial" w:eastAsia="Arial" w:hAnsi="Arial"/>
                  <w:sz w:val="18"/>
                  <w:szCs w:val="18"/>
                  <w:color w:val="0000FF"/>
                  <w:w w:val="92"/>
                </w:rPr>
                <w:t>Form of SJW Group Restricted Stock Unit Issuance Agreement (TSR Goals). Incorporated by reference to Exhibit 10.55 to Form 10-</w:t>
              </w:r>
            </w:hyperlink>
          </w:p>
        </w:tc>
      </w:tr>
      <w:tr>
        <w:trPr>
          <w:trHeight w:val="156"/>
        </w:trPr>
        <w:tc>
          <w:tcPr>
            <w:tcW w:w="1500" w:type="dxa"/>
            <w:vAlign w:val="bottom"/>
          </w:tcPr>
          <w:p>
            <w:pPr>
              <w:spacing w:after="0"/>
              <w:rPr>
                <w:sz w:val="13"/>
                <w:szCs w:val="13"/>
                <w:color w:val="auto"/>
              </w:rPr>
            </w:pPr>
          </w:p>
        </w:tc>
        <w:tc>
          <w:tcPr>
            <w:tcW w:w="958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70">
              <w:r>
                <w:rPr>
                  <w:rFonts w:ascii="Arial" w:cs="Arial" w:eastAsia="Arial" w:hAnsi="Arial"/>
                  <w:sz w:val="18"/>
                  <w:szCs w:val="18"/>
                  <w:color w:val="0000FF"/>
                </w:rPr>
                <w:t xml:space="preserve">K for the year ended December 31, 2017. </w:t>
              </w:r>
              <w:r>
                <w:rPr>
                  <w:rFonts w:ascii="Arial" w:cs="Arial" w:eastAsia="Arial" w:hAnsi="Arial"/>
                  <w:sz w:val="18"/>
                  <w:szCs w:val="18"/>
                  <w:color w:val="000000"/>
                </w:rPr>
                <w:t>(2)</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10.47</w:t>
            </w:r>
          </w:p>
        </w:tc>
        <w:tc>
          <w:tcPr>
            <w:tcW w:w="9740" w:type="dxa"/>
            <w:vAlign w:val="bottom"/>
            <w:gridSpan w:val="33"/>
          </w:tcPr>
          <w:p>
            <w:pPr>
              <w:spacing w:after="0"/>
              <w:rPr>
                <w:rFonts w:ascii="Arial" w:cs="Arial" w:eastAsia="Arial" w:hAnsi="Arial"/>
                <w:sz w:val="18"/>
                <w:szCs w:val="18"/>
                <w:color w:val="0000FF"/>
                <w:w w:val="91"/>
              </w:rPr>
            </w:pPr>
            <w:hyperlink r:id="rId171">
              <w:r>
                <w:rPr>
                  <w:rFonts w:ascii="Arial" w:cs="Arial" w:eastAsia="Arial" w:hAnsi="Arial"/>
                  <w:sz w:val="18"/>
                  <w:szCs w:val="18"/>
                  <w:color w:val="0000FF"/>
                  <w:w w:val="91"/>
                </w:rPr>
                <w:t>Form of SJW Group Restricted Stock Unit Issuance Agreement. Incorporated by reference as Exhibit 10.52 to Form 10-K for the year</w:t>
              </w:r>
            </w:hyperlink>
          </w:p>
        </w:tc>
      </w:tr>
      <w:tr>
        <w:trPr>
          <w:trHeight w:val="156"/>
        </w:trPr>
        <w:tc>
          <w:tcPr>
            <w:tcW w:w="1500" w:type="dxa"/>
            <w:vAlign w:val="bottom"/>
          </w:tcPr>
          <w:p>
            <w:pPr>
              <w:spacing w:after="0"/>
              <w:rPr>
                <w:sz w:val="13"/>
                <w:szCs w:val="13"/>
                <w:color w:val="auto"/>
              </w:rPr>
            </w:pPr>
          </w:p>
        </w:tc>
        <w:tc>
          <w:tcPr>
            <w:tcW w:w="966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71">
              <w:r>
                <w:rPr>
                  <w:rFonts w:ascii="Arial" w:cs="Arial" w:eastAsia="Arial" w:hAnsi="Arial"/>
                  <w:sz w:val="18"/>
                  <w:szCs w:val="18"/>
                  <w:color w:val="0000FF"/>
                </w:rPr>
                <w:t>ended December 31, 2016</w:t>
              </w:r>
              <w:r>
                <w:rPr>
                  <w:rFonts w:ascii="Arial" w:cs="Arial" w:eastAsia="Arial" w:hAnsi="Arial"/>
                  <w:sz w:val="18"/>
                  <w:szCs w:val="18"/>
                  <w:color w:val="000000"/>
                </w:rPr>
                <w:t>. (2)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1"/>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10.48</w:t>
            </w:r>
          </w:p>
        </w:tc>
        <w:tc>
          <w:tcPr>
            <w:tcW w:w="9740" w:type="dxa"/>
            <w:vAlign w:val="bottom"/>
            <w:gridSpan w:val="33"/>
          </w:tcPr>
          <w:p>
            <w:pPr>
              <w:spacing w:after="0"/>
              <w:rPr>
                <w:rFonts w:ascii="Arial" w:cs="Arial" w:eastAsia="Arial" w:hAnsi="Arial"/>
                <w:sz w:val="18"/>
                <w:szCs w:val="18"/>
                <w:color w:val="0000FF"/>
                <w:w w:val="91"/>
              </w:rPr>
            </w:pPr>
            <w:hyperlink r:id="rId172">
              <w:r>
                <w:rPr>
                  <w:rFonts w:ascii="Arial" w:cs="Arial" w:eastAsia="Arial" w:hAnsi="Arial"/>
                  <w:sz w:val="18"/>
                  <w:szCs w:val="18"/>
                  <w:color w:val="0000FF"/>
                  <w:w w:val="91"/>
                </w:rPr>
                <w:t>Form of SJW Group Restricted Stock Unit Issuance Agreement (ROE Goal). Incorporated by reference as Exhibit 10.54 to Form 10-K</w:t>
              </w:r>
            </w:hyperlink>
          </w:p>
        </w:tc>
      </w:tr>
      <w:tr>
        <w:trPr>
          <w:trHeight w:val="155"/>
        </w:trPr>
        <w:tc>
          <w:tcPr>
            <w:tcW w:w="1500" w:type="dxa"/>
            <w:vAlign w:val="bottom"/>
          </w:tcPr>
          <w:p>
            <w:pPr>
              <w:spacing w:after="0"/>
              <w:rPr>
                <w:sz w:val="13"/>
                <w:szCs w:val="13"/>
                <w:color w:val="auto"/>
              </w:rPr>
            </w:pPr>
          </w:p>
        </w:tc>
        <w:tc>
          <w:tcPr>
            <w:tcW w:w="968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72">
              <w:r>
                <w:rPr>
                  <w:rFonts w:ascii="Arial" w:cs="Arial" w:eastAsia="Arial" w:hAnsi="Arial"/>
                  <w:sz w:val="18"/>
                  <w:szCs w:val="18"/>
                  <w:color w:val="0000FF"/>
                </w:rPr>
                <w:t>for the year ended December 31, 2016</w:t>
              </w:r>
              <w:r>
                <w:rPr>
                  <w:rFonts w:ascii="Arial" w:cs="Arial" w:eastAsia="Arial" w:hAnsi="Arial"/>
                  <w:sz w:val="18"/>
                  <w:szCs w:val="18"/>
                  <w:color w:val="000000"/>
                </w:rPr>
                <w:t>. (2)</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10.49</w:t>
            </w:r>
          </w:p>
        </w:tc>
        <w:tc>
          <w:tcPr>
            <w:tcW w:w="9740" w:type="dxa"/>
            <w:vAlign w:val="bottom"/>
            <w:gridSpan w:val="33"/>
          </w:tcPr>
          <w:p>
            <w:pPr>
              <w:spacing w:after="0"/>
              <w:rPr>
                <w:rFonts w:ascii="Arial" w:cs="Arial" w:eastAsia="Arial" w:hAnsi="Arial"/>
                <w:sz w:val="18"/>
                <w:szCs w:val="18"/>
                <w:color w:val="0000FF"/>
                <w:w w:val="91"/>
              </w:rPr>
            </w:pPr>
            <w:hyperlink r:id="rId173">
              <w:r>
                <w:rPr>
                  <w:rFonts w:ascii="Arial" w:cs="Arial" w:eastAsia="Arial" w:hAnsi="Arial"/>
                  <w:sz w:val="18"/>
                  <w:szCs w:val="18"/>
                  <w:color w:val="0000FF"/>
                  <w:w w:val="91"/>
                </w:rPr>
                <w:t>Form of SJW Group Restricted Stock Unit Issuance Agreement (EPS Goal). Incorporated by reference as Exhibit 10.55 to Form 10-K</w:t>
              </w:r>
            </w:hyperlink>
          </w:p>
        </w:tc>
      </w:tr>
      <w:tr>
        <w:trPr>
          <w:trHeight w:val="155"/>
        </w:trPr>
        <w:tc>
          <w:tcPr>
            <w:tcW w:w="1500" w:type="dxa"/>
            <w:vAlign w:val="bottom"/>
          </w:tcPr>
          <w:p>
            <w:pPr>
              <w:spacing w:after="0"/>
              <w:rPr>
                <w:sz w:val="13"/>
                <w:szCs w:val="13"/>
                <w:color w:val="auto"/>
              </w:rPr>
            </w:pPr>
          </w:p>
        </w:tc>
        <w:tc>
          <w:tcPr>
            <w:tcW w:w="964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73">
              <w:r>
                <w:rPr>
                  <w:rFonts w:ascii="Arial" w:cs="Arial" w:eastAsia="Arial" w:hAnsi="Arial"/>
                  <w:sz w:val="18"/>
                  <w:szCs w:val="18"/>
                  <w:color w:val="0000FF"/>
                </w:rPr>
                <w:t>for the year ended December 31, 2016</w:t>
              </w:r>
              <w:r>
                <w:rPr>
                  <w:rFonts w:ascii="Arial" w:cs="Arial" w:eastAsia="Arial" w:hAnsi="Arial"/>
                  <w:sz w:val="18"/>
                  <w:szCs w:val="18"/>
                  <w:color w:val="000000"/>
                </w:rPr>
                <w:t>. (2)</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1"/>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10.50</w:t>
            </w:r>
          </w:p>
        </w:tc>
        <w:tc>
          <w:tcPr>
            <w:tcW w:w="9740" w:type="dxa"/>
            <w:vAlign w:val="bottom"/>
            <w:gridSpan w:val="33"/>
          </w:tcPr>
          <w:p>
            <w:pPr>
              <w:spacing w:after="0"/>
              <w:rPr>
                <w:rFonts w:ascii="Arial" w:cs="Arial" w:eastAsia="Arial" w:hAnsi="Arial"/>
                <w:sz w:val="18"/>
                <w:szCs w:val="18"/>
                <w:color w:val="0000FF"/>
                <w:w w:val="93"/>
              </w:rPr>
            </w:pPr>
            <w:hyperlink r:id="rId174">
              <w:r>
                <w:rPr>
                  <w:rFonts w:ascii="Arial" w:cs="Arial" w:eastAsia="Arial" w:hAnsi="Arial"/>
                  <w:sz w:val="18"/>
                  <w:szCs w:val="18"/>
                  <w:color w:val="0000FF"/>
                  <w:w w:val="93"/>
                </w:rPr>
                <w:t>Form of Director and Officer Indemnification Agreement between SJW Group and its officers and Board members. Incorporated by</w:t>
              </w:r>
            </w:hyperlink>
          </w:p>
        </w:tc>
      </w:tr>
      <w:tr>
        <w:trPr>
          <w:trHeight w:val="156"/>
        </w:trPr>
        <w:tc>
          <w:tcPr>
            <w:tcW w:w="1500" w:type="dxa"/>
            <w:vAlign w:val="bottom"/>
          </w:tcPr>
          <w:p>
            <w:pPr>
              <w:spacing w:after="0"/>
              <w:rPr>
                <w:sz w:val="13"/>
                <w:szCs w:val="13"/>
                <w:color w:val="auto"/>
              </w:rPr>
            </w:pPr>
          </w:p>
        </w:tc>
        <w:tc>
          <w:tcPr>
            <w:tcW w:w="950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74">
              <w:r>
                <w:rPr>
                  <w:rFonts w:ascii="Arial" w:cs="Arial" w:eastAsia="Arial" w:hAnsi="Arial"/>
                  <w:sz w:val="18"/>
                  <w:szCs w:val="18"/>
                  <w:color w:val="0000FF"/>
                </w:rPr>
                <w:t>reference to Exhibit 10.1 to Form 8-K filed on November 15, 2016</w:t>
              </w:r>
              <w:r>
                <w:rPr>
                  <w:rFonts w:ascii="Arial" w:cs="Arial" w:eastAsia="Arial" w:hAnsi="Arial"/>
                  <w:sz w:val="18"/>
                  <w:szCs w:val="18"/>
                  <w:color w:val="000000"/>
                </w:rPr>
                <w:t>. (2)</w:t>
              </w:r>
            </w:hyperlink>
          </w:p>
        </w:tc>
        <w:tc>
          <w:tcPr>
            <w:tcW w:w="20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10.51</w:t>
            </w:r>
          </w:p>
        </w:tc>
        <w:tc>
          <w:tcPr>
            <w:tcW w:w="9740" w:type="dxa"/>
            <w:vAlign w:val="bottom"/>
            <w:gridSpan w:val="33"/>
          </w:tcPr>
          <w:p>
            <w:pPr>
              <w:spacing w:after="0"/>
              <w:rPr>
                <w:sz w:val="20"/>
                <w:szCs w:val="20"/>
                <w:color w:val="auto"/>
              </w:rPr>
            </w:pPr>
            <w:r>
              <w:rPr>
                <w:rFonts w:ascii="Arial" w:cs="Arial" w:eastAsia="Arial" w:hAnsi="Arial"/>
                <w:sz w:val="18"/>
                <w:szCs w:val="18"/>
                <w:color w:val="auto"/>
                <w:w w:val="97"/>
              </w:rPr>
              <w:t>Trust Agreement for The Connecticut Water Company Welfare Benefits Plan (VEBA) dated January 1, 1989. Incorporated by</w:t>
            </w:r>
          </w:p>
        </w:tc>
      </w:tr>
      <w:tr>
        <w:trPr>
          <w:trHeight w:val="230"/>
        </w:trPr>
        <w:tc>
          <w:tcPr>
            <w:tcW w:w="1500" w:type="dxa"/>
            <w:vAlign w:val="bottom"/>
          </w:tcPr>
          <w:p>
            <w:pPr>
              <w:spacing w:after="0"/>
              <w:rPr>
                <w:sz w:val="20"/>
                <w:szCs w:val="20"/>
                <w:color w:val="auto"/>
              </w:rPr>
            </w:pPr>
          </w:p>
        </w:tc>
        <w:tc>
          <w:tcPr>
            <w:tcW w:w="9740" w:type="dxa"/>
            <w:vAlign w:val="bottom"/>
            <w:gridSpan w:val="33"/>
          </w:tcPr>
          <w:p>
            <w:pPr>
              <w:spacing w:after="0"/>
              <w:rPr>
                <w:sz w:val="20"/>
                <w:szCs w:val="20"/>
                <w:color w:val="auto"/>
              </w:rPr>
            </w:pPr>
            <w:r>
              <w:rPr>
                <w:rFonts w:ascii="Arial" w:cs="Arial" w:eastAsia="Arial" w:hAnsi="Arial"/>
                <w:sz w:val="18"/>
                <w:szCs w:val="18"/>
                <w:color w:val="auto"/>
              </w:rPr>
              <w:t>reference to Exhibit 10.21 to Connecticut Water Service, Inc.’s Form 10-K for the year ended December 31, 1989. (2)</w:t>
            </w:r>
          </w:p>
        </w:tc>
      </w:tr>
      <w:tr>
        <w:trPr>
          <w:trHeight w:val="350"/>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10.52</w:t>
            </w:r>
          </w:p>
        </w:tc>
        <w:tc>
          <w:tcPr>
            <w:tcW w:w="9740" w:type="dxa"/>
            <w:vAlign w:val="bottom"/>
            <w:gridSpan w:val="33"/>
          </w:tcPr>
          <w:p>
            <w:pPr>
              <w:spacing w:after="0"/>
              <w:rPr>
                <w:rFonts w:ascii="Arial" w:cs="Arial" w:eastAsia="Arial" w:hAnsi="Arial"/>
                <w:sz w:val="18"/>
                <w:szCs w:val="18"/>
                <w:color w:val="0000FF"/>
                <w:w w:val="94"/>
              </w:rPr>
            </w:pPr>
            <w:hyperlink r:id="rId175">
              <w:r>
                <w:rPr>
                  <w:rFonts w:ascii="Arial" w:cs="Arial" w:eastAsia="Arial" w:hAnsi="Arial"/>
                  <w:sz w:val="18"/>
                  <w:szCs w:val="18"/>
                  <w:color w:val="0000FF"/>
                  <w:w w:val="94"/>
                </w:rPr>
                <w:t>Connecticut Water Service, Inc. 1994 Performance Stock Program. Incorporated by reference as Exhibit 99.3 to Form S-8 filed on</w:t>
              </w:r>
            </w:hyperlink>
          </w:p>
        </w:tc>
      </w:tr>
      <w:tr>
        <w:trPr>
          <w:trHeight w:val="155"/>
        </w:trPr>
        <w:tc>
          <w:tcPr>
            <w:tcW w:w="1500" w:type="dxa"/>
            <w:vAlign w:val="bottom"/>
          </w:tcPr>
          <w:p>
            <w:pPr>
              <w:spacing w:after="0"/>
              <w:rPr>
                <w:sz w:val="13"/>
                <w:szCs w:val="13"/>
                <w:color w:val="auto"/>
              </w:rPr>
            </w:pPr>
          </w:p>
        </w:tc>
        <w:tc>
          <w:tcPr>
            <w:tcW w:w="936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75">
              <w:r>
                <w:rPr>
                  <w:rFonts w:ascii="Arial" w:cs="Arial" w:eastAsia="Arial" w:hAnsi="Arial"/>
                  <w:sz w:val="18"/>
                  <w:szCs w:val="18"/>
                  <w:color w:val="0000FF"/>
                </w:rPr>
                <w:t>October 9, 2019</w:t>
              </w:r>
              <w:r>
                <w:rPr>
                  <w:rFonts w:ascii="Arial" w:cs="Arial" w:eastAsia="Arial" w:hAnsi="Arial"/>
                  <w:sz w:val="18"/>
                  <w:szCs w:val="18"/>
                  <w:color w:val="000000"/>
                </w:rPr>
                <w:t>. (2)</w:t>
              </w:r>
            </w:hyperlink>
          </w:p>
        </w:tc>
        <w:tc>
          <w:tcPr>
            <w:tcW w:w="120" w:type="dxa"/>
            <w:vAlign w:val="bottom"/>
            <w:gridSpan w:val="3"/>
          </w:tcPr>
          <w:p>
            <w:pPr>
              <w:spacing w:after="0"/>
              <w:rPr>
                <w:sz w:val="13"/>
                <w:szCs w:val="13"/>
                <w:color w:val="auto"/>
              </w:rPr>
            </w:pPr>
          </w:p>
        </w:tc>
        <w:tc>
          <w:tcPr>
            <w:tcW w:w="22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4040" w:type="dxa"/>
            <w:vAlign w:val="bottom"/>
            <w:gridSpan w:val="9"/>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60" w:type="dxa"/>
            <w:vAlign w:val="bottom"/>
            <w:gridSpan w:val="9"/>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10.53</w:t>
            </w:r>
          </w:p>
        </w:tc>
        <w:tc>
          <w:tcPr>
            <w:tcW w:w="9740" w:type="dxa"/>
            <w:vAlign w:val="bottom"/>
            <w:gridSpan w:val="33"/>
          </w:tcPr>
          <w:p>
            <w:pPr>
              <w:spacing w:after="0"/>
              <w:rPr>
                <w:rFonts w:ascii="Arial" w:cs="Arial" w:eastAsia="Arial" w:hAnsi="Arial"/>
                <w:sz w:val="18"/>
                <w:szCs w:val="18"/>
                <w:color w:val="0000FF"/>
                <w:w w:val="91"/>
              </w:rPr>
            </w:pPr>
            <w:hyperlink r:id="rId176">
              <w:r>
                <w:rPr>
                  <w:rFonts w:ascii="Arial" w:cs="Arial" w:eastAsia="Arial" w:hAnsi="Arial"/>
                  <w:sz w:val="18"/>
                  <w:szCs w:val="18"/>
                  <w:color w:val="0000FF"/>
                  <w:w w:val="91"/>
                </w:rPr>
                <w:t>Connecticut Water Service, Inc. 2004 Performance Stock Program, effective as of April 23, 2004. Incorporated by reference as Exhibit</w:t>
              </w:r>
            </w:hyperlink>
          </w:p>
        </w:tc>
      </w:tr>
      <w:tr>
        <w:trPr>
          <w:trHeight w:val="155"/>
        </w:trPr>
        <w:tc>
          <w:tcPr>
            <w:tcW w:w="1500" w:type="dxa"/>
            <w:vAlign w:val="bottom"/>
          </w:tcPr>
          <w:p>
            <w:pPr>
              <w:spacing w:after="0"/>
              <w:rPr>
                <w:sz w:val="13"/>
                <w:szCs w:val="13"/>
                <w:color w:val="auto"/>
              </w:rPr>
            </w:pPr>
          </w:p>
        </w:tc>
        <w:tc>
          <w:tcPr>
            <w:tcW w:w="970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76">
              <w:r>
                <w:rPr>
                  <w:rFonts w:ascii="Arial" w:cs="Arial" w:eastAsia="Arial" w:hAnsi="Arial"/>
                  <w:sz w:val="18"/>
                  <w:szCs w:val="18"/>
                  <w:color w:val="0000FF"/>
                </w:rPr>
                <w:t>99.</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to Form S-8 filed on October 9, 2019</w:t>
              </w:r>
              <w:r>
                <w:rPr>
                  <w:rFonts w:ascii="Arial" w:cs="Arial" w:eastAsia="Arial" w:hAnsi="Arial"/>
                  <w:sz w:val="18"/>
                  <w:szCs w:val="18"/>
                  <w:color w:val="000000"/>
                </w:rPr>
                <w:t>. (2)</w:t>
              </w:r>
            </w:hyperlink>
          </w:p>
        </w:tc>
        <w:tc>
          <w:tcPr>
            <w:tcW w:w="40" w:type="dxa"/>
            <w:vAlign w:val="bottom"/>
            <w:gridSpan w:val="2"/>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020" w:type="dxa"/>
            <w:vAlign w:val="bottom"/>
            <w:gridSpan w:val="5"/>
            <w:shd w:val="clear" w:color="auto" w:fill="0000FF"/>
          </w:tcPr>
          <w:p>
            <w:pPr>
              <w:spacing w:after="0" w:line="20" w:lineRule="exact"/>
              <w:rPr>
                <w:sz w:val="1"/>
                <w:szCs w:val="1"/>
                <w:color w:val="auto"/>
              </w:rPr>
            </w:pPr>
          </w:p>
        </w:tc>
        <w:tc>
          <w:tcPr>
            <w:tcW w:w="4040" w:type="dxa"/>
            <w:vAlign w:val="bottom"/>
            <w:gridSpan w:val="9"/>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60" w:type="dxa"/>
            <w:vAlign w:val="bottom"/>
            <w:gridSpan w:val="9"/>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r>
      <w:tr>
        <w:trPr>
          <w:trHeight w:val="371"/>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10.54</w:t>
            </w:r>
          </w:p>
        </w:tc>
        <w:tc>
          <w:tcPr>
            <w:tcW w:w="9740" w:type="dxa"/>
            <w:vAlign w:val="bottom"/>
            <w:gridSpan w:val="33"/>
          </w:tcPr>
          <w:p>
            <w:pPr>
              <w:spacing w:after="0"/>
              <w:rPr>
                <w:rFonts w:ascii="Arial" w:cs="Arial" w:eastAsia="Arial" w:hAnsi="Arial"/>
                <w:sz w:val="18"/>
                <w:szCs w:val="18"/>
                <w:color w:val="0000FF"/>
                <w:w w:val="92"/>
              </w:rPr>
            </w:pPr>
            <w:hyperlink r:id="rId177">
              <w:r>
                <w:rPr>
                  <w:rFonts w:ascii="Arial" w:cs="Arial" w:eastAsia="Arial" w:hAnsi="Arial"/>
                  <w:sz w:val="18"/>
                  <w:szCs w:val="18"/>
                  <w:color w:val="0000FF"/>
                  <w:w w:val="92"/>
                </w:rPr>
                <w:t>First Amendment to The Connecticut Water Service, Inc. 2004 Performance Stock Program, dated January 7, 2004. Incorporated by</w:t>
              </w:r>
            </w:hyperlink>
          </w:p>
        </w:tc>
      </w:tr>
      <w:tr>
        <w:trPr>
          <w:trHeight w:val="156"/>
        </w:trPr>
        <w:tc>
          <w:tcPr>
            <w:tcW w:w="1500" w:type="dxa"/>
            <w:vAlign w:val="bottom"/>
          </w:tcPr>
          <w:p>
            <w:pPr>
              <w:spacing w:after="0"/>
              <w:rPr>
                <w:sz w:val="13"/>
                <w:szCs w:val="13"/>
                <w:color w:val="auto"/>
              </w:rPr>
            </w:pPr>
          </w:p>
        </w:tc>
        <w:tc>
          <w:tcPr>
            <w:tcW w:w="948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77">
              <w:r>
                <w:rPr>
                  <w:rFonts w:ascii="Arial" w:cs="Arial" w:eastAsia="Arial" w:hAnsi="Arial"/>
                  <w:sz w:val="18"/>
                  <w:szCs w:val="18"/>
                  <w:color w:val="0000FF"/>
                </w:rPr>
                <w:t>reference to Exhibit 10.23f to Connecticut Water Service, Inc.’s Form 10-K for the year ended December 31, 2005</w:t>
              </w:r>
              <w:r>
                <w:rPr>
                  <w:rFonts w:ascii="Arial" w:cs="Arial" w:eastAsia="Arial" w:hAnsi="Arial"/>
                  <w:sz w:val="18"/>
                  <w:szCs w:val="18"/>
                  <w:color w:val="000000"/>
                </w:rPr>
                <w:t>. (2)</w:t>
              </w:r>
            </w:hyperlink>
          </w:p>
        </w:tc>
        <w:tc>
          <w:tcPr>
            <w:tcW w:w="260" w:type="dxa"/>
            <w:vAlign w:val="bottom"/>
            <w:gridSpan w:val="9"/>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7060" w:type="dxa"/>
            <w:vAlign w:val="bottom"/>
            <w:gridSpan w:val="14"/>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520" w:type="dxa"/>
            <w:vAlign w:val="bottom"/>
            <w:gridSpan w:val="18"/>
          </w:tcPr>
          <w:p>
            <w:pPr>
              <w:spacing w:after="0" w:line="20" w:lineRule="exact"/>
              <w:rPr>
                <w:sz w:val="1"/>
                <w:szCs w:val="1"/>
                <w:color w:val="auto"/>
              </w:rPr>
            </w:pPr>
          </w:p>
        </w:tc>
      </w:tr>
      <w:tr>
        <w:trPr>
          <w:trHeight w:val="372"/>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10.55</w:t>
            </w:r>
          </w:p>
        </w:tc>
        <w:tc>
          <w:tcPr>
            <w:tcW w:w="9740" w:type="dxa"/>
            <w:vAlign w:val="bottom"/>
            <w:gridSpan w:val="33"/>
          </w:tcPr>
          <w:p>
            <w:pPr>
              <w:spacing w:after="0"/>
              <w:rPr>
                <w:rFonts w:ascii="Arial" w:cs="Arial" w:eastAsia="Arial" w:hAnsi="Arial"/>
                <w:sz w:val="18"/>
                <w:szCs w:val="18"/>
                <w:color w:val="0000FF"/>
                <w:w w:val="90"/>
              </w:rPr>
            </w:pPr>
            <w:hyperlink r:id="rId178">
              <w:r>
                <w:rPr>
                  <w:rFonts w:ascii="Arial" w:cs="Arial" w:eastAsia="Arial" w:hAnsi="Arial"/>
                  <w:sz w:val="18"/>
                  <w:szCs w:val="18"/>
                  <w:color w:val="0000FF"/>
                  <w:w w:val="90"/>
                </w:rPr>
                <w:t>Second Amendment to The Connecticut Water Service, Inc. 2004 Performance Stock Program, dated January 1, 2008. Incorporated by</w:t>
              </w:r>
            </w:hyperlink>
          </w:p>
        </w:tc>
      </w:tr>
      <w:tr>
        <w:trPr>
          <w:trHeight w:val="155"/>
        </w:trPr>
        <w:tc>
          <w:tcPr>
            <w:tcW w:w="1500" w:type="dxa"/>
            <w:vAlign w:val="bottom"/>
          </w:tcPr>
          <w:p>
            <w:pPr>
              <w:spacing w:after="0"/>
              <w:rPr>
                <w:sz w:val="13"/>
                <w:szCs w:val="13"/>
                <w:color w:val="auto"/>
              </w:rPr>
            </w:pPr>
          </w:p>
        </w:tc>
        <w:tc>
          <w:tcPr>
            <w:tcW w:w="968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78">
              <w:r>
                <w:rPr>
                  <w:rFonts w:ascii="Arial" w:cs="Arial" w:eastAsia="Arial" w:hAnsi="Arial"/>
                  <w:sz w:val="18"/>
                  <w:szCs w:val="18"/>
                  <w:color w:val="0000FF"/>
                </w:rPr>
                <w:t>reference to Exhibit 10.6 to Connecticut Water Service, Inc.’s Form 8-K filed on January 31, 2008</w:t>
              </w:r>
              <w:r>
                <w:rPr>
                  <w:rFonts w:ascii="Arial" w:cs="Arial" w:eastAsia="Arial" w:hAnsi="Arial"/>
                  <w:sz w:val="18"/>
                  <w:szCs w:val="18"/>
                  <w:color w:val="000000"/>
                </w:rPr>
                <w:t>. (2)</w:t>
              </w:r>
            </w:hyperlink>
          </w:p>
        </w:tc>
        <w:tc>
          <w:tcPr>
            <w:tcW w:w="60" w:type="dxa"/>
            <w:vAlign w:val="bottom"/>
            <w:gridSpan w:val="3"/>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0" w:right="35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10.56</w:t>
            </w:r>
          </w:p>
        </w:tc>
        <w:tc>
          <w:tcPr>
            <w:tcW w:w="9740" w:type="dxa"/>
            <w:vAlign w:val="bottom"/>
            <w:gridSpan w:val="33"/>
          </w:tcPr>
          <w:p>
            <w:pPr>
              <w:spacing w:after="0"/>
              <w:rPr>
                <w:rFonts w:ascii="Arial" w:cs="Arial" w:eastAsia="Arial" w:hAnsi="Arial"/>
                <w:sz w:val="18"/>
                <w:szCs w:val="18"/>
                <w:color w:val="0000FF"/>
                <w:w w:val="94"/>
              </w:rPr>
            </w:pPr>
            <w:hyperlink r:id="rId180">
              <w:r>
                <w:rPr>
                  <w:rFonts w:ascii="Arial" w:cs="Arial" w:eastAsia="Arial" w:hAnsi="Arial"/>
                  <w:sz w:val="18"/>
                  <w:szCs w:val="18"/>
                  <w:color w:val="0000FF"/>
                  <w:w w:val="94"/>
                </w:rPr>
                <w:t>Connecticut Water Service, Inc. 2014 Performance Stock Program. Incorporated by reference as Exhibit 99.1 to Form S-8 filed on</w:t>
              </w:r>
            </w:hyperlink>
          </w:p>
        </w:tc>
      </w:tr>
      <w:tr>
        <w:trPr>
          <w:trHeight w:val="156"/>
        </w:trPr>
        <w:tc>
          <w:tcPr>
            <w:tcW w:w="1500" w:type="dxa"/>
            <w:vAlign w:val="bottom"/>
          </w:tcPr>
          <w:p>
            <w:pPr>
              <w:spacing w:after="0"/>
              <w:rPr>
                <w:sz w:val="13"/>
                <w:szCs w:val="13"/>
                <w:color w:val="auto"/>
              </w:rPr>
            </w:pPr>
          </w:p>
        </w:tc>
        <w:tc>
          <w:tcPr>
            <w:tcW w:w="936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80">
              <w:r>
                <w:rPr>
                  <w:rFonts w:ascii="Arial" w:cs="Arial" w:eastAsia="Arial" w:hAnsi="Arial"/>
                  <w:sz w:val="18"/>
                  <w:szCs w:val="18"/>
                  <w:color w:val="0000FF"/>
                </w:rPr>
                <w:t>October 9, 2019</w:t>
              </w:r>
              <w:r>
                <w:rPr>
                  <w:rFonts w:ascii="Arial" w:cs="Arial" w:eastAsia="Arial" w:hAnsi="Arial"/>
                  <w:sz w:val="18"/>
                  <w:szCs w:val="18"/>
                  <w:color w:val="000000"/>
                </w:rPr>
                <w:t>. (2)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10.57</w:t>
            </w:r>
          </w:p>
        </w:tc>
        <w:tc>
          <w:tcPr>
            <w:tcW w:w="9740" w:type="dxa"/>
            <w:vAlign w:val="bottom"/>
            <w:gridSpan w:val="33"/>
          </w:tcPr>
          <w:p>
            <w:pPr>
              <w:spacing w:after="0"/>
              <w:rPr>
                <w:rFonts w:ascii="Arial" w:cs="Arial" w:eastAsia="Arial" w:hAnsi="Arial"/>
                <w:sz w:val="18"/>
                <w:szCs w:val="18"/>
                <w:color w:val="0000FF"/>
                <w:w w:val="90"/>
              </w:rPr>
            </w:pPr>
            <w:hyperlink r:id="rId181">
              <w:r>
                <w:rPr>
                  <w:rFonts w:ascii="Arial" w:cs="Arial" w:eastAsia="Arial" w:hAnsi="Arial"/>
                  <w:sz w:val="18"/>
                  <w:szCs w:val="18"/>
                  <w:color w:val="0000FF"/>
                  <w:w w:val="90"/>
                </w:rPr>
                <w:t>First Amendment effective October 9, 2019 to The Connecticut Water Service, Inc. 2014 Performance Stock Program. Incorporated by</w:t>
              </w:r>
            </w:hyperlink>
          </w:p>
        </w:tc>
      </w:tr>
      <w:tr>
        <w:trPr>
          <w:trHeight w:val="155"/>
        </w:trPr>
        <w:tc>
          <w:tcPr>
            <w:tcW w:w="1500" w:type="dxa"/>
            <w:vAlign w:val="bottom"/>
          </w:tcPr>
          <w:p>
            <w:pPr>
              <w:spacing w:after="0"/>
              <w:rPr>
                <w:sz w:val="13"/>
                <w:szCs w:val="13"/>
                <w:color w:val="auto"/>
              </w:rPr>
            </w:pPr>
          </w:p>
        </w:tc>
        <w:tc>
          <w:tcPr>
            <w:tcW w:w="972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81">
              <w:r>
                <w:rPr>
                  <w:rFonts w:ascii="Arial" w:cs="Arial" w:eastAsia="Arial" w:hAnsi="Arial"/>
                  <w:sz w:val="18"/>
                  <w:szCs w:val="18"/>
                  <w:color w:val="0000FF"/>
                </w:rPr>
                <w:t>reference to Exhibit 10.69 to Form 10-K for the year ended December 31, 2019</w:t>
              </w:r>
              <w:r>
                <w:rPr>
                  <w:rFonts w:ascii="Arial" w:cs="Arial" w:eastAsia="Arial" w:hAnsi="Arial"/>
                  <w:sz w:val="18"/>
                  <w:szCs w:val="18"/>
                  <w:color w:val="000000"/>
                </w:rPr>
                <w:t>. (2)</w:t>
              </w:r>
            </w:hyperlink>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10.58</w:t>
            </w:r>
          </w:p>
        </w:tc>
        <w:tc>
          <w:tcPr>
            <w:tcW w:w="9740" w:type="dxa"/>
            <w:vAlign w:val="bottom"/>
            <w:gridSpan w:val="33"/>
          </w:tcPr>
          <w:p>
            <w:pPr>
              <w:spacing w:after="0"/>
              <w:rPr>
                <w:rFonts w:ascii="Arial" w:cs="Arial" w:eastAsia="Arial" w:hAnsi="Arial"/>
                <w:sz w:val="18"/>
                <w:szCs w:val="18"/>
                <w:color w:val="0000FF"/>
                <w:w w:val="94"/>
              </w:rPr>
            </w:pPr>
            <w:hyperlink r:id="rId182">
              <w:r>
                <w:rPr>
                  <w:rFonts w:ascii="Arial" w:cs="Arial" w:eastAsia="Arial" w:hAnsi="Arial"/>
                  <w:sz w:val="18"/>
                  <w:szCs w:val="18"/>
                  <w:color w:val="0000FF"/>
                  <w:w w:val="94"/>
                </w:rPr>
                <w:t>Form of Performance Unit Award Agreement (short-term vesting form) under Connecticut Water Service, Inc.’s 2014 Performance</w:t>
              </w:r>
            </w:hyperlink>
          </w:p>
        </w:tc>
      </w:tr>
      <w:tr>
        <w:trPr>
          <w:trHeight w:val="155"/>
        </w:trPr>
        <w:tc>
          <w:tcPr>
            <w:tcW w:w="1500" w:type="dxa"/>
            <w:vAlign w:val="bottom"/>
          </w:tcPr>
          <w:p>
            <w:pPr>
              <w:spacing w:after="0"/>
              <w:rPr>
                <w:sz w:val="13"/>
                <w:szCs w:val="13"/>
                <w:color w:val="auto"/>
              </w:rPr>
            </w:pPr>
          </w:p>
        </w:tc>
        <w:tc>
          <w:tcPr>
            <w:tcW w:w="9460" w:type="dxa"/>
            <w:vAlign w:val="bottom"/>
            <w:tcBorders>
              <w:top w:val="single" w:sz="8" w:color="0000FF"/>
            </w:tcBorders>
            <w:gridSpan w:val="21"/>
          </w:tcPr>
          <w:p>
            <w:pPr>
              <w:spacing w:after="0" w:line="156" w:lineRule="exact"/>
              <w:rPr>
                <w:rFonts w:ascii="Arial" w:cs="Arial" w:eastAsia="Arial" w:hAnsi="Arial"/>
                <w:sz w:val="18"/>
                <w:szCs w:val="18"/>
                <w:color w:val="0000FF"/>
                <w:w w:val="95"/>
              </w:rPr>
            </w:pPr>
            <w:hyperlink r:id="rId182">
              <w:r>
                <w:rPr>
                  <w:rFonts w:ascii="Arial" w:cs="Arial" w:eastAsia="Arial" w:hAnsi="Arial"/>
                  <w:sz w:val="18"/>
                  <w:szCs w:val="18"/>
                  <w:color w:val="0000FF"/>
                  <w:w w:val="95"/>
                </w:rPr>
                <w:t>Stock Program. Incorporated by reference to Exhibit 10.9 to Connecticut Water Service, Inc.’s Form 10-K for the year ended</w:t>
              </w:r>
            </w:hyperlink>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500" w:type="dxa"/>
            <w:vAlign w:val="bottom"/>
          </w:tcPr>
          <w:p>
            <w:pPr>
              <w:spacing w:after="0"/>
              <w:rPr>
                <w:sz w:val="14"/>
                <w:szCs w:val="14"/>
                <w:color w:val="auto"/>
              </w:rPr>
            </w:pPr>
          </w:p>
        </w:tc>
        <w:tc>
          <w:tcPr>
            <w:tcW w:w="8960" w:type="dxa"/>
            <w:vAlign w:val="bottom"/>
            <w:tcBorders>
              <w:top w:val="single" w:sz="8" w:color="0000FF"/>
            </w:tcBorders>
            <w:gridSpan w:val="10"/>
          </w:tcPr>
          <w:p>
            <w:pPr>
              <w:spacing w:after="0" w:line="169" w:lineRule="exact"/>
              <w:rPr>
                <w:rFonts w:ascii="Arial" w:cs="Arial" w:eastAsia="Arial" w:hAnsi="Arial"/>
                <w:sz w:val="18"/>
                <w:szCs w:val="18"/>
                <w:color w:val="0000FF"/>
              </w:rPr>
            </w:pPr>
            <w:hyperlink r:id="rId182">
              <w:r>
                <w:rPr>
                  <w:rFonts w:ascii="Arial" w:cs="Arial" w:eastAsia="Arial" w:hAnsi="Arial"/>
                  <w:sz w:val="18"/>
                  <w:szCs w:val="18"/>
                  <w:color w:val="0000FF"/>
                </w:rPr>
                <w:t>December 31, 2016</w:t>
              </w:r>
              <w:r>
                <w:rPr>
                  <w:rFonts w:ascii="Arial" w:cs="Arial" w:eastAsia="Arial" w:hAnsi="Arial"/>
                  <w:sz w:val="18"/>
                  <w:szCs w:val="18"/>
                  <w:color w:val="000000"/>
                </w:rPr>
                <w:t>. (2)</w:t>
              </w:r>
            </w:hyperlink>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10.59</w:t>
            </w:r>
          </w:p>
        </w:tc>
        <w:tc>
          <w:tcPr>
            <w:tcW w:w="9740" w:type="dxa"/>
            <w:vAlign w:val="bottom"/>
            <w:gridSpan w:val="33"/>
          </w:tcPr>
          <w:p>
            <w:pPr>
              <w:spacing w:after="0"/>
              <w:rPr>
                <w:rFonts w:ascii="Arial" w:cs="Arial" w:eastAsia="Arial" w:hAnsi="Arial"/>
                <w:sz w:val="18"/>
                <w:szCs w:val="18"/>
                <w:color w:val="0000FF"/>
                <w:w w:val="94"/>
              </w:rPr>
            </w:pPr>
            <w:hyperlink r:id="rId183">
              <w:r>
                <w:rPr>
                  <w:rFonts w:ascii="Arial" w:cs="Arial" w:eastAsia="Arial" w:hAnsi="Arial"/>
                  <w:sz w:val="18"/>
                  <w:szCs w:val="18"/>
                  <w:color w:val="0000FF"/>
                  <w:w w:val="94"/>
                </w:rPr>
                <w:t>Form of Performance Unit Award Agreement (long-term vesting form) under Connecticut Water Service, Inc.’s 2014 Performance</w:t>
              </w:r>
            </w:hyperlink>
          </w:p>
        </w:tc>
      </w:tr>
      <w:tr>
        <w:trPr>
          <w:trHeight w:val="155"/>
        </w:trPr>
        <w:tc>
          <w:tcPr>
            <w:tcW w:w="1500" w:type="dxa"/>
            <w:vAlign w:val="bottom"/>
          </w:tcPr>
          <w:p>
            <w:pPr>
              <w:spacing w:after="0"/>
              <w:rPr>
                <w:sz w:val="13"/>
                <w:szCs w:val="13"/>
                <w:color w:val="auto"/>
              </w:rPr>
            </w:pPr>
          </w:p>
        </w:tc>
        <w:tc>
          <w:tcPr>
            <w:tcW w:w="9380" w:type="dxa"/>
            <w:vAlign w:val="bottom"/>
            <w:tcBorders>
              <w:top w:val="single" w:sz="8" w:color="0000FF"/>
            </w:tcBorders>
            <w:gridSpan w:val="17"/>
          </w:tcPr>
          <w:p>
            <w:pPr>
              <w:spacing w:after="0" w:line="156" w:lineRule="exact"/>
              <w:rPr>
                <w:rFonts w:ascii="Arial" w:cs="Arial" w:eastAsia="Arial" w:hAnsi="Arial"/>
                <w:sz w:val="18"/>
                <w:szCs w:val="18"/>
                <w:color w:val="0000FF"/>
                <w:w w:val="94"/>
              </w:rPr>
            </w:pPr>
            <w:hyperlink r:id="rId183">
              <w:r>
                <w:rPr>
                  <w:rFonts w:ascii="Arial" w:cs="Arial" w:eastAsia="Arial" w:hAnsi="Arial"/>
                  <w:sz w:val="18"/>
                  <w:szCs w:val="18"/>
                  <w:color w:val="0000FF"/>
                  <w:w w:val="94"/>
                </w:rPr>
                <w:t>Stock Program. Incorporated by reference to Exhibit 10.10 to Connecticut Water Service, Inc.’s Form 10-K for the year ended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500" w:type="dxa"/>
            <w:vAlign w:val="bottom"/>
          </w:tcPr>
          <w:p>
            <w:pPr>
              <w:spacing w:after="0"/>
              <w:rPr>
                <w:sz w:val="14"/>
                <w:szCs w:val="14"/>
                <w:color w:val="auto"/>
              </w:rPr>
            </w:pPr>
          </w:p>
        </w:tc>
        <w:tc>
          <w:tcPr>
            <w:tcW w:w="9080" w:type="dxa"/>
            <w:vAlign w:val="bottom"/>
            <w:tcBorders>
              <w:top w:val="single" w:sz="8" w:color="0000FF"/>
            </w:tcBorders>
            <w:gridSpan w:val="12"/>
          </w:tcPr>
          <w:p>
            <w:pPr>
              <w:spacing w:after="0" w:line="169" w:lineRule="exact"/>
              <w:rPr>
                <w:rFonts w:ascii="Arial" w:cs="Arial" w:eastAsia="Arial" w:hAnsi="Arial"/>
                <w:sz w:val="18"/>
                <w:szCs w:val="18"/>
                <w:color w:val="0000FF"/>
              </w:rPr>
            </w:pPr>
            <w:hyperlink r:id="rId183">
              <w:r>
                <w:rPr>
                  <w:rFonts w:ascii="Arial" w:cs="Arial" w:eastAsia="Arial" w:hAnsi="Arial"/>
                  <w:sz w:val="18"/>
                  <w:szCs w:val="18"/>
                  <w:color w:val="0000FF"/>
                </w:rPr>
                <w:t>December 31, 2016</w:t>
              </w:r>
              <w:r>
                <w:rPr>
                  <w:rFonts w:ascii="Arial" w:cs="Arial" w:eastAsia="Arial" w:hAnsi="Arial"/>
                  <w:sz w:val="18"/>
                  <w:szCs w:val="18"/>
                  <w:color w:val="000000"/>
                </w:rPr>
                <w:t>. (2)</w:t>
              </w:r>
            </w:hyperlink>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10.60</w:t>
            </w:r>
          </w:p>
        </w:tc>
        <w:tc>
          <w:tcPr>
            <w:tcW w:w="9740" w:type="dxa"/>
            <w:vAlign w:val="bottom"/>
            <w:gridSpan w:val="33"/>
          </w:tcPr>
          <w:p>
            <w:pPr>
              <w:spacing w:after="0"/>
              <w:rPr>
                <w:rFonts w:ascii="Arial" w:cs="Arial" w:eastAsia="Arial" w:hAnsi="Arial"/>
                <w:sz w:val="18"/>
                <w:szCs w:val="18"/>
                <w:color w:val="0000FF"/>
                <w:w w:val="93"/>
              </w:rPr>
            </w:pPr>
            <w:hyperlink r:id="rId184">
              <w:r>
                <w:rPr>
                  <w:rFonts w:ascii="Arial" w:cs="Arial" w:eastAsia="Arial" w:hAnsi="Arial"/>
                  <w:sz w:val="18"/>
                  <w:szCs w:val="18"/>
                  <w:color w:val="0000FF"/>
                  <w:w w:val="93"/>
                </w:rPr>
                <w:t>Form of Assumption Agreement for Incentive Awards under the Connecticut Water Service, Inc. 1994 Performance Stock Program,</w:t>
              </w:r>
            </w:hyperlink>
          </w:p>
        </w:tc>
      </w:tr>
      <w:tr>
        <w:trPr>
          <w:trHeight w:val="169"/>
        </w:trPr>
        <w:tc>
          <w:tcPr>
            <w:tcW w:w="1500" w:type="dxa"/>
            <w:vAlign w:val="bottom"/>
          </w:tcPr>
          <w:p>
            <w:pPr>
              <w:spacing w:after="0"/>
              <w:rPr>
                <w:sz w:val="14"/>
                <w:szCs w:val="14"/>
                <w:color w:val="auto"/>
              </w:rPr>
            </w:pPr>
          </w:p>
        </w:tc>
        <w:tc>
          <w:tcPr>
            <w:tcW w:w="9500" w:type="dxa"/>
            <w:vAlign w:val="bottom"/>
            <w:tcBorders>
              <w:top w:val="single" w:sz="8" w:color="0000FF"/>
            </w:tcBorders>
            <w:gridSpan w:val="24"/>
          </w:tcPr>
          <w:p>
            <w:pPr>
              <w:spacing w:after="0" w:line="169" w:lineRule="exact"/>
              <w:rPr>
                <w:rFonts w:ascii="Arial" w:cs="Arial" w:eastAsia="Arial" w:hAnsi="Arial"/>
                <w:sz w:val="18"/>
                <w:szCs w:val="18"/>
                <w:color w:val="0000FF"/>
                <w:w w:val="90"/>
              </w:rPr>
            </w:pPr>
            <w:hyperlink r:id="rId184">
              <w:r>
                <w:rPr>
                  <w:rFonts w:ascii="Arial" w:cs="Arial" w:eastAsia="Arial" w:hAnsi="Arial"/>
                  <w:sz w:val="18"/>
                  <w:szCs w:val="18"/>
                  <w:color w:val="0000FF"/>
                  <w:w w:val="90"/>
                </w:rPr>
                <w:t>2004 Performance Stock Program, and 2014 Performance Stock Program. Incorporated by reference to Exhibit 10.73 to Form 10-K</w:t>
              </w:r>
            </w:hyperlink>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83"/>
        </w:trPr>
        <w:tc>
          <w:tcPr>
            <w:tcW w:w="1500" w:type="dxa"/>
            <w:vAlign w:val="bottom"/>
          </w:tcPr>
          <w:p>
            <w:pPr>
              <w:spacing w:after="0"/>
              <w:rPr>
                <w:sz w:val="15"/>
                <w:szCs w:val="15"/>
                <w:color w:val="auto"/>
              </w:rPr>
            </w:pPr>
          </w:p>
        </w:tc>
        <w:tc>
          <w:tcPr>
            <w:tcW w:w="948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r:id="rId184">
              <w:r>
                <w:rPr>
                  <w:rFonts w:ascii="Arial" w:cs="Arial" w:eastAsia="Arial" w:hAnsi="Arial"/>
                  <w:sz w:val="18"/>
                  <w:szCs w:val="18"/>
                  <w:color w:val="0000FF"/>
                </w:rPr>
                <w:t>for the year ended December 31, 2019</w:t>
              </w:r>
              <w:r>
                <w:rPr>
                  <w:rFonts w:ascii="Arial" w:cs="Arial" w:eastAsia="Arial" w:hAnsi="Arial"/>
                  <w:sz w:val="18"/>
                  <w:szCs w:val="18"/>
                  <w:color w:val="000000"/>
                </w:rPr>
                <w:t>. (2)</w:t>
              </w:r>
            </w:hyperlink>
          </w:p>
        </w:tc>
        <w:tc>
          <w:tcPr>
            <w:tcW w:w="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1"/>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10.61</w:t>
            </w:r>
          </w:p>
        </w:tc>
        <w:tc>
          <w:tcPr>
            <w:tcW w:w="9220" w:type="dxa"/>
            <w:vAlign w:val="bottom"/>
            <w:tcBorders>
              <w:bottom w:val="single" w:sz="8" w:color="0000FF"/>
            </w:tcBorders>
            <w:gridSpan w:val="14"/>
          </w:tcPr>
          <w:p>
            <w:pPr>
              <w:spacing w:after="0"/>
              <w:rPr>
                <w:rFonts w:ascii="Arial" w:cs="Arial" w:eastAsia="Arial" w:hAnsi="Arial"/>
                <w:sz w:val="18"/>
                <w:szCs w:val="18"/>
                <w:color w:val="0000FF"/>
                <w:w w:val="89"/>
              </w:rPr>
            </w:pPr>
            <w:hyperlink r:id="rId185">
              <w:r>
                <w:rPr>
                  <w:rFonts w:ascii="Arial" w:cs="Arial" w:eastAsia="Arial" w:hAnsi="Arial"/>
                  <w:sz w:val="18"/>
                  <w:szCs w:val="18"/>
                  <w:color w:val="0000FF"/>
                  <w:w w:val="89"/>
                </w:rPr>
                <w:t>Amended and Restated Supplemental Executive Retirement Agreement dated January 24, 2008 between The Connecticut Water</w:t>
              </w:r>
            </w:hyperlink>
          </w:p>
        </w:tc>
        <w:tc>
          <w:tcPr>
            <w:tcW w:w="520" w:type="dxa"/>
            <w:vAlign w:val="bottom"/>
            <w:gridSpan w:val="19"/>
          </w:tcPr>
          <w:p>
            <w:pPr>
              <w:spacing w:after="0"/>
              <w:rPr>
                <w:sz w:val="24"/>
                <w:szCs w:val="24"/>
                <w:color w:val="auto"/>
              </w:rPr>
            </w:pPr>
          </w:p>
        </w:tc>
      </w:tr>
      <w:tr>
        <w:trPr>
          <w:trHeight w:val="183"/>
        </w:trPr>
        <w:tc>
          <w:tcPr>
            <w:tcW w:w="1500" w:type="dxa"/>
            <w:vAlign w:val="bottom"/>
          </w:tcPr>
          <w:p>
            <w:pPr>
              <w:spacing w:after="0"/>
              <w:rPr>
                <w:sz w:val="15"/>
                <w:szCs w:val="15"/>
                <w:color w:val="auto"/>
              </w:rPr>
            </w:pPr>
          </w:p>
        </w:tc>
        <w:tc>
          <w:tcPr>
            <w:tcW w:w="9740" w:type="dxa"/>
            <w:vAlign w:val="bottom"/>
            <w:gridSpan w:val="33"/>
          </w:tcPr>
          <w:p>
            <w:pPr>
              <w:spacing w:after="0" w:line="182" w:lineRule="exact"/>
              <w:rPr>
                <w:rFonts w:ascii="Arial" w:cs="Arial" w:eastAsia="Arial" w:hAnsi="Arial"/>
                <w:sz w:val="18"/>
                <w:szCs w:val="18"/>
                <w:color w:val="0000FF"/>
                <w:w w:val="91"/>
              </w:rPr>
            </w:pPr>
            <w:hyperlink r:id="rId185">
              <w:r>
                <w:rPr>
                  <w:rFonts w:ascii="Arial" w:cs="Arial" w:eastAsia="Arial" w:hAnsi="Arial"/>
                  <w:sz w:val="18"/>
                  <w:szCs w:val="18"/>
                  <w:color w:val="0000FF"/>
                  <w:w w:val="91"/>
                </w:rPr>
                <w:t xml:space="preserve">Company and Eric W. Thornburg. Incorporated by reference to Exhibit 10.73 to Form 10-K for the year ended December 31, 2020 </w:t>
              </w:r>
            </w:hyperlink>
            <w:r>
              <w:rPr>
                <w:rFonts w:ascii="Arial" w:cs="Arial" w:eastAsia="Arial" w:hAnsi="Arial"/>
                <w:sz w:val="18"/>
                <w:szCs w:val="18"/>
                <w:color w:val="000000"/>
                <w:w w:val="91"/>
              </w:rPr>
              <w:t>(2)</w:t>
            </w: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80" w:type="dxa"/>
            <w:vAlign w:val="bottom"/>
            <w:gridSpan w:val="5"/>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10.62</w:t>
            </w:r>
          </w:p>
        </w:tc>
        <w:tc>
          <w:tcPr>
            <w:tcW w:w="9740" w:type="dxa"/>
            <w:vAlign w:val="bottom"/>
            <w:gridSpan w:val="33"/>
          </w:tcPr>
          <w:p>
            <w:pPr>
              <w:spacing w:after="0"/>
              <w:rPr>
                <w:rFonts w:ascii="Arial" w:cs="Arial" w:eastAsia="Arial" w:hAnsi="Arial"/>
                <w:sz w:val="18"/>
                <w:szCs w:val="18"/>
                <w:color w:val="0000FF"/>
                <w:w w:val="92"/>
              </w:rPr>
            </w:pPr>
            <w:hyperlink r:id="rId186">
              <w:r>
                <w:rPr>
                  <w:rFonts w:ascii="Arial" w:cs="Arial" w:eastAsia="Arial" w:hAnsi="Arial"/>
                  <w:sz w:val="18"/>
                  <w:szCs w:val="18"/>
                  <w:color w:val="0000FF"/>
                  <w:w w:val="92"/>
                </w:rPr>
                <w:t>Amended and Restated Supplemental Executive Retirement Agreement dated November 15, 2017 between The Connecticut Water</w:t>
              </w:r>
            </w:hyperlink>
          </w:p>
        </w:tc>
      </w:tr>
      <w:tr>
        <w:trPr>
          <w:trHeight w:val="169"/>
        </w:trPr>
        <w:tc>
          <w:tcPr>
            <w:tcW w:w="1500" w:type="dxa"/>
            <w:vAlign w:val="bottom"/>
          </w:tcPr>
          <w:p>
            <w:pPr>
              <w:spacing w:after="0"/>
              <w:rPr>
                <w:sz w:val="14"/>
                <w:szCs w:val="14"/>
                <w:color w:val="auto"/>
              </w:rPr>
            </w:pPr>
          </w:p>
        </w:tc>
        <w:tc>
          <w:tcPr>
            <w:tcW w:w="9420" w:type="dxa"/>
            <w:vAlign w:val="bottom"/>
            <w:tcBorders>
              <w:top w:val="single" w:sz="8" w:color="0000FF"/>
            </w:tcBorders>
            <w:gridSpan w:val="19"/>
          </w:tcPr>
          <w:p>
            <w:pPr>
              <w:spacing w:after="0" w:line="169" w:lineRule="exact"/>
              <w:rPr>
                <w:rFonts w:ascii="Arial" w:cs="Arial" w:eastAsia="Arial" w:hAnsi="Arial"/>
                <w:sz w:val="18"/>
                <w:szCs w:val="18"/>
                <w:color w:val="0000FF"/>
                <w:w w:val="91"/>
              </w:rPr>
            </w:pPr>
            <w:hyperlink r:id="rId186">
              <w:r>
                <w:rPr>
                  <w:rFonts w:ascii="Arial" w:cs="Arial" w:eastAsia="Arial" w:hAnsi="Arial"/>
                  <w:sz w:val="18"/>
                  <w:szCs w:val="18"/>
                  <w:color w:val="0000FF"/>
                  <w:w w:val="91"/>
                </w:rPr>
                <w:t>Company and Maureen P. Westbrook. Incorporated by reference to Exhibit 10.74 to Form 10-K for the year ended December 31,</w:t>
              </w:r>
            </w:hyperlink>
          </w:p>
        </w:tc>
        <w:tc>
          <w:tcPr>
            <w:tcW w:w="20" w:type="dxa"/>
            <w:vAlign w:val="bottom"/>
          </w:tcPr>
          <w:p>
            <w:pPr>
              <w:spacing w:after="0"/>
              <w:rPr>
                <w:sz w:val="14"/>
                <w:szCs w:val="14"/>
                <w:color w:val="auto"/>
              </w:rPr>
            </w:pPr>
          </w:p>
        </w:tc>
        <w:tc>
          <w:tcPr>
            <w:tcW w:w="2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83"/>
        </w:trPr>
        <w:tc>
          <w:tcPr>
            <w:tcW w:w="1500" w:type="dxa"/>
            <w:vAlign w:val="bottom"/>
          </w:tcPr>
          <w:p>
            <w:pPr>
              <w:spacing w:after="0"/>
              <w:rPr>
                <w:sz w:val="15"/>
                <w:szCs w:val="15"/>
                <w:color w:val="auto"/>
              </w:rPr>
            </w:pPr>
          </w:p>
        </w:tc>
        <w:tc>
          <w:tcPr>
            <w:tcW w:w="1160" w:type="dxa"/>
            <w:vAlign w:val="bottom"/>
            <w:tcBorders>
              <w:top w:val="single" w:sz="8" w:color="0000FF"/>
            </w:tcBorders>
            <w:gridSpan w:val="3"/>
          </w:tcPr>
          <w:p>
            <w:pPr>
              <w:spacing w:after="0" w:line="182" w:lineRule="exact"/>
              <w:rPr>
                <w:rFonts w:ascii="Arial" w:cs="Arial" w:eastAsia="Arial" w:hAnsi="Arial"/>
                <w:sz w:val="18"/>
                <w:szCs w:val="18"/>
                <w:color w:val="0000FF"/>
              </w:rPr>
            </w:pPr>
            <w:hyperlink r:id="rId186">
              <w:r>
                <w:rPr>
                  <w:rFonts w:ascii="Arial" w:cs="Arial" w:eastAsia="Arial" w:hAnsi="Arial"/>
                  <w:sz w:val="18"/>
                  <w:szCs w:val="18"/>
                  <w:color w:val="0000FF"/>
                </w:rPr>
                <w:t>2019</w:t>
              </w:r>
              <w:r>
                <w:rPr>
                  <w:rFonts w:ascii="Arial" w:cs="Arial" w:eastAsia="Arial" w:hAnsi="Arial"/>
                  <w:sz w:val="18"/>
                  <w:szCs w:val="18"/>
                  <w:color w:val="000000"/>
                </w:rPr>
                <w:t>. (2)</w:t>
              </w:r>
            </w:hyperlink>
          </w:p>
        </w:tc>
        <w:tc>
          <w:tcPr>
            <w:tcW w:w="240" w:type="dxa"/>
            <w:vAlign w:val="bottom"/>
            <w:tcBorders>
              <w:top w:val="single" w:sz="8" w:color="0000FF"/>
            </w:tcBorders>
          </w:tcPr>
          <w:p>
            <w:pPr>
              <w:spacing w:after="0"/>
              <w:rPr>
                <w:sz w:val="15"/>
                <w:szCs w:val="15"/>
                <w:color w:val="auto"/>
              </w:rPr>
            </w:pPr>
          </w:p>
        </w:tc>
        <w:tc>
          <w:tcPr>
            <w:tcW w:w="1360" w:type="dxa"/>
            <w:vAlign w:val="bottom"/>
            <w:tcBorders>
              <w:top w:val="single" w:sz="8" w:color="0000FF"/>
            </w:tcBorders>
          </w:tcPr>
          <w:p>
            <w:pPr>
              <w:spacing w:after="0"/>
              <w:rPr>
                <w:sz w:val="15"/>
                <w:szCs w:val="15"/>
                <w:color w:val="auto"/>
              </w:rPr>
            </w:pPr>
          </w:p>
        </w:tc>
        <w:tc>
          <w:tcPr>
            <w:tcW w:w="2960" w:type="dxa"/>
            <w:vAlign w:val="bottom"/>
            <w:tcBorders>
              <w:top w:val="single" w:sz="8" w:color="0000FF"/>
            </w:tcBorders>
          </w:tcPr>
          <w:p>
            <w:pPr>
              <w:spacing w:after="0"/>
              <w:rPr>
                <w:sz w:val="15"/>
                <w:szCs w:val="15"/>
                <w:color w:val="auto"/>
              </w:rPr>
            </w:pPr>
          </w:p>
        </w:tc>
        <w:tc>
          <w:tcPr>
            <w:tcW w:w="1180" w:type="dxa"/>
            <w:vAlign w:val="bottom"/>
            <w:tcBorders>
              <w:top w:val="single" w:sz="8" w:color="0000FF"/>
            </w:tcBorders>
          </w:tcPr>
          <w:p>
            <w:pPr>
              <w:spacing w:after="0"/>
              <w:rPr>
                <w:sz w:val="15"/>
                <w:szCs w:val="15"/>
                <w:color w:val="auto"/>
              </w:rPr>
            </w:pPr>
          </w:p>
        </w:tc>
        <w:tc>
          <w:tcPr>
            <w:tcW w:w="14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80" w:type="dxa"/>
            <w:vAlign w:val="bottom"/>
            <w:gridSpan w:val="5"/>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1"/>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10.63</w:t>
            </w:r>
          </w:p>
        </w:tc>
        <w:tc>
          <w:tcPr>
            <w:tcW w:w="9740" w:type="dxa"/>
            <w:vAlign w:val="bottom"/>
            <w:gridSpan w:val="33"/>
          </w:tcPr>
          <w:p>
            <w:pPr>
              <w:spacing w:after="0"/>
              <w:rPr>
                <w:rFonts w:ascii="Arial" w:cs="Arial" w:eastAsia="Arial" w:hAnsi="Arial"/>
                <w:sz w:val="18"/>
                <w:szCs w:val="18"/>
                <w:color w:val="0000FF"/>
                <w:w w:val="92"/>
              </w:rPr>
            </w:pPr>
            <w:hyperlink r:id="rId187">
              <w:r>
                <w:rPr>
                  <w:rFonts w:ascii="Arial" w:cs="Arial" w:eastAsia="Arial" w:hAnsi="Arial"/>
                  <w:sz w:val="18"/>
                  <w:szCs w:val="18"/>
                  <w:color w:val="0000FF"/>
                  <w:w w:val="92"/>
                </w:rPr>
                <w:t>Amended and Restated Supplemental Executive Retirement Agreement dated November 15, 2017 between The Connecticut Water</w:t>
              </w:r>
            </w:hyperlink>
          </w:p>
        </w:tc>
      </w:tr>
      <w:tr>
        <w:trPr>
          <w:trHeight w:val="169"/>
        </w:trPr>
        <w:tc>
          <w:tcPr>
            <w:tcW w:w="1500" w:type="dxa"/>
            <w:vAlign w:val="bottom"/>
          </w:tcPr>
          <w:p>
            <w:pPr>
              <w:spacing w:after="0"/>
              <w:rPr>
                <w:sz w:val="14"/>
                <w:szCs w:val="14"/>
                <w:color w:val="auto"/>
              </w:rPr>
            </w:pPr>
          </w:p>
        </w:tc>
        <w:tc>
          <w:tcPr>
            <w:tcW w:w="9440" w:type="dxa"/>
            <w:vAlign w:val="bottom"/>
            <w:tcBorders>
              <w:top w:val="single" w:sz="8" w:color="0000FF"/>
            </w:tcBorders>
            <w:gridSpan w:val="20"/>
          </w:tcPr>
          <w:p>
            <w:pPr>
              <w:spacing w:after="0" w:line="169" w:lineRule="exact"/>
              <w:rPr>
                <w:rFonts w:ascii="Arial" w:cs="Arial" w:eastAsia="Arial" w:hAnsi="Arial"/>
                <w:sz w:val="18"/>
                <w:szCs w:val="18"/>
                <w:color w:val="0000FF"/>
                <w:w w:val="90"/>
              </w:rPr>
            </w:pPr>
            <w:hyperlink r:id="rId187">
              <w:r>
                <w:rPr>
                  <w:rFonts w:ascii="Arial" w:cs="Arial" w:eastAsia="Arial" w:hAnsi="Arial"/>
                  <w:sz w:val="18"/>
                  <w:szCs w:val="18"/>
                  <w:color w:val="0000FF"/>
                  <w:w w:val="90"/>
                </w:rPr>
                <w:t>Company and Kristen A. Johnson. Incorporated by reference to Exhibit 10.75 to Form 10-K for the year ended December 31, 2019</w:t>
              </w:r>
            </w:hyperlink>
          </w:p>
        </w:tc>
        <w:tc>
          <w:tcPr>
            <w:tcW w:w="80" w:type="dxa"/>
            <w:vAlign w:val="bottom"/>
            <w:gridSpan w:val="5"/>
          </w:tcPr>
          <w:p>
            <w:pPr>
              <w:jc w:val="right"/>
              <w:ind w:right="60"/>
              <w:spacing w:after="0"/>
              <w:rPr>
                <w:sz w:val="20"/>
                <w:szCs w:val="20"/>
                <w:color w:val="auto"/>
              </w:rPr>
            </w:pPr>
            <w:r>
              <w:rPr>
                <w:rFonts w:ascii="Arial" w:cs="Arial" w:eastAsia="Arial" w:hAnsi="Arial"/>
                <w:sz w:val="1"/>
                <w:szCs w:val="1"/>
                <w:color w:val="auto"/>
                <w:w w:val="4294967279"/>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24"/>
        </w:trPr>
        <w:tc>
          <w:tcPr>
            <w:tcW w:w="1500" w:type="dxa"/>
            <w:vAlign w:val="bottom"/>
          </w:tcPr>
          <w:p>
            <w:pPr>
              <w:spacing w:after="0"/>
              <w:rPr>
                <w:sz w:val="19"/>
                <w:szCs w:val="19"/>
                <w:color w:val="auto"/>
              </w:rPr>
            </w:pPr>
          </w:p>
        </w:tc>
        <w:tc>
          <w:tcPr>
            <w:tcW w:w="36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(2)</w:t>
            </w:r>
          </w:p>
        </w:tc>
        <w:tc>
          <w:tcPr>
            <w:tcW w:w="260" w:type="dxa"/>
            <w:vAlign w:val="bottom"/>
            <w:tcBorders>
              <w:top w:val="single" w:sz="8" w:color="0000FF"/>
            </w:tcBorders>
          </w:tcPr>
          <w:p>
            <w:pPr>
              <w:spacing w:after="0"/>
              <w:rPr>
                <w:sz w:val="19"/>
                <w:szCs w:val="19"/>
                <w:color w:val="auto"/>
              </w:rPr>
            </w:pPr>
          </w:p>
        </w:tc>
        <w:tc>
          <w:tcPr>
            <w:tcW w:w="54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1360" w:type="dxa"/>
            <w:vAlign w:val="bottom"/>
            <w:tcBorders>
              <w:top w:val="single" w:sz="8" w:color="0000FF"/>
            </w:tcBorders>
          </w:tcPr>
          <w:p>
            <w:pPr>
              <w:spacing w:after="0"/>
              <w:rPr>
                <w:sz w:val="19"/>
                <w:szCs w:val="19"/>
                <w:color w:val="auto"/>
              </w:rPr>
            </w:pPr>
          </w:p>
        </w:tc>
        <w:tc>
          <w:tcPr>
            <w:tcW w:w="2960" w:type="dxa"/>
            <w:vAlign w:val="bottom"/>
            <w:tcBorders>
              <w:top w:val="single" w:sz="8" w:color="0000FF"/>
            </w:tcBorders>
          </w:tcPr>
          <w:p>
            <w:pPr>
              <w:spacing w:after="0"/>
              <w:rPr>
                <w:sz w:val="19"/>
                <w:szCs w:val="19"/>
                <w:color w:val="auto"/>
              </w:rPr>
            </w:pPr>
          </w:p>
        </w:tc>
        <w:tc>
          <w:tcPr>
            <w:tcW w:w="1180" w:type="dxa"/>
            <w:vAlign w:val="bottom"/>
            <w:tcBorders>
              <w:top w:val="single" w:sz="8" w:color="0000FF"/>
            </w:tcBorders>
          </w:tcPr>
          <w:p>
            <w:pPr>
              <w:spacing w:after="0"/>
              <w:rPr>
                <w:sz w:val="19"/>
                <w:szCs w:val="19"/>
                <w:color w:val="auto"/>
              </w:rPr>
            </w:pPr>
          </w:p>
        </w:tc>
        <w:tc>
          <w:tcPr>
            <w:tcW w:w="148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50"/>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10.64</w:t>
            </w:r>
          </w:p>
        </w:tc>
        <w:tc>
          <w:tcPr>
            <w:tcW w:w="9740" w:type="dxa"/>
            <w:vAlign w:val="bottom"/>
            <w:gridSpan w:val="33"/>
          </w:tcPr>
          <w:p>
            <w:pPr>
              <w:spacing w:after="0"/>
              <w:rPr>
                <w:rFonts w:ascii="Arial" w:cs="Arial" w:eastAsia="Arial" w:hAnsi="Arial"/>
                <w:sz w:val="18"/>
                <w:szCs w:val="18"/>
                <w:color w:val="0000FF"/>
                <w:w w:val="91"/>
              </w:rPr>
            </w:pPr>
            <w:hyperlink r:id="rId188">
              <w:r>
                <w:rPr>
                  <w:rFonts w:ascii="Arial" w:cs="Arial" w:eastAsia="Arial" w:hAnsi="Arial"/>
                  <w:sz w:val="18"/>
                  <w:szCs w:val="18"/>
                  <w:color w:val="0000FF"/>
                  <w:w w:val="91"/>
                </w:rPr>
                <w:t>Amendment to the Amended and Restated Supplemental Executive Retirement Agreement effective as of November 1, 2019 between</w:t>
              </w:r>
            </w:hyperlink>
          </w:p>
        </w:tc>
      </w:tr>
      <w:tr>
        <w:trPr>
          <w:trHeight w:val="169"/>
        </w:trPr>
        <w:tc>
          <w:tcPr>
            <w:tcW w:w="1500" w:type="dxa"/>
            <w:vAlign w:val="bottom"/>
          </w:tcPr>
          <w:p>
            <w:pPr>
              <w:spacing w:after="0"/>
              <w:rPr>
                <w:sz w:val="14"/>
                <w:szCs w:val="14"/>
                <w:color w:val="auto"/>
              </w:rPr>
            </w:pPr>
          </w:p>
        </w:tc>
        <w:tc>
          <w:tcPr>
            <w:tcW w:w="9640" w:type="dxa"/>
            <w:vAlign w:val="bottom"/>
            <w:tcBorders>
              <w:top w:val="single" w:sz="8" w:color="0000FF"/>
              <w:bottom w:val="single" w:sz="8" w:color="0000FF"/>
            </w:tcBorders>
            <w:gridSpan w:val="28"/>
          </w:tcPr>
          <w:p>
            <w:pPr>
              <w:spacing w:after="0" w:line="169" w:lineRule="exact"/>
              <w:rPr>
                <w:rFonts w:ascii="Arial" w:cs="Arial" w:eastAsia="Arial" w:hAnsi="Arial"/>
                <w:sz w:val="18"/>
                <w:szCs w:val="18"/>
                <w:color w:val="0000FF"/>
                <w:w w:val="90"/>
              </w:rPr>
            </w:pPr>
            <w:hyperlink r:id="rId188">
              <w:r>
                <w:rPr>
                  <w:rFonts w:ascii="Arial" w:cs="Arial" w:eastAsia="Arial" w:hAnsi="Arial"/>
                  <w:sz w:val="18"/>
                  <w:szCs w:val="18"/>
                  <w:color w:val="0000FF"/>
                  <w:w w:val="90"/>
                </w:rPr>
                <w:t>Kristen A. Johnson and The Connecticut Water Company. Incorporated by reference to Exhibit 10.77 to Form 10-K for the year ended</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83"/>
        </w:trPr>
        <w:tc>
          <w:tcPr>
            <w:tcW w:w="1500" w:type="dxa"/>
            <w:vAlign w:val="bottom"/>
          </w:tcPr>
          <w:p>
            <w:pPr>
              <w:spacing w:after="0"/>
              <w:rPr>
                <w:sz w:val="15"/>
                <w:szCs w:val="15"/>
                <w:color w:val="auto"/>
              </w:rPr>
            </w:pPr>
          </w:p>
        </w:tc>
        <w:tc>
          <w:tcPr>
            <w:tcW w:w="9680" w:type="dxa"/>
            <w:vAlign w:val="bottom"/>
            <w:gridSpan w:val="30"/>
          </w:tcPr>
          <w:p>
            <w:pPr>
              <w:spacing w:after="0" w:line="182" w:lineRule="exact"/>
              <w:rPr>
                <w:rFonts w:ascii="Arial" w:cs="Arial" w:eastAsia="Arial" w:hAnsi="Arial"/>
                <w:sz w:val="18"/>
                <w:szCs w:val="18"/>
                <w:color w:val="0000FF"/>
              </w:rPr>
            </w:pPr>
            <w:hyperlink r:id="rId188">
              <w:r>
                <w:rPr>
                  <w:rFonts w:ascii="Arial" w:cs="Arial" w:eastAsia="Arial" w:hAnsi="Arial"/>
                  <w:sz w:val="18"/>
                  <w:szCs w:val="18"/>
                  <w:color w:val="0000FF"/>
                </w:rPr>
                <w:t>December 31, 2019</w:t>
              </w:r>
              <w:r>
                <w:rPr>
                  <w:rFonts w:ascii="Arial" w:cs="Arial" w:eastAsia="Arial" w:hAnsi="Arial"/>
                  <w:sz w:val="18"/>
                  <w:szCs w:val="18"/>
                  <w:color w:val="000000"/>
                </w:rPr>
                <w:t>. (2)</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5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50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10.65</w:t>
            </w:r>
          </w:p>
        </w:tc>
        <w:tc>
          <w:tcPr>
            <w:tcW w:w="9740" w:type="dxa"/>
            <w:vAlign w:val="bottom"/>
            <w:gridSpan w:val="33"/>
          </w:tcPr>
          <w:p>
            <w:pPr>
              <w:spacing w:after="0"/>
              <w:rPr>
                <w:rFonts w:ascii="Arial" w:cs="Arial" w:eastAsia="Arial" w:hAnsi="Arial"/>
                <w:sz w:val="18"/>
                <w:szCs w:val="18"/>
                <w:color w:val="0000FF"/>
                <w:w w:val="93"/>
              </w:rPr>
            </w:pPr>
            <w:hyperlink r:id="rId189">
              <w:r>
                <w:rPr>
                  <w:rFonts w:ascii="Arial" w:cs="Arial" w:eastAsia="Arial" w:hAnsi="Arial"/>
                  <w:sz w:val="18"/>
                  <w:szCs w:val="18"/>
                  <w:color w:val="0000FF"/>
                  <w:w w:val="93"/>
                </w:rPr>
                <w:t>Grantor Trust Agreement dated May 1, 2017, between Connecticut Water Service, Inc. and Matrix Trust Company. Incorporated by</w:t>
              </w:r>
            </w:hyperlink>
          </w:p>
        </w:tc>
      </w:tr>
      <w:tr>
        <w:trPr>
          <w:trHeight w:val="169"/>
        </w:trPr>
        <w:tc>
          <w:tcPr>
            <w:tcW w:w="1500" w:type="dxa"/>
            <w:vAlign w:val="bottom"/>
          </w:tcPr>
          <w:p>
            <w:pPr>
              <w:spacing w:after="0"/>
              <w:rPr>
                <w:sz w:val="14"/>
                <w:szCs w:val="14"/>
                <w:color w:val="auto"/>
              </w:rPr>
            </w:pPr>
          </w:p>
        </w:tc>
        <w:tc>
          <w:tcPr>
            <w:tcW w:w="9460" w:type="dxa"/>
            <w:vAlign w:val="bottom"/>
            <w:tcBorders>
              <w:top w:val="single" w:sz="8" w:color="0000FF"/>
            </w:tcBorders>
            <w:gridSpan w:val="22"/>
          </w:tcPr>
          <w:p>
            <w:pPr>
              <w:spacing w:after="0" w:line="169" w:lineRule="exact"/>
              <w:rPr>
                <w:rFonts w:ascii="Arial" w:cs="Arial" w:eastAsia="Arial" w:hAnsi="Arial"/>
                <w:sz w:val="18"/>
                <w:szCs w:val="18"/>
                <w:color w:val="0000FF"/>
              </w:rPr>
            </w:pPr>
            <w:hyperlink r:id="rId189">
              <w:r>
                <w:rPr>
                  <w:rFonts w:ascii="Arial" w:cs="Arial" w:eastAsia="Arial" w:hAnsi="Arial"/>
                  <w:sz w:val="18"/>
                  <w:szCs w:val="18"/>
                  <w:color w:val="0000FF"/>
                </w:rPr>
                <w:t>reference to Exhibit 10.78 to Form 10-K for the year ended December 31, 2019</w:t>
              </w:r>
              <w:r>
                <w:rPr>
                  <w:rFonts w:ascii="Arial" w:cs="Arial" w:eastAsia="Arial" w:hAnsi="Arial"/>
                  <w:sz w:val="18"/>
                  <w:szCs w:val="18"/>
                  <w:color w:val="000000"/>
                </w:rPr>
                <w:t>. (2)</w:t>
              </w:r>
            </w:hyperlink>
          </w:p>
        </w:tc>
        <w:tc>
          <w:tcPr>
            <w:tcW w:w="6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100" w:type="dxa"/>
            <w:vAlign w:val="bottom"/>
            <w:gridSpan w:val="4"/>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1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10.66</w:t>
            </w:r>
          </w:p>
        </w:tc>
        <w:tc>
          <w:tcPr>
            <w:tcW w:w="9740" w:type="dxa"/>
            <w:vAlign w:val="bottom"/>
            <w:gridSpan w:val="33"/>
          </w:tcPr>
          <w:p>
            <w:pPr>
              <w:spacing w:after="0"/>
              <w:rPr>
                <w:rFonts w:ascii="Arial" w:cs="Arial" w:eastAsia="Arial" w:hAnsi="Arial"/>
                <w:sz w:val="18"/>
                <w:szCs w:val="18"/>
                <w:color w:val="0000FF"/>
                <w:w w:val="95"/>
              </w:rPr>
            </w:pPr>
            <w:hyperlink r:id="rId190">
              <w:r>
                <w:rPr>
                  <w:rFonts w:ascii="Arial" w:cs="Arial" w:eastAsia="Arial" w:hAnsi="Arial"/>
                  <w:sz w:val="18"/>
                  <w:szCs w:val="18"/>
                  <w:color w:val="0000FF"/>
                  <w:w w:val="95"/>
                </w:rPr>
                <w:t>Deferred Compensation Agreement dated December 8, 2011 between The Connecticut Water Company and Eric W. Thornburg.</w:t>
              </w:r>
            </w:hyperlink>
          </w:p>
        </w:tc>
      </w:tr>
      <w:tr>
        <w:trPr>
          <w:trHeight w:val="183"/>
        </w:trPr>
        <w:tc>
          <w:tcPr>
            <w:tcW w:w="1500" w:type="dxa"/>
            <w:vAlign w:val="bottom"/>
          </w:tcPr>
          <w:p>
            <w:pPr>
              <w:spacing w:after="0"/>
              <w:rPr>
                <w:sz w:val="15"/>
                <w:szCs w:val="15"/>
                <w:color w:val="auto"/>
              </w:rPr>
            </w:pPr>
          </w:p>
        </w:tc>
        <w:tc>
          <w:tcPr>
            <w:tcW w:w="920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190">
              <w:r>
                <w:rPr>
                  <w:rFonts w:ascii="Arial" w:cs="Arial" w:eastAsia="Arial" w:hAnsi="Arial"/>
                  <w:sz w:val="18"/>
                  <w:szCs w:val="18"/>
                  <w:color w:val="0000FF"/>
                </w:rPr>
                <w:t>Incorporated by reference to Exhibit 10.78 to Form 10-K for the year ended December 31, 2020</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(2)</w:t>
            </w:r>
          </w:p>
        </w:tc>
        <w:tc>
          <w:tcPr>
            <w:tcW w:w="320" w:type="dxa"/>
            <w:vAlign w:val="bottom"/>
            <w:gridSpan w:val="1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5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280" w:type="dxa"/>
            <w:vAlign w:val="bottom"/>
            <w:gridSpan w:val="5"/>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gridSpan w:val="1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10.67</w:t>
            </w:r>
          </w:p>
        </w:tc>
        <w:tc>
          <w:tcPr>
            <w:tcW w:w="9740" w:type="dxa"/>
            <w:vAlign w:val="bottom"/>
            <w:gridSpan w:val="33"/>
          </w:tcPr>
          <w:p>
            <w:pPr>
              <w:spacing w:after="0"/>
              <w:rPr>
                <w:rFonts w:ascii="Arial" w:cs="Arial" w:eastAsia="Arial" w:hAnsi="Arial"/>
                <w:sz w:val="18"/>
                <w:szCs w:val="18"/>
                <w:color w:val="0000FF"/>
                <w:w w:val="90"/>
              </w:rPr>
            </w:pPr>
            <w:hyperlink r:id="rId191">
              <w:r>
                <w:rPr>
                  <w:rFonts w:ascii="Arial" w:cs="Arial" w:eastAsia="Arial" w:hAnsi="Arial"/>
                  <w:sz w:val="18"/>
                  <w:szCs w:val="18"/>
                  <w:color w:val="0000FF"/>
                  <w:w w:val="90"/>
                </w:rPr>
                <w:t>Amended and Restated Deferred Compensation Agreement, effective January 1, 2011, between The Connecticut Water Company and</w:t>
              </w:r>
            </w:hyperlink>
          </w:p>
        </w:tc>
      </w:tr>
      <w:tr>
        <w:trPr>
          <w:trHeight w:val="169"/>
        </w:trPr>
        <w:tc>
          <w:tcPr>
            <w:tcW w:w="1500" w:type="dxa"/>
            <w:vAlign w:val="bottom"/>
          </w:tcPr>
          <w:p>
            <w:pPr>
              <w:spacing w:after="0"/>
              <w:rPr>
                <w:sz w:val="14"/>
                <w:szCs w:val="14"/>
                <w:color w:val="auto"/>
              </w:rPr>
            </w:pPr>
          </w:p>
        </w:tc>
        <w:tc>
          <w:tcPr>
            <w:tcW w:w="9620" w:type="dxa"/>
            <w:vAlign w:val="bottom"/>
            <w:tcBorders>
              <w:top w:val="single" w:sz="8" w:color="0000FF"/>
            </w:tcBorders>
            <w:gridSpan w:val="27"/>
          </w:tcPr>
          <w:p>
            <w:pPr>
              <w:spacing w:after="0" w:line="169" w:lineRule="exact"/>
              <w:rPr>
                <w:rFonts w:ascii="Arial" w:cs="Arial" w:eastAsia="Arial" w:hAnsi="Arial"/>
                <w:sz w:val="18"/>
                <w:szCs w:val="18"/>
                <w:color w:val="0000FF"/>
                <w:w w:val="97"/>
              </w:rPr>
            </w:pPr>
            <w:hyperlink r:id="rId191">
              <w:r>
                <w:rPr>
                  <w:rFonts w:ascii="Arial" w:cs="Arial" w:eastAsia="Arial" w:hAnsi="Arial"/>
                  <w:sz w:val="18"/>
                  <w:szCs w:val="18"/>
                  <w:color w:val="0000FF"/>
                  <w:w w:val="97"/>
                </w:rPr>
                <w:t>Maureen P. Westbrook. Incorporated by reference to Exhibit 10.79 to Form 10-K for the year ended December 31, 2019</w:t>
              </w:r>
              <w:r>
                <w:rPr>
                  <w:rFonts w:ascii="Arial" w:cs="Arial" w:eastAsia="Arial" w:hAnsi="Arial"/>
                  <w:sz w:val="18"/>
                  <w:szCs w:val="18"/>
                  <w:color w:val="000000"/>
                  <w:w w:val="97"/>
                </w:rPr>
                <w:t>. (2)</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760" w:type="dxa"/>
            <w:vAlign w:val="bottom"/>
            <w:gridSpan w:val="6"/>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gridSpan w:val="1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10.68</w:t>
            </w:r>
          </w:p>
        </w:tc>
        <w:tc>
          <w:tcPr>
            <w:tcW w:w="9740" w:type="dxa"/>
            <w:vAlign w:val="bottom"/>
            <w:gridSpan w:val="33"/>
          </w:tcPr>
          <w:p>
            <w:pPr>
              <w:spacing w:after="0"/>
              <w:rPr>
                <w:rFonts w:ascii="Arial" w:cs="Arial" w:eastAsia="Arial" w:hAnsi="Arial"/>
                <w:sz w:val="18"/>
                <w:szCs w:val="18"/>
                <w:color w:val="0000FF"/>
                <w:w w:val="90"/>
              </w:rPr>
            </w:pPr>
            <w:hyperlink r:id="rId192">
              <w:r>
                <w:rPr>
                  <w:rFonts w:ascii="Arial" w:cs="Arial" w:eastAsia="Arial" w:hAnsi="Arial"/>
                  <w:sz w:val="18"/>
                  <w:szCs w:val="18"/>
                  <w:color w:val="0000FF"/>
                  <w:w w:val="90"/>
                </w:rPr>
                <w:t>Amended and Restated Deferred Compensation Agreement, effective January 1, 2011, between The Connecticut Water Company and</w:t>
              </w:r>
            </w:hyperlink>
          </w:p>
        </w:tc>
      </w:tr>
      <w:tr>
        <w:trPr>
          <w:trHeight w:val="169"/>
        </w:trPr>
        <w:tc>
          <w:tcPr>
            <w:tcW w:w="1500" w:type="dxa"/>
            <w:vAlign w:val="bottom"/>
          </w:tcPr>
          <w:p>
            <w:pPr>
              <w:spacing w:after="0"/>
              <w:rPr>
                <w:sz w:val="14"/>
                <w:szCs w:val="14"/>
                <w:color w:val="auto"/>
              </w:rPr>
            </w:pPr>
          </w:p>
        </w:tc>
        <w:tc>
          <w:tcPr>
            <w:tcW w:w="9620" w:type="dxa"/>
            <w:vAlign w:val="bottom"/>
            <w:tcBorders>
              <w:top w:val="single" w:sz="8" w:color="0000FF"/>
            </w:tcBorders>
            <w:gridSpan w:val="27"/>
          </w:tcPr>
          <w:p>
            <w:pPr>
              <w:spacing w:after="0" w:line="169" w:lineRule="exact"/>
              <w:rPr>
                <w:rFonts w:ascii="Arial" w:cs="Arial" w:eastAsia="Arial" w:hAnsi="Arial"/>
                <w:sz w:val="18"/>
                <w:szCs w:val="18"/>
                <w:color w:val="0000FF"/>
              </w:rPr>
            </w:pPr>
            <w:hyperlink r:id="rId192">
              <w:r>
                <w:rPr>
                  <w:rFonts w:ascii="Arial" w:cs="Arial" w:eastAsia="Arial" w:hAnsi="Arial"/>
                  <w:sz w:val="18"/>
                  <w:szCs w:val="18"/>
                  <w:color w:val="0000FF"/>
                </w:rPr>
                <w:t>Kristen A. Johnson. Incorporated by reference to Exhibit 10.80 to Form 10-K for the year ended December 31, 2019</w:t>
              </w:r>
              <w:r>
                <w:rPr>
                  <w:rFonts w:ascii="Arial" w:cs="Arial" w:eastAsia="Arial" w:hAnsi="Arial"/>
                  <w:sz w:val="18"/>
                  <w:szCs w:val="18"/>
                  <w:color w:val="000000"/>
                </w:rPr>
                <w:t>. (2)</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760" w:type="dxa"/>
            <w:vAlign w:val="bottom"/>
            <w:gridSpan w:val="6"/>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60" w:type="dxa"/>
            <w:vAlign w:val="bottom"/>
            <w:gridSpan w:val="1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10.69</w:t>
            </w:r>
          </w:p>
        </w:tc>
        <w:tc>
          <w:tcPr>
            <w:tcW w:w="9740" w:type="dxa"/>
            <w:vAlign w:val="bottom"/>
            <w:gridSpan w:val="33"/>
          </w:tcPr>
          <w:p>
            <w:pPr>
              <w:spacing w:after="0"/>
              <w:rPr>
                <w:rFonts w:ascii="Arial" w:cs="Arial" w:eastAsia="Arial" w:hAnsi="Arial"/>
                <w:sz w:val="18"/>
                <w:szCs w:val="18"/>
                <w:color w:val="0000FF"/>
                <w:w w:val="90"/>
              </w:rPr>
            </w:pPr>
            <w:hyperlink r:id="rId193">
              <w:r>
                <w:rPr>
                  <w:rFonts w:ascii="Arial" w:cs="Arial" w:eastAsia="Arial" w:hAnsi="Arial"/>
                  <w:sz w:val="18"/>
                  <w:szCs w:val="18"/>
                  <w:color w:val="0000FF"/>
                  <w:w w:val="90"/>
                </w:rPr>
                <w:t>First Amendment to the Amended and Restated Deferred Compensation Agreement, dated as of December 1, 2011, among Kristen A.</w:t>
              </w:r>
            </w:hyperlink>
          </w:p>
        </w:tc>
      </w:tr>
      <w:tr>
        <w:trPr>
          <w:trHeight w:val="169"/>
        </w:trPr>
        <w:tc>
          <w:tcPr>
            <w:tcW w:w="1500" w:type="dxa"/>
            <w:vAlign w:val="bottom"/>
          </w:tcPr>
          <w:p>
            <w:pPr>
              <w:spacing w:after="0"/>
              <w:rPr>
                <w:sz w:val="14"/>
                <w:szCs w:val="14"/>
                <w:color w:val="auto"/>
              </w:rPr>
            </w:pPr>
          </w:p>
        </w:tc>
        <w:tc>
          <w:tcPr>
            <w:tcW w:w="9660" w:type="dxa"/>
            <w:vAlign w:val="bottom"/>
            <w:tcBorders>
              <w:top w:val="single" w:sz="8" w:color="0000FF"/>
            </w:tcBorders>
            <w:gridSpan w:val="29"/>
          </w:tcPr>
          <w:p>
            <w:pPr>
              <w:spacing w:after="0" w:line="169" w:lineRule="exact"/>
              <w:rPr>
                <w:rFonts w:ascii="Arial" w:cs="Arial" w:eastAsia="Arial" w:hAnsi="Arial"/>
                <w:sz w:val="18"/>
                <w:szCs w:val="18"/>
                <w:color w:val="0000FF"/>
                <w:w w:val="90"/>
              </w:rPr>
            </w:pPr>
            <w:hyperlink r:id="rId193">
              <w:r>
                <w:rPr>
                  <w:rFonts w:ascii="Arial" w:cs="Arial" w:eastAsia="Arial" w:hAnsi="Arial"/>
                  <w:sz w:val="18"/>
                  <w:szCs w:val="18"/>
                  <w:color w:val="0000FF"/>
                  <w:w w:val="90"/>
                </w:rPr>
                <w:t>Johnson and The Connecticut Water Company. Incorporated by reference to Exhibit 10.82 to Form 10-K for the year ended December</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83"/>
        </w:trPr>
        <w:tc>
          <w:tcPr>
            <w:tcW w:w="1500" w:type="dxa"/>
            <w:vAlign w:val="bottom"/>
          </w:tcPr>
          <w:p>
            <w:pPr>
              <w:spacing w:after="0"/>
              <w:rPr>
                <w:sz w:val="15"/>
                <w:szCs w:val="15"/>
                <w:color w:val="auto"/>
              </w:rPr>
            </w:pPr>
          </w:p>
        </w:tc>
        <w:tc>
          <w:tcPr>
            <w:tcW w:w="1160" w:type="dxa"/>
            <w:vAlign w:val="bottom"/>
            <w:tcBorders>
              <w:top w:val="single" w:sz="8" w:color="0000FF"/>
            </w:tcBorders>
            <w:gridSpan w:val="3"/>
          </w:tcPr>
          <w:p>
            <w:pPr>
              <w:spacing w:after="0" w:line="182" w:lineRule="exact"/>
              <w:rPr>
                <w:rFonts w:ascii="Arial" w:cs="Arial" w:eastAsia="Arial" w:hAnsi="Arial"/>
                <w:sz w:val="18"/>
                <w:szCs w:val="18"/>
                <w:color w:val="0000FF"/>
              </w:rPr>
            </w:pPr>
            <w:hyperlink r:id="rId193">
              <w:r>
                <w:rPr>
                  <w:rFonts w:ascii="Arial" w:cs="Arial" w:eastAsia="Arial" w:hAnsi="Arial"/>
                  <w:sz w:val="18"/>
                  <w:szCs w:val="18"/>
                  <w:color w:val="0000FF"/>
                </w:rPr>
                <w:t>31, 2019</w:t>
              </w:r>
              <w:r>
                <w:rPr>
                  <w:rFonts w:ascii="Arial" w:cs="Arial" w:eastAsia="Arial" w:hAnsi="Arial"/>
                  <w:sz w:val="18"/>
                  <w:szCs w:val="18"/>
                  <w:color w:val="000000"/>
                </w:rPr>
                <w:t>. (2)</w:t>
              </w:r>
            </w:hyperlink>
          </w:p>
        </w:tc>
        <w:tc>
          <w:tcPr>
            <w:tcW w:w="240" w:type="dxa"/>
            <w:vAlign w:val="bottom"/>
            <w:tcBorders>
              <w:top w:val="single" w:sz="8" w:color="0000FF"/>
            </w:tcBorders>
          </w:tcPr>
          <w:p>
            <w:pPr>
              <w:spacing w:after="0"/>
              <w:rPr>
                <w:sz w:val="15"/>
                <w:szCs w:val="15"/>
                <w:color w:val="auto"/>
              </w:rPr>
            </w:pPr>
          </w:p>
        </w:tc>
        <w:tc>
          <w:tcPr>
            <w:tcW w:w="1360" w:type="dxa"/>
            <w:vAlign w:val="bottom"/>
            <w:tcBorders>
              <w:top w:val="single" w:sz="8" w:color="0000FF"/>
            </w:tcBorders>
          </w:tcPr>
          <w:p>
            <w:pPr>
              <w:spacing w:after="0"/>
              <w:rPr>
                <w:sz w:val="15"/>
                <w:szCs w:val="15"/>
                <w:color w:val="auto"/>
              </w:rPr>
            </w:pPr>
          </w:p>
        </w:tc>
        <w:tc>
          <w:tcPr>
            <w:tcW w:w="2960" w:type="dxa"/>
            <w:vAlign w:val="bottom"/>
            <w:tcBorders>
              <w:top w:val="single" w:sz="8" w:color="0000FF"/>
            </w:tcBorders>
          </w:tcPr>
          <w:p>
            <w:pPr>
              <w:spacing w:after="0"/>
              <w:rPr>
                <w:sz w:val="15"/>
                <w:szCs w:val="15"/>
                <w:color w:val="auto"/>
              </w:rPr>
            </w:pPr>
          </w:p>
        </w:tc>
        <w:tc>
          <w:tcPr>
            <w:tcW w:w="1180" w:type="dxa"/>
            <w:vAlign w:val="bottom"/>
            <w:tcBorders>
              <w:top w:val="single" w:sz="8" w:color="0000FF"/>
            </w:tcBorders>
          </w:tcPr>
          <w:p>
            <w:pPr>
              <w:spacing w:after="0"/>
              <w:rPr>
                <w:sz w:val="15"/>
                <w:szCs w:val="15"/>
                <w:color w:val="auto"/>
              </w:rPr>
            </w:pPr>
          </w:p>
        </w:tc>
        <w:tc>
          <w:tcPr>
            <w:tcW w:w="14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5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440" w:type="dxa"/>
            <w:vAlign w:val="bottom"/>
            <w:gridSpan w:val="9"/>
          </w:tcPr>
          <w:p>
            <w:pPr>
              <w:spacing w:after="0" w:line="20" w:lineRule="exact"/>
              <w:rPr>
                <w:sz w:val="1"/>
                <w:szCs w:val="1"/>
                <w:color w:val="auto"/>
              </w:rPr>
            </w:pPr>
          </w:p>
        </w:tc>
        <w:tc>
          <w:tcPr>
            <w:tcW w:w="460" w:type="dxa"/>
            <w:vAlign w:val="bottom"/>
            <w:gridSpan w:val="1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10.70</w:t>
            </w:r>
          </w:p>
        </w:tc>
        <w:tc>
          <w:tcPr>
            <w:tcW w:w="9740" w:type="dxa"/>
            <w:vAlign w:val="bottom"/>
            <w:gridSpan w:val="33"/>
          </w:tcPr>
          <w:p>
            <w:pPr>
              <w:spacing w:after="0"/>
              <w:rPr>
                <w:rFonts w:ascii="Arial" w:cs="Arial" w:eastAsia="Arial" w:hAnsi="Arial"/>
                <w:sz w:val="18"/>
                <w:szCs w:val="18"/>
                <w:color w:val="0000FF"/>
                <w:w w:val="89"/>
              </w:rPr>
            </w:pPr>
            <w:hyperlink r:id="rId194">
              <w:r>
                <w:rPr>
                  <w:rFonts w:ascii="Arial" w:cs="Arial" w:eastAsia="Arial" w:hAnsi="Arial"/>
                  <w:sz w:val="18"/>
                  <w:szCs w:val="18"/>
                  <w:color w:val="0000FF"/>
                  <w:w w:val="89"/>
                </w:rPr>
                <w:t>First Amendment to the Amended and Restated Deferred Compensation Agreement, dated as of December 8, 2011, among Maureen P.</w:t>
              </w:r>
            </w:hyperlink>
          </w:p>
        </w:tc>
      </w:tr>
      <w:tr>
        <w:trPr>
          <w:trHeight w:val="169"/>
        </w:trPr>
        <w:tc>
          <w:tcPr>
            <w:tcW w:w="1500" w:type="dxa"/>
            <w:vAlign w:val="bottom"/>
          </w:tcPr>
          <w:p>
            <w:pPr>
              <w:spacing w:after="0"/>
              <w:rPr>
                <w:sz w:val="14"/>
                <w:szCs w:val="14"/>
                <w:color w:val="auto"/>
              </w:rPr>
            </w:pPr>
          </w:p>
        </w:tc>
        <w:tc>
          <w:tcPr>
            <w:tcW w:w="9700" w:type="dxa"/>
            <w:vAlign w:val="bottom"/>
            <w:tcBorders>
              <w:top w:val="single" w:sz="8" w:color="0000FF"/>
            </w:tcBorders>
            <w:gridSpan w:val="31"/>
          </w:tcPr>
          <w:p>
            <w:pPr>
              <w:spacing w:after="0" w:line="169" w:lineRule="exact"/>
              <w:rPr>
                <w:rFonts w:ascii="Arial" w:cs="Arial" w:eastAsia="Arial" w:hAnsi="Arial"/>
                <w:sz w:val="18"/>
                <w:szCs w:val="18"/>
                <w:color w:val="0000FF"/>
                <w:w w:val="96"/>
              </w:rPr>
            </w:pPr>
            <w:hyperlink r:id="rId194">
              <w:r>
                <w:rPr>
                  <w:rFonts w:ascii="Arial" w:cs="Arial" w:eastAsia="Arial" w:hAnsi="Arial"/>
                  <w:sz w:val="18"/>
                  <w:szCs w:val="18"/>
                  <w:color w:val="0000FF"/>
                  <w:w w:val="96"/>
                </w:rPr>
                <w:t>Westbrook and The Connecticut Water Company. Incorporated by reference to Exhibit 10.83 to Form 10-K for the year ended</w:t>
              </w:r>
            </w:hyperlink>
          </w:p>
        </w:tc>
        <w:tc>
          <w:tcPr>
            <w:tcW w:w="40" w:type="dxa"/>
            <w:vAlign w:val="bottom"/>
            <w:gridSpan w:val="2"/>
          </w:tcPr>
          <w:p>
            <w:pPr>
              <w:spacing w:after="0"/>
              <w:rPr>
                <w:sz w:val="14"/>
                <w:szCs w:val="14"/>
                <w:color w:val="auto"/>
              </w:rPr>
            </w:pPr>
          </w:p>
        </w:tc>
      </w:tr>
      <w:tr>
        <w:trPr>
          <w:trHeight w:val="183"/>
        </w:trPr>
        <w:tc>
          <w:tcPr>
            <w:tcW w:w="1500" w:type="dxa"/>
            <w:vAlign w:val="bottom"/>
          </w:tcPr>
          <w:p>
            <w:pPr>
              <w:spacing w:after="0"/>
              <w:rPr>
                <w:sz w:val="15"/>
                <w:szCs w:val="15"/>
                <w:color w:val="auto"/>
              </w:rPr>
            </w:pPr>
          </w:p>
        </w:tc>
        <w:tc>
          <w:tcPr>
            <w:tcW w:w="9060" w:type="dxa"/>
            <w:vAlign w:val="bottom"/>
            <w:tcBorders>
              <w:top w:val="single" w:sz="8" w:color="0000FF"/>
            </w:tcBorders>
            <w:gridSpan w:val="11"/>
          </w:tcPr>
          <w:p>
            <w:pPr>
              <w:spacing w:after="0" w:line="182" w:lineRule="exact"/>
              <w:rPr>
                <w:rFonts w:ascii="Arial" w:cs="Arial" w:eastAsia="Arial" w:hAnsi="Arial"/>
                <w:sz w:val="18"/>
                <w:szCs w:val="18"/>
                <w:color w:val="0000FF"/>
              </w:rPr>
            </w:pPr>
            <w:hyperlink r:id="rId194">
              <w:r>
                <w:rPr>
                  <w:rFonts w:ascii="Arial" w:cs="Arial" w:eastAsia="Arial" w:hAnsi="Arial"/>
                  <w:sz w:val="18"/>
                  <w:szCs w:val="18"/>
                  <w:color w:val="0000FF"/>
                </w:rPr>
                <w:t>December 31, 2019</w:t>
              </w:r>
              <w:r>
                <w:rPr>
                  <w:rFonts w:ascii="Arial" w:cs="Arial" w:eastAsia="Arial" w:hAnsi="Arial"/>
                  <w:sz w:val="18"/>
                  <w:szCs w:val="18"/>
                  <w:color w:val="000000"/>
                </w:rPr>
                <w:t>. (2)</w:t>
              </w:r>
            </w:hyperlink>
          </w:p>
        </w:tc>
        <w:tc>
          <w:tcPr>
            <w:tcW w:w="460" w:type="dxa"/>
            <w:vAlign w:val="bottom"/>
            <w:gridSpan w:val="14"/>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7"/>
          </w:tcPr>
          <w:p>
            <w:pPr>
              <w:spacing w:after="0"/>
              <w:rPr>
                <w:sz w:val="15"/>
                <w:szCs w:val="15"/>
                <w:color w:val="auto"/>
              </w:rPr>
            </w:pPr>
          </w:p>
        </w:tc>
      </w:tr>
      <w:tr>
        <w:trPr>
          <w:trHeight w:val="20"/>
        </w:trPr>
        <w:tc>
          <w:tcPr>
            <w:tcW w:w="1500" w:type="dxa"/>
            <w:vAlign w:val="bottom"/>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8120" w:type="dxa"/>
            <w:vAlign w:val="bottom"/>
            <w:gridSpan w:val="2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372"/>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10.71</w:t>
            </w:r>
          </w:p>
        </w:tc>
        <w:tc>
          <w:tcPr>
            <w:tcW w:w="9740" w:type="dxa"/>
            <w:vAlign w:val="bottom"/>
            <w:gridSpan w:val="33"/>
          </w:tcPr>
          <w:p>
            <w:pPr>
              <w:spacing w:after="0"/>
              <w:rPr>
                <w:rFonts w:ascii="Arial" w:cs="Arial" w:eastAsia="Arial" w:hAnsi="Arial"/>
                <w:sz w:val="18"/>
                <w:szCs w:val="18"/>
                <w:color w:val="0000FF"/>
                <w:w w:val="91"/>
              </w:rPr>
            </w:pPr>
            <w:hyperlink r:id="rId195">
              <w:r>
                <w:rPr>
                  <w:rFonts w:ascii="Arial" w:cs="Arial" w:eastAsia="Arial" w:hAnsi="Arial"/>
                  <w:sz w:val="18"/>
                  <w:szCs w:val="18"/>
                  <w:color w:val="0000FF"/>
                  <w:w w:val="91"/>
                </w:rPr>
                <w:t>Second Amendment to the Amended and Restated Deferred Compensation Agreement, dated as of December 21, 2016, between the</w:t>
              </w:r>
            </w:hyperlink>
          </w:p>
        </w:tc>
      </w:tr>
      <w:tr>
        <w:trPr>
          <w:trHeight w:val="169"/>
        </w:trPr>
        <w:tc>
          <w:tcPr>
            <w:tcW w:w="1500" w:type="dxa"/>
            <w:vAlign w:val="bottom"/>
          </w:tcPr>
          <w:p>
            <w:pPr>
              <w:spacing w:after="0"/>
              <w:rPr>
                <w:sz w:val="14"/>
                <w:szCs w:val="14"/>
                <w:color w:val="auto"/>
              </w:rPr>
            </w:pPr>
          </w:p>
        </w:tc>
        <w:tc>
          <w:tcPr>
            <w:tcW w:w="9520" w:type="dxa"/>
            <w:vAlign w:val="bottom"/>
            <w:tcBorders>
              <w:top w:val="single" w:sz="8" w:color="0000FF"/>
              <w:bottom w:val="single" w:sz="8" w:color="0000FF"/>
            </w:tcBorders>
            <w:gridSpan w:val="25"/>
          </w:tcPr>
          <w:p>
            <w:pPr>
              <w:spacing w:after="0" w:line="169" w:lineRule="exact"/>
              <w:rPr>
                <w:rFonts w:ascii="Arial" w:cs="Arial" w:eastAsia="Arial" w:hAnsi="Arial"/>
                <w:sz w:val="18"/>
                <w:szCs w:val="18"/>
                <w:color w:val="0000FF"/>
                <w:w w:val="89"/>
              </w:rPr>
            </w:pPr>
            <w:hyperlink r:id="rId195">
              <w:r>
                <w:rPr>
                  <w:rFonts w:ascii="Arial" w:cs="Arial" w:eastAsia="Arial" w:hAnsi="Arial"/>
                  <w:sz w:val="18"/>
                  <w:szCs w:val="18"/>
                  <w:color w:val="0000FF"/>
                  <w:w w:val="89"/>
                </w:rPr>
                <w:t>Connecticut Water Company and Maureen P. Westbrook. Incorporated by reference to Exhibit 10.85 to Form 10-K for the year ended</w:t>
              </w:r>
            </w:hyperlink>
          </w:p>
        </w:tc>
        <w:tc>
          <w:tcPr>
            <w:tcW w:w="80" w:type="dxa"/>
            <w:vAlign w:val="bottom"/>
            <w:tcBorders>
              <w:bottom w:val="single" w:sz="8" w:color="0000FF"/>
            </w:tcBorders>
          </w:tcPr>
          <w:p>
            <w:pPr>
              <w:spacing w:after="0"/>
              <w:rPr>
                <w:sz w:val="14"/>
                <w:szCs w:val="14"/>
                <w:color w:val="auto"/>
              </w:rPr>
            </w:pPr>
          </w:p>
        </w:tc>
        <w:tc>
          <w:tcPr>
            <w:tcW w:w="140" w:type="dxa"/>
            <w:vAlign w:val="bottom"/>
            <w:gridSpan w:val="7"/>
          </w:tcPr>
          <w:p>
            <w:pPr>
              <w:spacing w:after="0"/>
              <w:rPr>
                <w:sz w:val="14"/>
                <w:szCs w:val="14"/>
                <w:color w:val="auto"/>
              </w:rPr>
            </w:pPr>
          </w:p>
        </w:tc>
      </w:tr>
      <w:tr>
        <w:trPr>
          <w:trHeight w:val="183"/>
        </w:trPr>
        <w:tc>
          <w:tcPr>
            <w:tcW w:w="1500" w:type="dxa"/>
            <w:vAlign w:val="bottom"/>
          </w:tcPr>
          <w:p>
            <w:pPr>
              <w:spacing w:after="0"/>
              <w:rPr>
                <w:sz w:val="15"/>
                <w:szCs w:val="15"/>
                <w:color w:val="auto"/>
              </w:rPr>
            </w:pPr>
          </w:p>
        </w:tc>
        <w:tc>
          <w:tcPr>
            <w:tcW w:w="9600" w:type="dxa"/>
            <w:vAlign w:val="bottom"/>
            <w:gridSpan w:val="26"/>
          </w:tcPr>
          <w:p>
            <w:pPr>
              <w:spacing w:after="0" w:line="182" w:lineRule="exact"/>
              <w:rPr>
                <w:rFonts w:ascii="Arial" w:cs="Arial" w:eastAsia="Arial" w:hAnsi="Arial"/>
                <w:sz w:val="18"/>
                <w:szCs w:val="18"/>
                <w:color w:val="0000FF"/>
              </w:rPr>
            </w:pPr>
            <w:hyperlink r:id="rId195">
              <w:r>
                <w:rPr>
                  <w:rFonts w:ascii="Arial" w:cs="Arial" w:eastAsia="Arial" w:hAnsi="Arial"/>
                  <w:sz w:val="18"/>
                  <w:szCs w:val="18"/>
                  <w:color w:val="0000FF"/>
                </w:rPr>
                <w:t>December 31, 2019</w:t>
              </w:r>
              <w:r>
                <w:rPr>
                  <w:rFonts w:ascii="Arial" w:cs="Arial" w:eastAsia="Arial" w:hAnsi="Arial"/>
                  <w:sz w:val="18"/>
                  <w:szCs w:val="18"/>
                  <w:color w:val="000000"/>
                </w:rPr>
                <w:t>. (2)</w:t>
              </w:r>
            </w:hyperlink>
          </w:p>
        </w:tc>
        <w:tc>
          <w:tcPr>
            <w:tcW w:w="140" w:type="dxa"/>
            <w:vAlign w:val="bottom"/>
            <w:gridSpan w:val="7"/>
          </w:tcPr>
          <w:p>
            <w:pPr>
              <w:spacing w:after="0"/>
              <w:rPr>
                <w:sz w:val="15"/>
                <w:szCs w:val="15"/>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0" w:right="35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10.72</w:t>
            </w:r>
          </w:p>
        </w:tc>
        <w:tc>
          <w:tcPr>
            <w:tcW w:w="9740" w:type="dxa"/>
            <w:vAlign w:val="bottom"/>
            <w:gridSpan w:val="38"/>
          </w:tcPr>
          <w:p>
            <w:pPr>
              <w:spacing w:after="0"/>
              <w:rPr>
                <w:rFonts w:ascii="Arial" w:cs="Arial" w:eastAsia="Arial" w:hAnsi="Arial"/>
                <w:sz w:val="18"/>
                <w:szCs w:val="18"/>
                <w:color w:val="0000FF"/>
                <w:w w:val="91"/>
              </w:rPr>
            </w:pPr>
            <w:hyperlink r:id="rId197">
              <w:r>
                <w:rPr>
                  <w:rFonts w:ascii="Arial" w:cs="Arial" w:eastAsia="Arial" w:hAnsi="Arial"/>
                  <w:sz w:val="18"/>
                  <w:szCs w:val="18"/>
                  <w:color w:val="0000FF"/>
                  <w:w w:val="91"/>
                </w:rPr>
                <w:t>Second Amendment to the Amended and Restated Deferred Compensation Agreement, dated as of December 20, 2016, between the</w:t>
              </w:r>
            </w:hyperlink>
          </w:p>
        </w:tc>
      </w:tr>
      <w:tr>
        <w:trPr>
          <w:trHeight w:val="169"/>
        </w:trPr>
        <w:tc>
          <w:tcPr>
            <w:tcW w:w="1500" w:type="dxa"/>
            <w:vAlign w:val="bottom"/>
          </w:tcPr>
          <w:p>
            <w:pPr>
              <w:spacing w:after="0"/>
              <w:rPr>
                <w:sz w:val="14"/>
                <w:szCs w:val="14"/>
                <w:color w:val="auto"/>
              </w:rPr>
            </w:pPr>
          </w:p>
        </w:tc>
        <w:tc>
          <w:tcPr>
            <w:tcW w:w="9520" w:type="dxa"/>
            <w:vAlign w:val="bottom"/>
            <w:tcBorders>
              <w:top w:val="single" w:sz="8" w:color="0000FF"/>
            </w:tcBorders>
            <w:gridSpan w:val="28"/>
          </w:tcPr>
          <w:p>
            <w:pPr>
              <w:spacing w:after="0" w:line="169" w:lineRule="exact"/>
              <w:rPr>
                <w:rFonts w:ascii="Arial" w:cs="Arial" w:eastAsia="Arial" w:hAnsi="Arial"/>
                <w:sz w:val="18"/>
                <w:szCs w:val="18"/>
                <w:color w:val="0000FF"/>
                <w:w w:val="92"/>
              </w:rPr>
            </w:pPr>
            <w:hyperlink r:id="rId197">
              <w:r>
                <w:rPr>
                  <w:rFonts w:ascii="Arial" w:cs="Arial" w:eastAsia="Arial" w:hAnsi="Arial"/>
                  <w:sz w:val="18"/>
                  <w:szCs w:val="18"/>
                  <w:color w:val="0000FF"/>
                  <w:w w:val="92"/>
                </w:rPr>
                <w:t>Connecticut Water Company and Kristen A. Johnson. Incorporated by reference to Exhibit 10.86 to Form 10-K for the year ended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1500" w:type="dxa"/>
            <w:vAlign w:val="bottom"/>
          </w:tcPr>
          <w:p>
            <w:pPr>
              <w:spacing w:after="0"/>
              <w:rPr>
                <w:sz w:val="15"/>
                <w:szCs w:val="15"/>
                <w:color w:val="auto"/>
              </w:rPr>
            </w:pPr>
          </w:p>
        </w:tc>
        <w:tc>
          <w:tcPr>
            <w:tcW w:w="9360" w:type="dxa"/>
            <w:vAlign w:val="bottom"/>
            <w:tcBorders>
              <w:top w:val="single" w:sz="8" w:color="0000FF"/>
            </w:tcBorders>
            <w:gridSpan w:val="20"/>
          </w:tcPr>
          <w:p>
            <w:pPr>
              <w:spacing w:after="0" w:line="182" w:lineRule="exact"/>
              <w:rPr>
                <w:rFonts w:ascii="Arial" w:cs="Arial" w:eastAsia="Arial" w:hAnsi="Arial"/>
                <w:sz w:val="18"/>
                <w:szCs w:val="18"/>
                <w:color w:val="0000FF"/>
              </w:rPr>
            </w:pPr>
            <w:hyperlink r:id="rId197">
              <w:r>
                <w:rPr>
                  <w:rFonts w:ascii="Arial" w:cs="Arial" w:eastAsia="Arial" w:hAnsi="Arial"/>
                  <w:sz w:val="18"/>
                  <w:szCs w:val="18"/>
                  <w:color w:val="0000FF"/>
                </w:rPr>
                <w:t>December 31, 2019</w:t>
              </w:r>
              <w:r>
                <w:rPr>
                  <w:rFonts w:ascii="Arial" w:cs="Arial" w:eastAsia="Arial" w:hAnsi="Arial"/>
                  <w:sz w:val="18"/>
                  <w:szCs w:val="18"/>
                  <w:color w:val="000000"/>
                </w:rPr>
                <w:t>. (2)</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10.73</w:t>
            </w:r>
          </w:p>
        </w:tc>
        <w:tc>
          <w:tcPr>
            <w:tcW w:w="9740" w:type="dxa"/>
            <w:vAlign w:val="bottom"/>
            <w:gridSpan w:val="38"/>
          </w:tcPr>
          <w:p>
            <w:pPr>
              <w:spacing w:after="0"/>
              <w:rPr>
                <w:rFonts w:ascii="Arial" w:cs="Arial" w:eastAsia="Arial" w:hAnsi="Arial"/>
                <w:sz w:val="18"/>
                <w:szCs w:val="18"/>
                <w:color w:val="0000FF"/>
                <w:w w:val="94"/>
              </w:rPr>
            </w:pPr>
            <w:hyperlink r:id="rId198">
              <w:r>
                <w:rPr>
                  <w:rFonts w:ascii="Arial" w:cs="Arial" w:eastAsia="Arial" w:hAnsi="Arial"/>
                  <w:sz w:val="18"/>
                  <w:szCs w:val="18"/>
                  <w:color w:val="0000FF"/>
                  <w:w w:val="94"/>
                </w:rPr>
                <w:t>Connecticut Water Company Deferred Compensation Plan, effective January 1, 2017. Incorporated by reference to Exhibit 10.1 to</w:t>
              </w:r>
            </w:hyperlink>
          </w:p>
        </w:tc>
      </w:tr>
      <w:tr>
        <w:trPr>
          <w:trHeight w:val="155"/>
        </w:trPr>
        <w:tc>
          <w:tcPr>
            <w:tcW w:w="1500" w:type="dxa"/>
            <w:vAlign w:val="bottom"/>
          </w:tcPr>
          <w:p>
            <w:pPr>
              <w:spacing w:after="0"/>
              <w:rPr>
                <w:sz w:val="13"/>
                <w:szCs w:val="13"/>
                <w:color w:val="auto"/>
              </w:rPr>
            </w:pPr>
          </w:p>
        </w:tc>
        <w:tc>
          <w:tcPr>
            <w:tcW w:w="938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98">
              <w:r>
                <w:rPr>
                  <w:rFonts w:ascii="Arial" w:cs="Arial" w:eastAsia="Arial" w:hAnsi="Arial"/>
                  <w:sz w:val="18"/>
                  <w:szCs w:val="18"/>
                  <w:color w:val="0000FF"/>
                </w:rPr>
                <w:t>Connecticut Water Service, Inc.’s Form 8-K filed on December 16, 2016</w:t>
              </w:r>
              <w:r>
                <w:rPr>
                  <w:rFonts w:ascii="Arial" w:cs="Arial" w:eastAsia="Arial" w:hAnsi="Arial"/>
                  <w:sz w:val="18"/>
                  <w:szCs w:val="18"/>
                  <w:color w:val="000000"/>
                </w:rPr>
                <w:t>. (2)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10.74</w:t>
            </w:r>
          </w:p>
        </w:tc>
        <w:tc>
          <w:tcPr>
            <w:tcW w:w="9740" w:type="dxa"/>
            <w:vAlign w:val="bottom"/>
            <w:gridSpan w:val="38"/>
          </w:tcPr>
          <w:p>
            <w:pPr>
              <w:spacing w:after="0"/>
              <w:rPr>
                <w:rFonts w:ascii="Arial" w:cs="Arial" w:eastAsia="Arial" w:hAnsi="Arial"/>
                <w:sz w:val="18"/>
                <w:szCs w:val="18"/>
                <w:color w:val="0000FF"/>
                <w:w w:val="90"/>
              </w:rPr>
            </w:pPr>
            <w:hyperlink r:id="rId199">
              <w:r>
                <w:rPr>
                  <w:rFonts w:ascii="Arial" w:cs="Arial" w:eastAsia="Arial" w:hAnsi="Arial"/>
                  <w:sz w:val="18"/>
                  <w:szCs w:val="18"/>
                  <w:color w:val="0000FF"/>
                  <w:w w:val="90"/>
                </w:rPr>
                <w:t>First Amendment, effective October 9, 2019, to the Connecticut Water Company Deferred Compensation Plan, dated January 1, 2017.</w:t>
              </w:r>
            </w:hyperlink>
          </w:p>
        </w:tc>
      </w:tr>
      <w:tr>
        <w:trPr>
          <w:trHeight w:val="169"/>
        </w:trPr>
        <w:tc>
          <w:tcPr>
            <w:tcW w:w="1500" w:type="dxa"/>
            <w:vAlign w:val="bottom"/>
          </w:tcPr>
          <w:p>
            <w:pPr>
              <w:spacing w:after="0"/>
              <w:rPr>
                <w:sz w:val="14"/>
                <w:szCs w:val="14"/>
                <w:color w:val="auto"/>
              </w:rPr>
            </w:pPr>
          </w:p>
        </w:tc>
        <w:tc>
          <w:tcPr>
            <w:tcW w:w="9700" w:type="dxa"/>
            <w:vAlign w:val="bottom"/>
            <w:tcBorders>
              <w:top w:val="single" w:sz="8" w:color="0000FF"/>
            </w:tcBorders>
            <w:gridSpan w:val="36"/>
          </w:tcPr>
          <w:p>
            <w:pPr>
              <w:spacing w:after="0" w:line="169" w:lineRule="exact"/>
              <w:rPr>
                <w:rFonts w:ascii="Arial" w:cs="Arial" w:eastAsia="Arial" w:hAnsi="Arial"/>
                <w:sz w:val="18"/>
                <w:szCs w:val="18"/>
                <w:color w:val="0000FF"/>
              </w:rPr>
            </w:pPr>
            <w:hyperlink r:id="rId199">
              <w:r>
                <w:rPr>
                  <w:rFonts w:ascii="Arial" w:cs="Arial" w:eastAsia="Arial" w:hAnsi="Arial"/>
                  <w:sz w:val="18"/>
                  <w:szCs w:val="18"/>
                  <w:color w:val="0000FF"/>
                </w:rPr>
                <w:t>Incorporated by reference to Exhibit 10.89 to Form 10-K for the year ended December 31, 2019</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500" w:type="dxa"/>
            <w:vAlign w:val="bottom"/>
          </w:tcPr>
          <w:p>
            <w:pPr>
              <w:spacing w:after="0"/>
              <w:rPr>
                <w:sz w:val="20"/>
                <w:szCs w:val="20"/>
                <w:color w:val="auto"/>
              </w:rPr>
            </w:pPr>
            <w:r>
              <w:rPr>
                <w:rFonts w:ascii="Arial" w:cs="Arial" w:eastAsia="Arial" w:hAnsi="Arial"/>
                <w:sz w:val="18"/>
                <w:szCs w:val="18"/>
                <w:color w:val="auto"/>
              </w:rPr>
              <w:t>10.75</w:t>
            </w:r>
          </w:p>
        </w:tc>
        <w:tc>
          <w:tcPr>
            <w:tcW w:w="9740" w:type="dxa"/>
            <w:vAlign w:val="bottom"/>
            <w:gridSpan w:val="38"/>
          </w:tcPr>
          <w:p>
            <w:pPr>
              <w:spacing w:after="0"/>
              <w:rPr>
                <w:rFonts w:ascii="Arial" w:cs="Arial" w:eastAsia="Arial" w:hAnsi="Arial"/>
                <w:sz w:val="18"/>
                <w:szCs w:val="18"/>
                <w:color w:val="0000FF"/>
                <w:w w:val="92"/>
              </w:rPr>
            </w:pPr>
            <w:hyperlink r:id="rId200">
              <w:r>
                <w:rPr>
                  <w:rFonts w:ascii="Arial" w:cs="Arial" w:eastAsia="Arial" w:hAnsi="Arial"/>
                  <w:sz w:val="18"/>
                  <w:szCs w:val="18"/>
                  <w:color w:val="0000FF"/>
                  <w:w w:val="92"/>
                </w:rPr>
                <w:t>Second Amendment, effective October 9, 2019, to the Connecticut Water Company Deferred Compensation Plan, dated January 1,</w:t>
              </w:r>
            </w:hyperlink>
          </w:p>
        </w:tc>
      </w:tr>
      <w:tr>
        <w:trPr>
          <w:trHeight w:val="169"/>
        </w:trPr>
        <w:tc>
          <w:tcPr>
            <w:tcW w:w="1500" w:type="dxa"/>
            <w:vAlign w:val="bottom"/>
          </w:tcPr>
          <w:p>
            <w:pPr>
              <w:spacing w:after="0"/>
              <w:rPr>
                <w:sz w:val="14"/>
                <w:szCs w:val="14"/>
                <w:color w:val="auto"/>
              </w:rPr>
            </w:pPr>
          </w:p>
        </w:tc>
        <w:tc>
          <w:tcPr>
            <w:tcW w:w="9460" w:type="dxa"/>
            <w:vAlign w:val="bottom"/>
            <w:tcBorders>
              <w:top w:val="single" w:sz="8" w:color="0000FF"/>
            </w:tcBorders>
            <w:gridSpan w:val="25"/>
          </w:tcPr>
          <w:p>
            <w:pPr>
              <w:spacing w:after="0" w:line="169" w:lineRule="exact"/>
              <w:rPr>
                <w:rFonts w:ascii="Arial" w:cs="Arial" w:eastAsia="Arial" w:hAnsi="Arial"/>
                <w:sz w:val="18"/>
                <w:szCs w:val="18"/>
                <w:color w:val="0000FF"/>
              </w:rPr>
            </w:pPr>
            <w:hyperlink r:id="rId200">
              <w:r>
                <w:rPr>
                  <w:rFonts w:ascii="Arial" w:cs="Arial" w:eastAsia="Arial" w:hAnsi="Arial"/>
                  <w:sz w:val="18"/>
                  <w:szCs w:val="18"/>
                  <w:color w:val="0000FF"/>
                </w:rPr>
                <w:t>2017. Incorporated by reference to Exhibit 10.90 to Form 10-K for the year ended December 31, 2019</w:t>
              </w:r>
              <w:r>
                <w:rPr>
                  <w:rFonts w:ascii="Arial" w:cs="Arial" w:eastAsia="Arial" w:hAnsi="Arial"/>
                  <w:sz w:val="18"/>
                  <w:szCs w:val="18"/>
                  <w:color w:val="000000"/>
                </w:rPr>
                <w:t>. (2)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500" w:type="dxa"/>
            <w:vAlign w:val="bottom"/>
          </w:tcPr>
          <w:p>
            <w:pPr>
              <w:spacing w:after="0"/>
              <w:rPr>
                <w:sz w:val="20"/>
                <w:szCs w:val="20"/>
                <w:color w:val="auto"/>
              </w:rPr>
            </w:pPr>
            <w:r>
              <w:rPr>
                <w:rFonts w:ascii="Arial" w:cs="Arial" w:eastAsia="Arial" w:hAnsi="Arial"/>
                <w:sz w:val="18"/>
                <w:szCs w:val="18"/>
                <w:color w:val="auto"/>
              </w:rPr>
              <w:t>10.76</w:t>
            </w:r>
          </w:p>
        </w:tc>
        <w:tc>
          <w:tcPr>
            <w:tcW w:w="9740" w:type="dxa"/>
            <w:vAlign w:val="bottom"/>
            <w:gridSpan w:val="38"/>
          </w:tcPr>
          <w:p>
            <w:pPr>
              <w:spacing w:after="0"/>
              <w:rPr>
                <w:rFonts w:ascii="Arial" w:cs="Arial" w:eastAsia="Arial" w:hAnsi="Arial"/>
                <w:sz w:val="18"/>
                <w:szCs w:val="18"/>
                <w:color w:val="0000FF"/>
                <w:w w:val="92"/>
              </w:rPr>
            </w:pPr>
            <w:hyperlink r:id="rId201">
              <w:r>
                <w:rPr>
                  <w:rFonts w:ascii="Arial" w:cs="Arial" w:eastAsia="Arial" w:hAnsi="Arial"/>
                  <w:sz w:val="18"/>
                  <w:szCs w:val="18"/>
                  <w:color w:val="0000FF"/>
                  <w:w w:val="92"/>
                </w:rPr>
                <w:t>Third Amendment, effective July 28, 2021, to the Connecticut Water Company Deferred Compensation Plan, dated January 1, 2017.</w:t>
              </w:r>
            </w:hyperlink>
          </w:p>
        </w:tc>
      </w:tr>
      <w:tr>
        <w:trPr>
          <w:trHeight w:val="169"/>
        </w:trPr>
        <w:tc>
          <w:tcPr>
            <w:tcW w:w="1500" w:type="dxa"/>
            <w:vAlign w:val="bottom"/>
          </w:tcPr>
          <w:p>
            <w:pPr>
              <w:spacing w:after="0"/>
              <w:rPr>
                <w:sz w:val="14"/>
                <w:szCs w:val="14"/>
                <w:color w:val="auto"/>
              </w:rPr>
            </w:pPr>
          </w:p>
        </w:tc>
        <w:tc>
          <w:tcPr>
            <w:tcW w:w="9540" w:type="dxa"/>
            <w:vAlign w:val="bottom"/>
            <w:tcBorders>
              <w:top w:val="single" w:sz="8" w:color="0000FF"/>
            </w:tcBorders>
            <w:gridSpan w:val="29"/>
          </w:tcPr>
          <w:p>
            <w:pPr>
              <w:spacing w:after="0" w:line="169" w:lineRule="exact"/>
              <w:rPr>
                <w:rFonts w:ascii="Arial" w:cs="Arial" w:eastAsia="Arial" w:hAnsi="Arial"/>
                <w:sz w:val="18"/>
                <w:szCs w:val="18"/>
                <w:color w:val="0000FF"/>
              </w:rPr>
            </w:pPr>
            <w:hyperlink r:id="rId201">
              <w:r>
                <w:rPr>
                  <w:rFonts w:ascii="Arial" w:cs="Arial" w:eastAsia="Arial" w:hAnsi="Arial"/>
                  <w:sz w:val="18"/>
                  <w:szCs w:val="18"/>
                  <w:color w:val="0000FF"/>
                </w:rPr>
                <w:t>Incorporated by reference as Exhibit 10.2 to Form 10-Q for the quarter ended June 30, 202</w:t>
              </w:r>
              <w:r>
                <w:rPr>
                  <w:rFonts w:ascii="Arial" w:cs="Arial" w:eastAsia="Arial" w:hAnsi="Arial"/>
                  <w:sz w:val="18"/>
                  <w:szCs w:val="18"/>
                  <w:color w:val="000000"/>
                </w:rPr>
                <w:t>1. (2)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500" w:type="dxa"/>
            <w:vAlign w:val="bottom"/>
          </w:tcPr>
          <w:p>
            <w:pPr>
              <w:spacing w:after="0"/>
              <w:rPr>
                <w:sz w:val="20"/>
                <w:szCs w:val="20"/>
                <w:color w:val="auto"/>
              </w:rPr>
            </w:pPr>
            <w:r>
              <w:rPr>
                <w:rFonts w:ascii="Arial" w:cs="Arial" w:eastAsia="Arial" w:hAnsi="Arial"/>
                <w:sz w:val="18"/>
                <w:szCs w:val="18"/>
                <w:color w:val="auto"/>
              </w:rPr>
              <w:t>10.77</w:t>
            </w:r>
          </w:p>
        </w:tc>
        <w:tc>
          <w:tcPr>
            <w:tcW w:w="9740" w:type="dxa"/>
            <w:vAlign w:val="bottom"/>
            <w:gridSpan w:val="38"/>
          </w:tcPr>
          <w:p>
            <w:pPr>
              <w:spacing w:after="0"/>
              <w:rPr>
                <w:rFonts w:ascii="Arial" w:cs="Arial" w:eastAsia="Arial" w:hAnsi="Arial"/>
                <w:sz w:val="18"/>
                <w:szCs w:val="18"/>
                <w:color w:val="0000FF"/>
                <w:w w:val="90"/>
              </w:rPr>
            </w:pPr>
            <w:hyperlink r:id="rId202">
              <w:r>
                <w:rPr>
                  <w:rFonts w:ascii="Arial" w:cs="Arial" w:eastAsia="Arial" w:hAnsi="Arial"/>
                  <w:sz w:val="18"/>
                  <w:szCs w:val="18"/>
                  <w:color w:val="0000FF"/>
                  <w:w w:val="90"/>
                </w:rPr>
                <w:t>Amended and Restated Employment Agreement, dated October 9, 2019, among The Connecticut Water Company, Connecticut Water</w:t>
              </w:r>
            </w:hyperlink>
          </w:p>
        </w:tc>
      </w:tr>
      <w:tr>
        <w:trPr>
          <w:trHeight w:val="169"/>
        </w:trPr>
        <w:tc>
          <w:tcPr>
            <w:tcW w:w="1500" w:type="dxa"/>
            <w:vAlign w:val="bottom"/>
          </w:tcPr>
          <w:p>
            <w:pPr>
              <w:spacing w:after="0"/>
              <w:rPr>
                <w:sz w:val="14"/>
                <w:szCs w:val="14"/>
                <w:color w:val="auto"/>
              </w:rPr>
            </w:pPr>
          </w:p>
        </w:tc>
        <w:tc>
          <w:tcPr>
            <w:tcW w:w="9620" w:type="dxa"/>
            <w:vAlign w:val="bottom"/>
            <w:tcBorders>
              <w:top w:val="single" w:sz="8" w:color="0000FF"/>
            </w:tcBorders>
            <w:gridSpan w:val="32"/>
          </w:tcPr>
          <w:p>
            <w:pPr>
              <w:spacing w:after="0" w:line="169" w:lineRule="exact"/>
              <w:rPr>
                <w:rFonts w:ascii="Arial" w:cs="Arial" w:eastAsia="Arial" w:hAnsi="Arial"/>
                <w:sz w:val="18"/>
                <w:szCs w:val="18"/>
                <w:color w:val="0000FF"/>
                <w:w w:val="91"/>
              </w:rPr>
            </w:pPr>
            <w:hyperlink r:id="rId202">
              <w:r>
                <w:rPr>
                  <w:rFonts w:ascii="Arial" w:cs="Arial" w:eastAsia="Arial" w:hAnsi="Arial"/>
                  <w:sz w:val="18"/>
                  <w:szCs w:val="18"/>
                  <w:color w:val="0000FF"/>
                  <w:w w:val="91"/>
                </w:rPr>
                <w:t>Service, Inc., and Maureen P. Westbrook. Incorporated by reference to Exhibit 10.93 to Form 10-K for the year ended December 31,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1500" w:type="dxa"/>
            <w:vAlign w:val="bottom"/>
          </w:tcPr>
          <w:p>
            <w:pPr>
              <w:spacing w:after="0"/>
              <w:rPr>
                <w:sz w:val="15"/>
                <w:szCs w:val="15"/>
                <w:color w:val="auto"/>
              </w:rPr>
            </w:pPr>
          </w:p>
        </w:tc>
        <w:tc>
          <w:tcPr>
            <w:tcW w:w="1200" w:type="dxa"/>
            <w:vAlign w:val="bottom"/>
            <w:tcBorders>
              <w:top w:val="single" w:sz="8" w:color="0000FF"/>
            </w:tcBorders>
            <w:gridSpan w:val="4"/>
          </w:tcPr>
          <w:p>
            <w:pPr>
              <w:spacing w:after="0" w:line="182" w:lineRule="exact"/>
              <w:rPr>
                <w:rFonts w:ascii="Arial" w:cs="Arial" w:eastAsia="Arial" w:hAnsi="Arial"/>
                <w:sz w:val="18"/>
                <w:szCs w:val="18"/>
                <w:color w:val="0000FF"/>
              </w:rPr>
            </w:pPr>
            <w:hyperlink r:id="rId202">
              <w:r>
                <w:rPr>
                  <w:rFonts w:ascii="Arial" w:cs="Arial" w:eastAsia="Arial" w:hAnsi="Arial"/>
                  <w:sz w:val="18"/>
                  <w:szCs w:val="18"/>
                  <w:color w:val="0000FF"/>
                </w:rPr>
                <w:t>2019</w:t>
              </w:r>
              <w:r>
                <w:rPr>
                  <w:rFonts w:ascii="Arial" w:cs="Arial" w:eastAsia="Arial" w:hAnsi="Arial"/>
                  <w:sz w:val="18"/>
                  <w:szCs w:val="18"/>
                  <w:color w:val="000000"/>
                </w:rPr>
                <w:t>. (2)</w:t>
              </w:r>
            </w:hyperlink>
          </w:p>
        </w:tc>
        <w:tc>
          <w:tcPr>
            <w:tcW w:w="20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92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118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146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10.78</w:t>
            </w:r>
          </w:p>
        </w:tc>
        <w:tc>
          <w:tcPr>
            <w:tcW w:w="9740" w:type="dxa"/>
            <w:vAlign w:val="bottom"/>
            <w:gridSpan w:val="38"/>
          </w:tcPr>
          <w:p>
            <w:pPr>
              <w:spacing w:after="0"/>
              <w:rPr>
                <w:rFonts w:ascii="Arial" w:cs="Arial" w:eastAsia="Arial" w:hAnsi="Arial"/>
                <w:sz w:val="18"/>
                <w:szCs w:val="18"/>
                <w:color w:val="0000FF"/>
                <w:w w:val="92"/>
              </w:rPr>
            </w:pPr>
            <w:hyperlink r:id="rId203">
              <w:r>
                <w:rPr>
                  <w:rFonts w:ascii="Arial" w:cs="Arial" w:eastAsia="Arial" w:hAnsi="Arial"/>
                  <w:sz w:val="18"/>
                  <w:szCs w:val="18"/>
                  <w:color w:val="0000FF"/>
                  <w:w w:val="92"/>
                </w:rPr>
                <w:t>Amended and Restated Employment Agreement, dated December 30, 2008, among The Connecticut Water Company, Connecticut</w:t>
              </w:r>
            </w:hyperlink>
          </w:p>
        </w:tc>
      </w:tr>
      <w:tr>
        <w:trPr>
          <w:trHeight w:val="155"/>
        </w:trPr>
        <w:tc>
          <w:tcPr>
            <w:tcW w:w="1500" w:type="dxa"/>
            <w:vAlign w:val="bottom"/>
          </w:tcPr>
          <w:p>
            <w:pPr>
              <w:spacing w:after="0"/>
              <w:rPr>
                <w:sz w:val="13"/>
                <w:szCs w:val="13"/>
                <w:color w:val="auto"/>
              </w:rPr>
            </w:pPr>
          </w:p>
        </w:tc>
        <w:tc>
          <w:tcPr>
            <w:tcW w:w="9440" w:type="dxa"/>
            <w:vAlign w:val="bottom"/>
            <w:tcBorders>
              <w:top w:val="single" w:sz="8" w:color="0000FF"/>
              <w:bottom w:val="single" w:sz="8" w:color="0000FF"/>
            </w:tcBorders>
            <w:gridSpan w:val="24"/>
          </w:tcPr>
          <w:p>
            <w:pPr>
              <w:spacing w:after="0" w:line="156" w:lineRule="exact"/>
              <w:rPr>
                <w:rFonts w:ascii="Arial" w:cs="Arial" w:eastAsia="Arial" w:hAnsi="Arial"/>
                <w:sz w:val="18"/>
                <w:szCs w:val="18"/>
                <w:color w:val="0000FF"/>
                <w:w w:val="90"/>
              </w:rPr>
            </w:pPr>
            <w:hyperlink r:id="rId203">
              <w:r>
                <w:rPr>
                  <w:rFonts w:ascii="Arial" w:cs="Arial" w:eastAsia="Arial" w:hAnsi="Arial"/>
                  <w:sz w:val="18"/>
                  <w:szCs w:val="18"/>
                  <w:color w:val="0000FF"/>
                  <w:w w:val="90"/>
                </w:rPr>
                <w:t>Water Service, Inc., and Kristen A. Johnson. Incorporated by reference to Exhibit 10.94 to Form 10-K for the year ended December</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500" w:type="dxa"/>
            <w:vAlign w:val="bottom"/>
          </w:tcPr>
          <w:p>
            <w:pPr>
              <w:spacing w:after="0"/>
              <w:rPr>
                <w:sz w:val="14"/>
                <w:szCs w:val="14"/>
                <w:color w:val="auto"/>
              </w:rPr>
            </w:pPr>
          </w:p>
        </w:tc>
        <w:tc>
          <w:tcPr>
            <w:tcW w:w="1200" w:type="dxa"/>
            <w:vAlign w:val="bottom"/>
            <w:gridSpan w:val="4"/>
          </w:tcPr>
          <w:p>
            <w:pPr>
              <w:spacing w:after="0" w:line="169" w:lineRule="exact"/>
              <w:rPr>
                <w:rFonts w:ascii="Arial" w:cs="Arial" w:eastAsia="Arial" w:hAnsi="Arial"/>
                <w:sz w:val="18"/>
                <w:szCs w:val="18"/>
                <w:color w:val="0000FF"/>
              </w:rPr>
            </w:pPr>
            <w:hyperlink r:id="rId203">
              <w:r>
                <w:rPr>
                  <w:rFonts w:ascii="Arial" w:cs="Arial" w:eastAsia="Arial" w:hAnsi="Arial"/>
                  <w:sz w:val="18"/>
                  <w:szCs w:val="18"/>
                  <w:color w:val="0000FF"/>
                </w:rPr>
                <w:t>31, 2019</w:t>
              </w:r>
              <w:r>
                <w:rPr>
                  <w:rFonts w:ascii="Arial" w:cs="Arial" w:eastAsia="Arial" w:hAnsi="Arial"/>
                  <w:sz w:val="18"/>
                  <w:szCs w:val="18"/>
                  <w:color w:val="000000"/>
                </w:rPr>
                <w:t>. (2)</w:t>
              </w:r>
            </w:hyperlink>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spacing w:after="0"/>
              <w:rPr>
                <w:sz w:val="20"/>
                <w:szCs w:val="20"/>
                <w:color w:val="auto"/>
              </w:rPr>
            </w:pPr>
            <w:r>
              <w:rPr>
                <w:rFonts w:ascii="Arial" w:cs="Arial" w:eastAsia="Arial" w:hAnsi="Arial"/>
                <w:sz w:val="18"/>
                <w:szCs w:val="18"/>
                <w:color w:val="auto"/>
              </w:rPr>
              <w:t>10.79</w:t>
            </w:r>
          </w:p>
        </w:tc>
        <w:tc>
          <w:tcPr>
            <w:tcW w:w="9740" w:type="dxa"/>
            <w:vAlign w:val="bottom"/>
            <w:gridSpan w:val="38"/>
          </w:tcPr>
          <w:p>
            <w:pPr>
              <w:spacing w:after="0"/>
              <w:rPr>
                <w:rFonts w:ascii="Arial" w:cs="Arial" w:eastAsia="Arial" w:hAnsi="Arial"/>
                <w:sz w:val="18"/>
                <w:szCs w:val="18"/>
                <w:color w:val="0000FF"/>
                <w:w w:val="91"/>
              </w:rPr>
            </w:pPr>
            <w:hyperlink r:id="rId204">
              <w:r>
                <w:rPr>
                  <w:rFonts w:ascii="Arial" w:cs="Arial" w:eastAsia="Arial" w:hAnsi="Arial"/>
                  <w:sz w:val="18"/>
                  <w:szCs w:val="18"/>
                  <w:color w:val="0000FF"/>
                  <w:w w:val="91"/>
                </w:rPr>
                <w:t>First Amendment to Amended and Restated Employment Agreement, dated March 8, 2013, among The Connecticut Water Company,</w:t>
              </w:r>
            </w:hyperlink>
          </w:p>
        </w:tc>
      </w:tr>
      <w:tr>
        <w:trPr>
          <w:trHeight w:val="155"/>
        </w:trPr>
        <w:tc>
          <w:tcPr>
            <w:tcW w:w="1500" w:type="dxa"/>
            <w:vAlign w:val="bottom"/>
          </w:tcPr>
          <w:p>
            <w:pPr>
              <w:spacing w:after="0"/>
              <w:rPr>
                <w:sz w:val="13"/>
                <w:szCs w:val="13"/>
                <w:color w:val="auto"/>
              </w:rPr>
            </w:pPr>
          </w:p>
        </w:tc>
        <w:tc>
          <w:tcPr>
            <w:tcW w:w="9620" w:type="dxa"/>
            <w:vAlign w:val="bottom"/>
            <w:tcBorders>
              <w:top w:val="single" w:sz="8" w:color="0000FF"/>
            </w:tcBorders>
            <w:gridSpan w:val="32"/>
          </w:tcPr>
          <w:p>
            <w:pPr>
              <w:spacing w:after="0" w:line="156" w:lineRule="exact"/>
              <w:rPr>
                <w:rFonts w:ascii="Arial" w:cs="Arial" w:eastAsia="Arial" w:hAnsi="Arial"/>
                <w:sz w:val="18"/>
                <w:szCs w:val="18"/>
                <w:color w:val="0000FF"/>
                <w:w w:val="93"/>
              </w:rPr>
            </w:pPr>
            <w:hyperlink r:id="rId204">
              <w:r>
                <w:rPr>
                  <w:rFonts w:ascii="Arial" w:cs="Arial" w:eastAsia="Arial" w:hAnsi="Arial"/>
                  <w:sz w:val="18"/>
                  <w:szCs w:val="18"/>
                  <w:color w:val="0000FF"/>
                  <w:w w:val="93"/>
                </w:rPr>
                <w:t>Connecticut Water Service, Inc. and Kristen A. Johnson. Incorporated by reference to Exhibit 10.17 to Connecticut Water Service,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500" w:type="dxa"/>
            <w:vAlign w:val="bottom"/>
          </w:tcPr>
          <w:p>
            <w:pPr>
              <w:spacing w:after="0"/>
              <w:rPr>
                <w:sz w:val="14"/>
                <w:szCs w:val="14"/>
                <w:color w:val="auto"/>
              </w:rPr>
            </w:pPr>
          </w:p>
        </w:tc>
        <w:tc>
          <w:tcPr>
            <w:tcW w:w="9400" w:type="dxa"/>
            <w:vAlign w:val="bottom"/>
            <w:tcBorders>
              <w:top w:val="single" w:sz="8" w:color="0000FF"/>
            </w:tcBorders>
            <w:gridSpan w:val="22"/>
          </w:tcPr>
          <w:p>
            <w:pPr>
              <w:spacing w:after="0" w:line="169" w:lineRule="exact"/>
              <w:rPr>
                <w:rFonts w:ascii="Arial" w:cs="Arial" w:eastAsia="Arial" w:hAnsi="Arial"/>
                <w:sz w:val="18"/>
                <w:szCs w:val="18"/>
                <w:color w:val="0000FF"/>
              </w:rPr>
            </w:pPr>
            <w:hyperlink r:id="rId204">
              <w:r>
                <w:rPr>
                  <w:rFonts w:ascii="Arial" w:cs="Arial" w:eastAsia="Arial" w:hAnsi="Arial"/>
                  <w:sz w:val="18"/>
                  <w:szCs w:val="18"/>
                  <w:color w:val="0000FF"/>
                </w:rPr>
                <w:t>Inc.’s Form 10-K for the year ended December 31, 2012</w:t>
              </w:r>
              <w:r>
                <w:rPr>
                  <w:rFonts w:ascii="Arial" w:cs="Arial" w:eastAsia="Arial" w:hAnsi="Arial"/>
                  <w:sz w:val="18"/>
                  <w:szCs w:val="18"/>
                  <w:color w:val="000000"/>
                </w:rPr>
                <w:t>. (2)</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spacing w:after="0"/>
              <w:rPr>
                <w:sz w:val="20"/>
                <w:szCs w:val="20"/>
                <w:color w:val="auto"/>
              </w:rPr>
            </w:pPr>
            <w:r>
              <w:rPr>
                <w:rFonts w:ascii="Arial" w:cs="Arial" w:eastAsia="Arial" w:hAnsi="Arial"/>
                <w:sz w:val="18"/>
                <w:szCs w:val="18"/>
                <w:color w:val="auto"/>
              </w:rPr>
              <w:t>10.80</w:t>
            </w:r>
          </w:p>
        </w:tc>
        <w:tc>
          <w:tcPr>
            <w:tcW w:w="9420" w:type="dxa"/>
            <w:vAlign w:val="bottom"/>
            <w:tcBorders>
              <w:bottom w:val="single" w:sz="8" w:color="0000FF"/>
            </w:tcBorders>
            <w:gridSpan w:val="23"/>
          </w:tcPr>
          <w:p>
            <w:pPr>
              <w:spacing w:after="0"/>
              <w:rPr>
                <w:rFonts w:ascii="Arial" w:cs="Arial" w:eastAsia="Arial" w:hAnsi="Arial"/>
                <w:sz w:val="18"/>
                <w:szCs w:val="18"/>
                <w:color w:val="0000FF"/>
                <w:w w:val="91"/>
              </w:rPr>
            </w:pPr>
            <w:hyperlink r:id="rId205">
              <w:r>
                <w:rPr>
                  <w:rFonts w:ascii="Arial" w:cs="Arial" w:eastAsia="Arial" w:hAnsi="Arial"/>
                  <w:sz w:val="18"/>
                  <w:szCs w:val="18"/>
                  <w:color w:val="0000FF"/>
                  <w:w w:val="91"/>
                </w:rPr>
                <w:t>Form of Second Amendment to Employment Agreement, dated April 2014, among The Connecticut Water Company, Connecticut</w:t>
              </w:r>
            </w:hyperlink>
          </w:p>
        </w:tc>
        <w:tc>
          <w:tcPr>
            <w:tcW w:w="320" w:type="dxa"/>
            <w:vAlign w:val="bottom"/>
            <w:gridSpan w:val="15"/>
          </w:tcPr>
          <w:p>
            <w:pPr>
              <w:spacing w:after="0"/>
              <w:rPr>
                <w:sz w:val="24"/>
                <w:szCs w:val="24"/>
                <w:color w:val="auto"/>
              </w:rPr>
            </w:pPr>
          </w:p>
        </w:tc>
      </w:tr>
      <w:tr>
        <w:trPr>
          <w:trHeight w:val="156"/>
        </w:trPr>
        <w:tc>
          <w:tcPr>
            <w:tcW w:w="1500" w:type="dxa"/>
            <w:vAlign w:val="bottom"/>
          </w:tcPr>
          <w:p>
            <w:pPr>
              <w:spacing w:after="0"/>
              <w:rPr>
                <w:sz w:val="13"/>
                <w:szCs w:val="13"/>
                <w:color w:val="auto"/>
              </w:rPr>
            </w:pPr>
          </w:p>
        </w:tc>
        <w:tc>
          <w:tcPr>
            <w:tcW w:w="9740" w:type="dxa"/>
            <w:vAlign w:val="bottom"/>
            <w:gridSpan w:val="38"/>
          </w:tcPr>
          <w:p>
            <w:pPr>
              <w:spacing w:after="0" w:line="156" w:lineRule="exact"/>
              <w:rPr>
                <w:rFonts w:ascii="Arial" w:cs="Arial" w:eastAsia="Arial" w:hAnsi="Arial"/>
                <w:sz w:val="18"/>
                <w:szCs w:val="18"/>
                <w:color w:val="0000FF"/>
                <w:w w:val="92"/>
              </w:rPr>
            </w:pPr>
            <w:hyperlink r:id="rId205">
              <w:r>
                <w:rPr>
                  <w:rFonts w:ascii="Arial" w:cs="Arial" w:eastAsia="Arial" w:hAnsi="Arial"/>
                  <w:sz w:val="18"/>
                  <w:szCs w:val="18"/>
                  <w:color w:val="0000FF"/>
                  <w:w w:val="92"/>
                </w:rPr>
                <w:t>Water Service, Inc. and Kristen A. Johnson. Incorporated by reference to Exhibit 10.2 to Connecticut Water Service, Inc.'s Form 8-K</w:t>
              </w:r>
            </w:hyperlink>
          </w:p>
        </w:tc>
      </w:tr>
      <w:tr>
        <w:trPr>
          <w:trHeight w:val="169"/>
        </w:trPr>
        <w:tc>
          <w:tcPr>
            <w:tcW w:w="1500" w:type="dxa"/>
            <w:vAlign w:val="bottom"/>
          </w:tcPr>
          <w:p>
            <w:pPr>
              <w:spacing w:after="0"/>
              <w:rPr>
                <w:sz w:val="14"/>
                <w:szCs w:val="14"/>
                <w:color w:val="auto"/>
              </w:rPr>
            </w:pPr>
          </w:p>
        </w:tc>
        <w:tc>
          <w:tcPr>
            <w:tcW w:w="9560" w:type="dxa"/>
            <w:vAlign w:val="bottom"/>
            <w:tcBorders>
              <w:top w:val="single" w:sz="8" w:color="0000FF"/>
            </w:tcBorders>
            <w:gridSpan w:val="30"/>
          </w:tcPr>
          <w:p>
            <w:pPr>
              <w:spacing w:after="0" w:line="169" w:lineRule="exact"/>
              <w:rPr>
                <w:rFonts w:ascii="Arial" w:cs="Arial" w:eastAsia="Arial" w:hAnsi="Arial"/>
                <w:sz w:val="18"/>
                <w:szCs w:val="18"/>
                <w:color w:val="0000FF"/>
              </w:rPr>
            </w:pPr>
            <w:hyperlink r:id="rId205">
              <w:r>
                <w:rPr>
                  <w:rFonts w:ascii="Arial" w:cs="Arial" w:eastAsia="Arial" w:hAnsi="Arial"/>
                  <w:sz w:val="18"/>
                  <w:szCs w:val="18"/>
                  <w:color w:val="0000FF"/>
                </w:rPr>
                <w:t>filed on April 3, 2014</w:t>
              </w:r>
              <w:r>
                <w:rPr>
                  <w:rFonts w:ascii="Arial" w:cs="Arial" w:eastAsia="Arial" w:hAnsi="Arial"/>
                  <w:sz w:val="18"/>
                  <w:szCs w:val="18"/>
                  <w:color w:val="000000"/>
                </w:rPr>
                <w:t>. (2)</w:t>
              </w:r>
            </w:hyperlink>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spacing w:after="0"/>
              <w:rPr>
                <w:sz w:val="20"/>
                <w:szCs w:val="20"/>
                <w:color w:val="auto"/>
              </w:rPr>
            </w:pPr>
            <w:r>
              <w:rPr>
                <w:rFonts w:ascii="Arial" w:cs="Arial" w:eastAsia="Arial" w:hAnsi="Arial"/>
                <w:sz w:val="18"/>
                <w:szCs w:val="18"/>
                <w:color w:val="auto"/>
              </w:rPr>
              <w:t>10.81</w:t>
            </w:r>
          </w:p>
        </w:tc>
        <w:tc>
          <w:tcPr>
            <w:tcW w:w="9740" w:type="dxa"/>
            <w:vAlign w:val="bottom"/>
            <w:gridSpan w:val="38"/>
          </w:tcPr>
          <w:p>
            <w:pPr>
              <w:spacing w:after="0"/>
              <w:rPr>
                <w:rFonts w:ascii="Arial" w:cs="Arial" w:eastAsia="Arial" w:hAnsi="Arial"/>
                <w:sz w:val="18"/>
                <w:szCs w:val="18"/>
                <w:color w:val="0000FF"/>
                <w:w w:val="91"/>
              </w:rPr>
            </w:pPr>
            <w:hyperlink r:id="rId206">
              <w:r>
                <w:rPr>
                  <w:rFonts w:ascii="Arial" w:cs="Arial" w:eastAsia="Arial" w:hAnsi="Arial"/>
                  <w:sz w:val="18"/>
                  <w:szCs w:val="18"/>
                  <w:color w:val="0000FF"/>
                  <w:w w:val="91"/>
                </w:rPr>
                <w:t>Third Amendment to the Amended and Restated Employment Agreement, effective as of November 1, 2019, among The Connecticut</w:t>
              </w:r>
            </w:hyperlink>
          </w:p>
        </w:tc>
      </w:tr>
      <w:tr>
        <w:trPr>
          <w:trHeight w:val="169"/>
        </w:trPr>
        <w:tc>
          <w:tcPr>
            <w:tcW w:w="1500" w:type="dxa"/>
            <w:vAlign w:val="bottom"/>
          </w:tcPr>
          <w:p>
            <w:pPr>
              <w:spacing w:after="0"/>
              <w:rPr>
                <w:sz w:val="14"/>
                <w:szCs w:val="14"/>
                <w:color w:val="auto"/>
              </w:rPr>
            </w:pPr>
          </w:p>
        </w:tc>
        <w:tc>
          <w:tcPr>
            <w:tcW w:w="9640" w:type="dxa"/>
            <w:vAlign w:val="bottom"/>
            <w:tcBorders>
              <w:top w:val="single" w:sz="8" w:color="0000FF"/>
            </w:tcBorders>
            <w:gridSpan w:val="33"/>
          </w:tcPr>
          <w:p>
            <w:pPr>
              <w:spacing w:after="0" w:line="169" w:lineRule="exact"/>
              <w:rPr>
                <w:rFonts w:ascii="Arial" w:cs="Arial" w:eastAsia="Arial" w:hAnsi="Arial"/>
                <w:sz w:val="18"/>
                <w:szCs w:val="18"/>
                <w:color w:val="0000FF"/>
                <w:w w:val="92"/>
              </w:rPr>
            </w:pPr>
            <w:hyperlink r:id="rId206">
              <w:r>
                <w:rPr>
                  <w:rFonts w:ascii="Arial" w:cs="Arial" w:eastAsia="Arial" w:hAnsi="Arial"/>
                  <w:sz w:val="18"/>
                  <w:szCs w:val="18"/>
                  <w:color w:val="0000FF"/>
                  <w:w w:val="92"/>
                </w:rPr>
                <w:t>Water Company, Connecticut Water Service, Inc. and Kristen A. Johnson. Incorporated by reference to Exhibit 10.97 to Form 10-K</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1500" w:type="dxa"/>
            <w:vAlign w:val="bottom"/>
          </w:tcPr>
          <w:p>
            <w:pPr>
              <w:spacing w:after="0"/>
              <w:rPr>
                <w:sz w:val="15"/>
                <w:szCs w:val="15"/>
                <w:color w:val="auto"/>
              </w:rPr>
            </w:pPr>
          </w:p>
        </w:tc>
        <w:tc>
          <w:tcPr>
            <w:tcW w:w="9480" w:type="dxa"/>
            <w:vAlign w:val="bottom"/>
            <w:tcBorders>
              <w:top w:val="single" w:sz="8" w:color="0000FF"/>
            </w:tcBorders>
            <w:gridSpan w:val="26"/>
          </w:tcPr>
          <w:p>
            <w:pPr>
              <w:spacing w:after="0" w:line="182" w:lineRule="exact"/>
              <w:rPr>
                <w:rFonts w:ascii="Arial" w:cs="Arial" w:eastAsia="Arial" w:hAnsi="Arial"/>
                <w:sz w:val="18"/>
                <w:szCs w:val="18"/>
                <w:color w:val="0000FF"/>
              </w:rPr>
            </w:pPr>
            <w:hyperlink r:id="rId206">
              <w:r>
                <w:rPr>
                  <w:rFonts w:ascii="Arial" w:cs="Arial" w:eastAsia="Arial" w:hAnsi="Arial"/>
                  <w:sz w:val="18"/>
                  <w:szCs w:val="18"/>
                  <w:color w:val="0000FF"/>
                </w:rPr>
                <w:t>for the year ended December 31, 2019</w:t>
              </w:r>
              <w:r>
                <w:rPr>
                  <w:rFonts w:ascii="Arial" w:cs="Arial" w:eastAsia="Arial" w:hAnsi="Arial"/>
                  <w:sz w:val="18"/>
                  <w:szCs w:val="18"/>
                  <w:color w:val="000000"/>
                </w:rPr>
                <w:t>. (2)</w:t>
              </w:r>
            </w:hyperlink>
          </w:p>
        </w:tc>
        <w:tc>
          <w:tcPr>
            <w:tcW w:w="100" w:type="dxa"/>
            <w:vAlign w:val="bottom"/>
            <w:gridSpan w:val="5"/>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50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1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500" w:type="dxa"/>
            <w:vAlign w:val="bottom"/>
          </w:tcPr>
          <w:p>
            <w:pPr>
              <w:spacing w:after="0"/>
              <w:rPr>
                <w:sz w:val="20"/>
                <w:szCs w:val="20"/>
                <w:color w:val="auto"/>
              </w:rPr>
            </w:pPr>
            <w:r>
              <w:rPr>
                <w:rFonts w:ascii="Arial" w:cs="Arial" w:eastAsia="Arial" w:hAnsi="Arial"/>
                <w:sz w:val="18"/>
                <w:szCs w:val="18"/>
                <w:color w:val="auto"/>
              </w:rPr>
              <w:t>10.82</w:t>
            </w:r>
          </w:p>
        </w:tc>
        <w:tc>
          <w:tcPr>
            <w:tcW w:w="9740" w:type="dxa"/>
            <w:vAlign w:val="bottom"/>
            <w:gridSpan w:val="38"/>
          </w:tcPr>
          <w:p>
            <w:pPr>
              <w:spacing w:after="0"/>
              <w:rPr>
                <w:rFonts w:ascii="Arial" w:cs="Arial" w:eastAsia="Arial" w:hAnsi="Arial"/>
                <w:sz w:val="18"/>
                <w:szCs w:val="18"/>
                <w:color w:val="0000FF"/>
                <w:w w:val="90"/>
              </w:rPr>
            </w:pPr>
            <w:hyperlink r:id="rId207">
              <w:r>
                <w:rPr>
                  <w:rFonts w:ascii="Arial" w:cs="Arial" w:eastAsia="Arial" w:hAnsi="Arial"/>
                  <w:sz w:val="18"/>
                  <w:szCs w:val="18"/>
                  <w:color w:val="0000FF"/>
                  <w:w w:val="90"/>
                </w:rPr>
                <w:t>Amended and Restated Director Compensation and Expense Reimbursement Policies effective as of January 1, 2023. Incorporated by</w:t>
              </w:r>
            </w:hyperlink>
          </w:p>
        </w:tc>
      </w:tr>
      <w:tr>
        <w:trPr>
          <w:trHeight w:val="155"/>
        </w:trPr>
        <w:tc>
          <w:tcPr>
            <w:tcW w:w="1500" w:type="dxa"/>
            <w:vAlign w:val="bottom"/>
          </w:tcPr>
          <w:p>
            <w:pPr>
              <w:spacing w:after="0"/>
              <w:rPr>
                <w:sz w:val="13"/>
                <w:szCs w:val="13"/>
                <w:color w:val="auto"/>
              </w:rPr>
            </w:pPr>
          </w:p>
        </w:tc>
        <w:tc>
          <w:tcPr>
            <w:tcW w:w="968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207">
              <w:r>
                <w:rPr>
                  <w:rFonts w:ascii="Arial" w:cs="Arial" w:eastAsia="Arial" w:hAnsi="Arial"/>
                  <w:sz w:val="18"/>
                  <w:szCs w:val="18"/>
                  <w:color w:val="0000FF"/>
                </w:rPr>
                <w:t xml:space="preserve">reference as Exhibit 10.3 to Form 10-Q for the quarter ended September 30, 2022. </w:t>
              </w:r>
              <w:r>
                <w:rPr>
                  <w:rFonts w:ascii="Arial" w:cs="Arial" w:eastAsia="Arial" w:hAnsi="Arial"/>
                  <w:sz w:val="18"/>
                  <w:szCs w:val="18"/>
                  <w:color w:val="000000"/>
                </w:rPr>
                <w:t>(2)</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1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10.83</w:t>
            </w:r>
          </w:p>
        </w:tc>
        <w:tc>
          <w:tcPr>
            <w:tcW w:w="9740" w:type="dxa"/>
            <w:vAlign w:val="bottom"/>
            <w:gridSpan w:val="38"/>
          </w:tcPr>
          <w:p>
            <w:pPr>
              <w:spacing w:after="0"/>
              <w:rPr>
                <w:rFonts w:ascii="Arial" w:cs="Arial" w:eastAsia="Arial" w:hAnsi="Arial"/>
                <w:sz w:val="18"/>
                <w:szCs w:val="18"/>
                <w:color w:val="0000FF"/>
                <w:w w:val="97"/>
              </w:rPr>
            </w:pPr>
            <w:hyperlink r:id="rId208">
              <w:r>
                <w:rPr>
                  <w:rFonts w:ascii="Arial" w:cs="Arial" w:eastAsia="Arial" w:hAnsi="Arial"/>
                  <w:sz w:val="18"/>
                  <w:szCs w:val="18"/>
                  <w:color w:val="0000FF"/>
                  <w:w w:val="97"/>
                </w:rPr>
                <w:t>Amended and Restated Formulaic Equity Award Program for Non-Employee Board Members effective as of January 1, 2023.</w:t>
              </w:r>
            </w:hyperlink>
          </w:p>
        </w:tc>
      </w:tr>
      <w:tr>
        <w:trPr>
          <w:trHeight w:val="155"/>
        </w:trPr>
        <w:tc>
          <w:tcPr>
            <w:tcW w:w="1500" w:type="dxa"/>
            <w:vAlign w:val="bottom"/>
          </w:tcPr>
          <w:p>
            <w:pPr>
              <w:spacing w:after="0"/>
              <w:rPr>
                <w:sz w:val="13"/>
                <w:szCs w:val="13"/>
                <w:color w:val="auto"/>
              </w:rPr>
            </w:pPr>
          </w:p>
        </w:tc>
        <w:tc>
          <w:tcPr>
            <w:tcW w:w="90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208">
              <w:r>
                <w:rPr>
                  <w:rFonts w:ascii="Arial" w:cs="Arial" w:eastAsia="Arial" w:hAnsi="Arial"/>
                  <w:sz w:val="18"/>
                  <w:szCs w:val="18"/>
                  <w:color w:val="0000FF"/>
                </w:rPr>
                <w:t xml:space="preserve">Incorporated by reference as Exhibit 10.4 to Form 10-Q for the quarter ended September 30, 2022. </w:t>
              </w:r>
              <w:r>
                <w:rPr>
                  <w:rFonts w:ascii="Arial" w:cs="Arial" w:eastAsia="Arial" w:hAnsi="Arial"/>
                  <w:sz w:val="18"/>
                  <w:szCs w:val="18"/>
                  <w:color w:val="000000"/>
                </w:rPr>
                <w:t>(2)</w:t>
              </w:r>
            </w:hyperlink>
          </w:p>
        </w:tc>
        <w:tc>
          <w:tcPr>
            <w:tcW w:w="520" w:type="dxa"/>
            <w:vAlign w:val="bottom"/>
            <w:gridSpan w:val="12"/>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3460" w:type="dxa"/>
            <w:vAlign w:val="bottom"/>
            <w:gridSpan w:val="6"/>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60" w:type="dxa"/>
            <w:vAlign w:val="bottom"/>
            <w:gridSpan w:val="1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10.84</w:t>
            </w:r>
          </w:p>
        </w:tc>
        <w:tc>
          <w:tcPr>
            <w:tcW w:w="9740" w:type="dxa"/>
            <w:vAlign w:val="bottom"/>
            <w:gridSpan w:val="38"/>
          </w:tcPr>
          <w:p>
            <w:pPr>
              <w:spacing w:after="0"/>
              <w:rPr>
                <w:rFonts w:ascii="Arial" w:cs="Arial" w:eastAsia="Arial" w:hAnsi="Arial"/>
                <w:sz w:val="18"/>
                <w:szCs w:val="18"/>
                <w:color w:val="0000FF"/>
                <w:w w:val="90"/>
              </w:rPr>
            </w:pPr>
            <w:hyperlink r:id="rId209">
              <w:r>
                <w:rPr>
                  <w:rFonts w:ascii="Arial" w:cs="Arial" w:eastAsia="Arial" w:hAnsi="Arial"/>
                  <w:sz w:val="18"/>
                  <w:szCs w:val="18"/>
                  <w:color w:val="0000FF"/>
                  <w:w w:val="90"/>
                </w:rPr>
                <w:t>Amendment Letter to Amended and Restated Employment Agreement, effective as of October 6, 2022, among The Connecticut Water</w:t>
              </w:r>
            </w:hyperlink>
          </w:p>
        </w:tc>
      </w:tr>
      <w:tr>
        <w:trPr>
          <w:trHeight w:val="155"/>
        </w:trPr>
        <w:tc>
          <w:tcPr>
            <w:tcW w:w="1500" w:type="dxa"/>
            <w:vAlign w:val="bottom"/>
          </w:tcPr>
          <w:p>
            <w:pPr>
              <w:spacing w:after="0"/>
              <w:rPr>
                <w:sz w:val="13"/>
                <w:szCs w:val="13"/>
                <w:color w:val="auto"/>
              </w:rPr>
            </w:pPr>
          </w:p>
        </w:tc>
        <w:tc>
          <w:tcPr>
            <w:tcW w:w="9720" w:type="dxa"/>
            <w:vAlign w:val="bottom"/>
            <w:tcBorders>
              <w:top w:val="single" w:sz="8" w:color="0000FF"/>
              <w:bottom w:val="single" w:sz="8" w:color="0000FF"/>
            </w:tcBorders>
            <w:gridSpan w:val="37"/>
          </w:tcPr>
          <w:p>
            <w:pPr>
              <w:spacing w:after="0" w:line="156" w:lineRule="exact"/>
              <w:rPr>
                <w:rFonts w:ascii="Arial" w:cs="Arial" w:eastAsia="Arial" w:hAnsi="Arial"/>
                <w:sz w:val="18"/>
                <w:szCs w:val="18"/>
                <w:color w:val="0000FF"/>
                <w:w w:val="90"/>
              </w:rPr>
            </w:pPr>
            <w:hyperlink r:id="rId209">
              <w:r>
                <w:rPr>
                  <w:rFonts w:ascii="Arial" w:cs="Arial" w:eastAsia="Arial" w:hAnsi="Arial"/>
                  <w:sz w:val="18"/>
                  <w:szCs w:val="18"/>
                  <w:color w:val="0000FF"/>
                  <w:w w:val="90"/>
                </w:rPr>
                <w:t>Company, Connecticut Water Service, Inc., and Maureen P. Westbrook. Incorporated by reference to Exhibit 10.1 to Form 8-K filed on</w:t>
              </w:r>
            </w:hyperlink>
          </w:p>
        </w:tc>
        <w:tc>
          <w:tcPr>
            <w:tcW w:w="20" w:type="dxa"/>
            <w:vAlign w:val="bottom"/>
            <w:tcBorders>
              <w:bottom w:val="single" w:sz="8" w:color="0000FF"/>
            </w:tcBorders>
          </w:tcPr>
          <w:p>
            <w:pPr>
              <w:spacing w:after="0"/>
              <w:rPr>
                <w:sz w:val="13"/>
                <w:szCs w:val="13"/>
                <w:color w:val="auto"/>
              </w:rPr>
            </w:pPr>
          </w:p>
        </w:tc>
      </w:tr>
      <w:tr>
        <w:trPr>
          <w:trHeight w:val="169"/>
        </w:trPr>
        <w:tc>
          <w:tcPr>
            <w:tcW w:w="1500" w:type="dxa"/>
            <w:vAlign w:val="bottom"/>
          </w:tcPr>
          <w:p>
            <w:pPr>
              <w:spacing w:after="0"/>
              <w:rPr>
                <w:sz w:val="14"/>
                <w:szCs w:val="14"/>
                <w:color w:val="auto"/>
              </w:rPr>
            </w:pPr>
          </w:p>
        </w:tc>
        <w:tc>
          <w:tcPr>
            <w:tcW w:w="9740" w:type="dxa"/>
            <w:vAlign w:val="bottom"/>
            <w:gridSpan w:val="38"/>
          </w:tcPr>
          <w:p>
            <w:pPr>
              <w:spacing w:after="0" w:line="169" w:lineRule="exact"/>
              <w:rPr>
                <w:rFonts w:ascii="Arial" w:cs="Arial" w:eastAsia="Arial" w:hAnsi="Arial"/>
                <w:sz w:val="18"/>
                <w:szCs w:val="18"/>
                <w:color w:val="0000FF"/>
              </w:rPr>
            </w:pPr>
            <w:hyperlink r:id="rId209">
              <w:r>
                <w:rPr>
                  <w:rFonts w:ascii="Arial" w:cs="Arial" w:eastAsia="Arial" w:hAnsi="Arial"/>
                  <w:sz w:val="18"/>
                  <w:szCs w:val="18"/>
                  <w:color w:val="0000FF"/>
                </w:rPr>
                <w:t xml:space="preserve">October 7, 2022. </w:t>
              </w:r>
              <w:r>
                <w:rPr>
                  <w:rFonts w:ascii="Arial" w:cs="Arial" w:eastAsia="Arial" w:hAnsi="Arial"/>
                  <w:sz w:val="18"/>
                  <w:szCs w:val="18"/>
                  <w:color w:val="000000"/>
                </w:rPr>
                <w:t>(2)</w:t>
              </w:r>
            </w:hyperlink>
          </w:p>
        </w:tc>
      </w:tr>
      <w:tr>
        <w:trPr>
          <w:trHeight w:val="20"/>
        </w:trPr>
        <w:tc>
          <w:tcPr>
            <w:tcW w:w="150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180" w:type="dxa"/>
            <w:vAlign w:val="bottom"/>
            <w:gridSpan w:val="8"/>
          </w:tcPr>
          <w:p>
            <w:pPr>
              <w:spacing w:after="0" w:line="20" w:lineRule="exact"/>
              <w:rPr>
                <w:sz w:val="1"/>
                <w:szCs w:val="1"/>
                <w:color w:val="auto"/>
              </w:rPr>
            </w:pPr>
          </w:p>
        </w:tc>
        <w:tc>
          <w:tcPr>
            <w:tcW w:w="760" w:type="dxa"/>
            <w:vAlign w:val="bottom"/>
            <w:gridSpan w:val="1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58"/>
        </w:trPr>
        <w:tc>
          <w:tcPr>
            <w:tcW w:w="1500" w:type="dxa"/>
            <w:vAlign w:val="bottom"/>
          </w:tcPr>
          <w:p>
            <w:pPr>
              <w:spacing w:after="0"/>
              <w:rPr>
                <w:sz w:val="20"/>
                <w:szCs w:val="20"/>
                <w:color w:val="auto"/>
              </w:rPr>
            </w:pPr>
            <w:r>
              <w:rPr>
                <w:rFonts w:ascii="Arial" w:cs="Arial" w:eastAsia="Arial" w:hAnsi="Arial"/>
                <w:sz w:val="18"/>
                <w:szCs w:val="18"/>
                <w:color w:val="auto"/>
              </w:rPr>
              <w:t>10.85</w:t>
            </w:r>
          </w:p>
        </w:tc>
        <w:tc>
          <w:tcPr>
            <w:tcW w:w="9740" w:type="dxa"/>
            <w:vAlign w:val="bottom"/>
            <w:gridSpan w:val="38"/>
          </w:tcPr>
          <w:p>
            <w:pPr>
              <w:spacing w:after="0"/>
              <w:rPr>
                <w:sz w:val="20"/>
                <w:szCs w:val="20"/>
                <w:color w:val="auto"/>
              </w:rPr>
            </w:pPr>
            <w:r>
              <w:rPr>
                <w:rFonts w:ascii="Arial" w:cs="Arial" w:eastAsia="Arial" w:hAnsi="Arial"/>
                <w:sz w:val="18"/>
                <w:szCs w:val="18"/>
                <w:color w:val="0000FF"/>
                <w:w w:val="92"/>
              </w:rPr>
              <w:t>Employment Agreement, dated April 1, 2014, among The Connecticut Water Company, Connecticut Water Service, Inc. and Craig J.</w:t>
            </w:r>
          </w:p>
        </w:tc>
      </w:tr>
      <w:tr>
        <w:trPr>
          <w:trHeight w:val="155"/>
        </w:trPr>
        <w:tc>
          <w:tcPr>
            <w:tcW w:w="1500" w:type="dxa"/>
            <w:vAlign w:val="bottom"/>
          </w:tcPr>
          <w:p>
            <w:pPr>
              <w:spacing w:after="0"/>
              <w:rPr>
                <w:sz w:val="13"/>
                <w:szCs w:val="13"/>
                <w:color w:val="auto"/>
              </w:rPr>
            </w:pPr>
          </w:p>
        </w:tc>
        <w:tc>
          <w:tcPr>
            <w:tcW w:w="9580" w:type="dxa"/>
            <w:vAlign w:val="bottom"/>
            <w:tcBorders>
              <w:top w:val="single" w:sz="8" w:color="0000FF"/>
            </w:tcBorders>
            <w:gridSpan w:val="31"/>
          </w:tcPr>
          <w:p>
            <w:pPr>
              <w:spacing w:after="0" w:line="156" w:lineRule="exact"/>
              <w:rPr>
                <w:sz w:val="20"/>
                <w:szCs w:val="20"/>
                <w:color w:val="auto"/>
              </w:rPr>
            </w:pPr>
            <w:r>
              <w:rPr>
                <w:rFonts w:ascii="Arial" w:cs="Arial" w:eastAsia="Arial" w:hAnsi="Arial"/>
                <w:sz w:val="18"/>
                <w:szCs w:val="18"/>
                <w:color w:val="0000FF"/>
              </w:rPr>
              <w:t xml:space="preserve">Patla. </w:t>
            </w:r>
            <w:r>
              <w:rPr>
                <w:rFonts w:ascii="Arial" w:cs="Arial" w:eastAsia="Arial" w:hAnsi="Arial"/>
                <w:sz w:val="18"/>
                <w:szCs w:val="18"/>
                <w:color w:val="000000"/>
              </w:rPr>
              <w:t>(1) (2)</w:t>
            </w:r>
          </w:p>
        </w:tc>
        <w:tc>
          <w:tcPr>
            <w:tcW w:w="8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180" w:type="dxa"/>
            <w:vAlign w:val="bottom"/>
            <w:gridSpan w:val="8"/>
          </w:tcPr>
          <w:p>
            <w:pPr>
              <w:spacing w:after="0" w:line="20" w:lineRule="exact"/>
              <w:rPr>
                <w:sz w:val="1"/>
                <w:szCs w:val="1"/>
                <w:color w:val="auto"/>
              </w:rPr>
            </w:pPr>
          </w:p>
        </w:tc>
        <w:tc>
          <w:tcPr>
            <w:tcW w:w="840" w:type="dxa"/>
            <w:vAlign w:val="bottom"/>
            <w:gridSpan w:val="1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71"/>
        </w:trPr>
        <w:tc>
          <w:tcPr>
            <w:tcW w:w="1500" w:type="dxa"/>
            <w:vAlign w:val="bottom"/>
          </w:tcPr>
          <w:p>
            <w:pPr>
              <w:spacing w:after="0"/>
              <w:rPr>
                <w:sz w:val="20"/>
                <w:szCs w:val="20"/>
                <w:color w:val="auto"/>
              </w:rPr>
            </w:pPr>
            <w:r>
              <w:rPr>
                <w:rFonts w:ascii="Arial" w:cs="Arial" w:eastAsia="Arial" w:hAnsi="Arial"/>
                <w:sz w:val="18"/>
                <w:szCs w:val="18"/>
                <w:color w:val="auto"/>
              </w:rPr>
              <w:t>10.86</w:t>
            </w:r>
          </w:p>
        </w:tc>
        <w:tc>
          <w:tcPr>
            <w:tcW w:w="9740" w:type="dxa"/>
            <w:vAlign w:val="bottom"/>
            <w:gridSpan w:val="38"/>
          </w:tcPr>
          <w:p>
            <w:pPr>
              <w:spacing w:after="0"/>
              <w:rPr>
                <w:sz w:val="20"/>
                <w:szCs w:val="20"/>
                <w:color w:val="auto"/>
              </w:rPr>
            </w:pPr>
            <w:r>
              <w:rPr>
                <w:rFonts w:ascii="Arial" w:cs="Arial" w:eastAsia="Arial" w:hAnsi="Arial"/>
                <w:sz w:val="18"/>
                <w:szCs w:val="18"/>
                <w:color w:val="0000FF"/>
                <w:w w:val="91"/>
              </w:rPr>
              <w:t>First Amendment to Employment Agreement, effective as of January 18, 2020, among The Connecticut Water Company, Connecticut</w:t>
            </w:r>
          </w:p>
        </w:tc>
      </w:tr>
      <w:tr>
        <w:trPr>
          <w:trHeight w:val="155"/>
        </w:trPr>
        <w:tc>
          <w:tcPr>
            <w:tcW w:w="1500" w:type="dxa"/>
            <w:vAlign w:val="bottom"/>
          </w:tcPr>
          <w:p>
            <w:pPr>
              <w:spacing w:after="0"/>
              <w:rPr>
                <w:sz w:val="13"/>
                <w:szCs w:val="13"/>
                <w:color w:val="auto"/>
              </w:rPr>
            </w:pPr>
          </w:p>
        </w:tc>
        <w:tc>
          <w:tcPr>
            <w:tcW w:w="9660" w:type="dxa"/>
            <w:vAlign w:val="bottom"/>
            <w:tcBorders>
              <w:top w:val="single" w:sz="8" w:color="0000FF"/>
            </w:tcBorders>
            <w:gridSpan w:val="34"/>
          </w:tcPr>
          <w:p>
            <w:pPr>
              <w:spacing w:after="0" w:line="156" w:lineRule="exact"/>
              <w:rPr>
                <w:sz w:val="20"/>
                <w:szCs w:val="20"/>
                <w:color w:val="auto"/>
              </w:rPr>
            </w:pPr>
            <w:r>
              <w:rPr>
                <w:rFonts w:ascii="Arial" w:cs="Arial" w:eastAsia="Arial" w:hAnsi="Arial"/>
                <w:sz w:val="18"/>
                <w:szCs w:val="18"/>
                <w:color w:val="0000FF"/>
              </w:rPr>
              <w:t xml:space="preserve">Water Service, Inc. and Craig J. Patla. </w:t>
            </w:r>
            <w:r>
              <w:rPr>
                <w:rFonts w:ascii="Arial" w:cs="Arial" w:eastAsia="Arial" w:hAnsi="Arial"/>
                <w:sz w:val="18"/>
                <w:szCs w:val="18"/>
                <w:color w:val="000000"/>
              </w:rPr>
              <w:t>(1) (2)</w:t>
            </w:r>
          </w:p>
        </w:tc>
        <w:tc>
          <w:tcPr>
            <w:tcW w:w="80" w:type="dxa"/>
            <w:vAlign w:val="bottom"/>
            <w:gridSpan w:val="4"/>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2000" w:type="dxa"/>
            <w:vAlign w:val="bottom"/>
            <w:gridSpan w:val="7"/>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180" w:type="dxa"/>
            <w:vAlign w:val="bottom"/>
            <w:gridSpan w:val="8"/>
          </w:tcPr>
          <w:p>
            <w:pPr>
              <w:spacing w:after="0" w:line="20" w:lineRule="exact"/>
              <w:rPr>
                <w:sz w:val="1"/>
                <w:szCs w:val="1"/>
                <w:color w:val="auto"/>
              </w:rPr>
            </w:pPr>
          </w:p>
        </w:tc>
        <w:tc>
          <w:tcPr>
            <w:tcW w:w="920" w:type="dxa"/>
            <w:vAlign w:val="bottom"/>
            <w:gridSpan w:val="20"/>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10.87</w:t>
            </w:r>
          </w:p>
        </w:tc>
        <w:tc>
          <w:tcPr>
            <w:tcW w:w="9740" w:type="dxa"/>
            <w:vAlign w:val="bottom"/>
            <w:gridSpan w:val="38"/>
          </w:tcPr>
          <w:p>
            <w:pPr>
              <w:spacing w:after="0"/>
              <w:rPr>
                <w:sz w:val="20"/>
                <w:szCs w:val="20"/>
                <w:color w:val="auto"/>
              </w:rPr>
            </w:pPr>
            <w:r>
              <w:rPr>
                <w:rFonts w:ascii="Arial" w:cs="Arial" w:eastAsia="Arial" w:hAnsi="Arial"/>
                <w:sz w:val="18"/>
                <w:szCs w:val="18"/>
                <w:color w:val="0000FF"/>
                <w:w w:val="99"/>
              </w:rPr>
              <w:t>Second Amendment to Employment Agreement, effective as of January 1, 2023, among The Connecticut Water Company,</w:t>
            </w:r>
          </w:p>
        </w:tc>
      </w:tr>
      <w:tr>
        <w:trPr>
          <w:trHeight w:val="155"/>
        </w:trPr>
        <w:tc>
          <w:tcPr>
            <w:tcW w:w="1500" w:type="dxa"/>
            <w:vAlign w:val="bottom"/>
          </w:tcPr>
          <w:p>
            <w:pPr>
              <w:spacing w:after="0"/>
              <w:rPr>
                <w:sz w:val="13"/>
                <w:szCs w:val="13"/>
                <w:color w:val="auto"/>
              </w:rPr>
            </w:pPr>
          </w:p>
        </w:tc>
        <w:tc>
          <w:tcPr>
            <w:tcW w:w="8820" w:type="dxa"/>
            <w:vAlign w:val="bottom"/>
            <w:tcBorders>
              <w:top w:val="single" w:sz="8" w:color="0000FF"/>
            </w:tcBorders>
            <w:gridSpan w:val="18"/>
          </w:tcPr>
          <w:p>
            <w:pPr>
              <w:spacing w:after="0" w:line="156" w:lineRule="exact"/>
              <w:rPr>
                <w:sz w:val="20"/>
                <w:szCs w:val="20"/>
                <w:color w:val="auto"/>
              </w:rPr>
            </w:pPr>
            <w:r>
              <w:rPr>
                <w:rFonts w:ascii="Arial" w:cs="Arial" w:eastAsia="Arial" w:hAnsi="Arial"/>
                <w:sz w:val="18"/>
                <w:szCs w:val="18"/>
                <w:color w:val="0000FF"/>
              </w:rPr>
              <w:t xml:space="preserve">Connecticut Water Service, Inc. and Craig J. Patla. </w:t>
            </w:r>
            <w:r>
              <w:rPr>
                <w:rFonts w:ascii="Arial" w:cs="Arial" w:eastAsia="Arial" w:hAnsi="Arial"/>
                <w:sz w:val="18"/>
                <w:szCs w:val="18"/>
                <w:color w:val="000000"/>
              </w:rPr>
              <w:t>(1) (2)</w:t>
            </w:r>
          </w:p>
        </w:tc>
        <w:tc>
          <w:tcPr>
            <w:tcW w:w="920" w:type="dxa"/>
            <w:vAlign w:val="bottom"/>
            <w:gridSpan w:val="20"/>
          </w:tcPr>
          <w:p>
            <w:pPr>
              <w:spacing w:after="0"/>
              <w:rPr>
                <w:sz w:val="13"/>
                <w:szCs w:val="13"/>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21.1</w:t>
            </w:r>
          </w:p>
        </w:tc>
        <w:tc>
          <w:tcPr>
            <w:tcW w:w="364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 xml:space="preserve">Subsidiaries of SJW Group. </w:t>
            </w:r>
            <w:r>
              <w:rPr>
                <w:rFonts w:ascii="Arial" w:cs="Arial" w:eastAsia="Arial" w:hAnsi="Arial"/>
                <w:sz w:val="18"/>
                <w:szCs w:val="18"/>
                <w:color w:val="000000"/>
              </w:rPr>
              <w:t>(1)</w:t>
            </w:r>
          </w:p>
        </w:tc>
        <w:tc>
          <w:tcPr>
            <w:tcW w:w="6100" w:type="dxa"/>
            <w:vAlign w:val="bottom"/>
            <w:gridSpan w:val="28"/>
          </w:tcPr>
          <w:p>
            <w:pPr>
              <w:spacing w:after="0"/>
              <w:rPr>
                <w:sz w:val="24"/>
                <w:szCs w:val="24"/>
                <w:color w:val="auto"/>
              </w:rPr>
            </w:pPr>
          </w:p>
        </w:tc>
      </w:tr>
      <w:tr>
        <w:trPr>
          <w:trHeight w:val="20"/>
        </w:trPr>
        <w:tc>
          <w:tcPr>
            <w:tcW w:w="1500" w:type="dxa"/>
            <w:vAlign w:val="bottom"/>
          </w:tcPr>
          <w:p>
            <w:pPr>
              <w:spacing w:after="0" w:line="20" w:lineRule="exact"/>
              <w:rPr>
                <w:sz w:val="1"/>
                <w:szCs w:val="1"/>
                <w:color w:val="auto"/>
              </w:rPr>
            </w:pPr>
          </w:p>
        </w:tc>
        <w:tc>
          <w:tcPr>
            <w:tcW w:w="2000" w:type="dxa"/>
            <w:vAlign w:val="bottom"/>
            <w:gridSpan w:val="7"/>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20" w:type="dxa"/>
            <w:vAlign w:val="bottom"/>
            <w:gridSpan w:val="30"/>
          </w:tcPr>
          <w:p>
            <w:pPr>
              <w:spacing w:after="0" w:line="20" w:lineRule="exact"/>
              <w:rPr>
                <w:sz w:val="1"/>
                <w:szCs w:val="1"/>
                <w:color w:val="auto"/>
              </w:rPr>
            </w:pPr>
          </w:p>
        </w:tc>
      </w:tr>
      <w:tr>
        <w:trPr>
          <w:trHeight w:val="371"/>
        </w:trPr>
        <w:tc>
          <w:tcPr>
            <w:tcW w:w="1500" w:type="dxa"/>
            <w:vAlign w:val="bottom"/>
          </w:tcPr>
          <w:p>
            <w:pPr>
              <w:spacing w:after="0"/>
              <w:rPr>
                <w:sz w:val="20"/>
                <w:szCs w:val="20"/>
                <w:color w:val="auto"/>
              </w:rPr>
            </w:pPr>
            <w:r>
              <w:rPr>
                <w:rFonts w:ascii="Arial" w:cs="Arial" w:eastAsia="Arial" w:hAnsi="Arial"/>
                <w:sz w:val="18"/>
                <w:szCs w:val="18"/>
                <w:color w:val="auto"/>
              </w:rPr>
              <w:t>23.1</w:t>
            </w:r>
          </w:p>
        </w:tc>
        <w:tc>
          <w:tcPr>
            <w:tcW w:w="9740" w:type="dxa"/>
            <w:vAlign w:val="bottom"/>
            <w:gridSpan w:val="38"/>
          </w:tcPr>
          <w:p>
            <w:pPr>
              <w:spacing w:after="0"/>
              <w:rPr>
                <w:sz w:val="20"/>
                <w:szCs w:val="20"/>
                <w:color w:val="auto"/>
              </w:rPr>
            </w:pPr>
            <w:r>
              <w:rPr>
                <w:rFonts w:ascii="Arial" w:cs="Arial" w:eastAsia="Arial" w:hAnsi="Arial"/>
                <w:sz w:val="18"/>
                <w:szCs w:val="18"/>
                <w:color w:val="0000FF"/>
              </w:rPr>
              <w:t>Consent of Deloitte &amp; Touche LLP</w:t>
            </w:r>
            <w:r>
              <w:rPr>
                <w:rFonts w:ascii="Arial" w:cs="Arial" w:eastAsia="Arial" w:hAnsi="Arial"/>
                <w:sz w:val="18"/>
                <w:szCs w:val="18"/>
                <w:color w:val="000000"/>
              </w:rPr>
              <w:t>. (1)</w:t>
            </w: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0" w:right="35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31.1</w:t>
            </w:r>
          </w:p>
        </w:tc>
        <w:tc>
          <w:tcPr>
            <w:tcW w:w="9600" w:type="dxa"/>
            <w:vAlign w:val="bottom"/>
            <w:gridSpan w:val="5"/>
          </w:tcPr>
          <w:p>
            <w:pPr>
              <w:spacing w:after="0"/>
              <w:rPr>
                <w:sz w:val="20"/>
                <w:szCs w:val="20"/>
                <w:color w:val="auto"/>
              </w:rPr>
            </w:pPr>
            <w:r>
              <w:rPr>
                <w:rFonts w:ascii="Arial" w:cs="Arial" w:eastAsia="Arial" w:hAnsi="Arial"/>
                <w:sz w:val="18"/>
                <w:szCs w:val="18"/>
                <w:color w:val="0000FF"/>
              </w:rPr>
              <w:t>Certification Pursuant to Rule 13a-14(a)/15d-14(a) by President and Chief Executive Officer</w:t>
            </w:r>
            <w:r>
              <w:rPr>
                <w:rFonts w:ascii="Arial" w:cs="Arial" w:eastAsia="Arial" w:hAnsi="Arial"/>
                <w:sz w:val="18"/>
                <w:szCs w:val="18"/>
                <w:color w:val="000000"/>
              </w:rPr>
              <w:t>. (1)</w:t>
            </w:r>
          </w:p>
        </w:tc>
      </w:tr>
      <w:tr>
        <w:trPr>
          <w:trHeight w:val="20"/>
        </w:trPr>
        <w:tc>
          <w:tcPr>
            <w:tcW w:w="150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4580" w:type="dxa"/>
            <w:vAlign w:val="bottom"/>
            <w:tcBorders>
              <w:left w:val="single" w:sz="8" w:color="0000FF"/>
            </w:tcBorders>
            <w:shd w:val="clear" w:color="auto" w:fill="0000FF"/>
          </w:tcPr>
          <w:p>
            <w:pPr>
              <w:spacing w:after="0" w:line="20" w:lineRule="exact"/>
              <w:rPr>
                <w:sz w:val="1"/>
                <w:szCs w:val="1"/>
                <w:color w:val="auto"/>
              </w:rPr>
            </w:pPr>
          </w:p>
        </w:tc>
        <w:tc>
          <w:tcPr>
            <w:tcW w:w="29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500" w:type="dxa"/>
            <w:vAlign w:val="bottom"/>
          </w:tcPr>
          <w:p>
            <w:pPr>
              <w:spacing w:after="0"/>
              <w:rPr>
                <w:sz w:val="20"/>
                <w:szCs w:val="20"/>
                <w:color w:val="auto"/>
              </w:rPr>
            </w:pPr>
            <w:r>
              <w:rPr>
                <w:rFonts w:ascii="Arial" w:cs="Arial" w:eastAsia="Arial" w:hAnsi="Arial"/>
                <w:sz w:val="18"/>
                <w:szCs w:val="18"/>
                <w:color w:val="auto"/>
              </w:rPr>
              <w:t>31.2</w:t>
            </w:r>
          </w:p>
        </w:tc>
        <w:tc>
          <w:tcPr>
            <w:tcW w:w="9600" w:type="dxa"/>
            <w:vAlign w:val="bottom"/>
            <w:gridSpan w:val="5"/>
          </w:tcPr>
          <w:p>
            <w:pPr>
              <w:spacing w:after="0"/>
              <w:rPr>
                <w:sz w:val="20"/>
                <w:szCs w:val="20"/>
                <w:color w:val="auto"/>
              </w:rPr>
            </w:pPr>
            <w:r>
              <w:rPr>
                <w:rFonts w:ascii="Arial" w:cs="Arial" w:eastAsia="Arial" w:hAnsi="Arial"/>
                <w:sz w:val="18"/>
                <w:szCs w:val="18"/>
                <w:color w:val="0000FF"/>
              </w:rPr>
              <w:t>Certification Pursuant to Rule 13a-14(a)/15d-14(a) by Chief Financial Officer and Treasurer</w:t>
            </w:r>
            <w:r>
              <w:rPr>
                <w:rFonts w:ascii="Arial" w:cs="Arial" w:eastAsia="Arial" w:hAnsi="Arial"/>
                <w:sz w:val="18"/>
                <w:szCs w:val="18"/>
                <w:color w:val="000000"/>
              </w:rPr>
              <w:t>. (1)</w:t>
            </w:r>
          </w:p>
        </w:tc>
      </w:tr>
      <w:tr>
        <w:trPr>
          <w:trHeight w:val="20"/>
        </w:trPr>
        <w:tc>
          <w:tcPr>
            <w:tcW w:w="150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4580" w:type="dxa"/>
            <w:vAlign w:val="bottom"/>
            <w:tcBorders>
              <w:left w:val="single" w:sz="8" w:color="0000FF"/>
            </w:tcBorders>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32.1</w:t>
            </w:r>
          </w:p>
        </w:tc>
        <w:tc>
          <w:tcPr>
            <w:tcW w:w="9600" w:type="dxa"/>
            <w:vAlign w:val="bottom"/>
            <w:gridSpan w:val="5"/>
          </w:tcPr>
          <w:p>
            <w:pPr>
              <w:spacing w:after="0"/>
              <w:rPr>
                <w:sz w:val="20"/>
                <w:szCs w:val="20"/>
                <w:color w:val="auto"/>
              </w:rPr>
            </w:pPr>
            <w:r>
              <w:rPr>
                <w:rFonts w:ascii="Arial" w:cs="Arial" w:eastAsia="Arial" w:hAnsi="Arial"/>
                <w:sz w:val="18"/>
                <w:szCs w:val="18"/>
                <w:color w:val="0000FF"/>
                <w:w w:val="90"/>
              </w:rPr>
              <w:t>Certification Pursuant to 18 U.S.C. Section 1350 by President and Chief Executive Officer, as adopted pursuant to Section 906 of the</w:t>
            </w:r>
          </w:p>
        </w:tc>
      </w:tr>
      <w:tr>
        <w:trPr>
          <w:trHeight w:val="169"/>
        </w:trPr>
        <w:tc>
          <w:tcPr>
            <w:tcW w:w="1500" w:type="dxa"/>
            <w:vAlign w:val="bottom"/>
          </w:tcPr>
          <w:p>
            <w:pPr>
              <w:spacing w:after="0"/>
              <w:rPr>
                <w:sz w:val="14"/>
                <w:szCs w:val="14"/>
                <w:color w:val="auto"/>
              </w:rPr>
            </w:pPr>
          </w:p>
        </w:tc>
        <w:tc>
          <w:tcPr>
            <w:tcW w:w="9580" w:type="dxa"/>
            <w:vAlign w:val="bottom"/>
            <w:tcBorders>
              <w:top w:val="single" w:sz="8" w:color="0000FF"/>
            </w:tcBorders>
            <w:gridSpan w:val="4"/>
          </w:tcPr>
          <w:p>
            <w:pPr>
              <w:spacing w:after="0" w:line="169" w:lineRule="exact"/>
              <w:rPr>
                <w:sz w:val="20"/>
                <w:szCs w:val="20"/>
                <w:color w:val="auto"/>
              </w:rPr>
            </w:pPr>
            <w:r>
              <w:rPr>
                <w:rFonts w:ascii="Arial" w:cs="Arial" w:eastAsia="Arial" w:hAnsi="Arial"/>
                <w:sz w:val="18"/>
                <w:szCs w:val="18"/>
                <w:color w:val="0000FF"/>
              </w:rPr>
              <w:t>Sarbanes-Oxley Act of 2002</w:t>
            </w:r>
            <w:r>
              <w:rPr>
                <w:rFonts w:ascii="Arial" w:cs="Arial" w:eastAsia="Arial" w:hAnsi="Arial"/>
                <w:sz w:val="18"/>
                <w:szCs w:val="18"/>
                <w:color w:val="000000"/>
              </w:rPr>
              <w:t>. (1)</w:t>
            </w:r>
          </w:p>
        </w:tc>
        <w:tc>
          <w:tcPr>
            <w:tcW w:w="20" w:type="dxa"/>
            <w:vAlign w:val="bottom"/>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7500" w:type="dxa"/>
            <w:vAlign w:val="bottom"/>
            <w:tcBorders>
              <w:left w:val="single" w:sz="8" w:color="0000FF"/>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85"/>
        </w:trPr>
        <w:tc>
          <w:tcPr>
            <w:tcW w:w="1500" w:type="dxa"/>
            <w:vAlign w:val="bottom"/>
          </w:tcPr>
          <w:p>
            <w:pPr>
              <w:spacing w:after="0"/>
              <w:rPr>
                <w:sz w:val="20"/>
                <w:szCs w:val="20"/>
                <w:color w:val="auto"/>
              </w:rPr>
            </w:pPr>
            <w:r>
              <w:rPr>
                <w:rFonts w:ascii="Arial" w:cs="Arial" w:eastAsia="Arial" w:hAnsi="Arial"/>
                <w:sz w:val="18"/>
                <w:szCs w:val="18"/>
                <w:color w:val="auto"/>
              </w:rPr>
              <w:t>32.2</w:t>
            </w:r>
          </w:p>
        </w:tc>
        <w:tc>
          <w:tcPr>
            <w:tcW w:w="9600" w:type="dxa"/>
            <w:vAlign w:val="bottom"/>
            <w:gridSpan w:val="5"/>
          </w:tcPr>
          <w:p>
            <w:pPr>
              <w:spacing w:after="0"/>
              <w:rPr>
                <w:sz w:val="20"/>
                <w:szCs w:val="20"/>
                <w:color w:val="auto"/>
              </w:rPr>
            </w:pPr>
            <w:r>
              <w:rPr>
                <w:rFonts w:ascii="Arial" w:cs="Arial" w:eastAsia="Arial" w:hAnsi="Arial"/>
                <w:sz w:val="18"/>
                <w:szCs w:val="18"/>
                <w:color w:val="0000FF"/>
                <w:w w:val="90"/>
              </w:rPr>
              <w:t>Certification Pursuant to 18 U.S.C. Section 1350 by Chief Financial Officer and Treasurer, as adopted pursuant to Section 906 of the</w:t>
            </w:r>
          </w:p>
        </w:tc>
      </w:tr>
      <w:tr>
        <w:trPr>
          <w:trHeight w:val="169"/>
        </w:trPr>
        <w:tc>
          <w:tcPr>
            <w:tcW w:w="1500" w:type="dxa"/>
            <w:vAlign w:val="bottom"/>
          </w:tcPr>
          <w:p>
            <w:pPr>
              <w:spacing w:after="0"/>
              <w:rPr>
                <w:sz w:val="14"/>
                <w:szCs w:val="14"/>
                <w:color w:val="auto"/>
              </w:rPr>
            </w:pPr>
          </w:p>
        </w:tc>
        <w:tc>
          <w:tcPr>
            <w:tcW w:w="9540" w:type="dxa"/>
            <w:vAlign w:val="bottom"/>
            <w:tcBorders>
              <w:top w:val="single" w:sz="8" w:color="0000FF"/>
            </w:tcBorders>
            <w:gridSpan w:val="3"/>
          </w:tcPr>
          <w:p>
            <w:pPr>
              <w:spacing w:after="0" w:line="169" w:lineRule="exact"/>
              <w:rPr>
                <w:sz w:val="20"/>
                <w:szCs w:val="20"/>
                <w:color w:val="auto"/>
              </w:rPr>
            </w:pPr>
            <w:r>
              <w:rPr>
                <w:rFonts w:ascii="Arial" w:cs="Arial" w:eastAsia="Arial" w:hAnsi="Arial"/>
                <w:sz w:val="18"/>
                <w:szCs w:val="18"/>
                <w:color w:val="0000FF"/>
              </w:rPr>
              <w:t>Sarbanes-Oxley Act of 2002</w:t>
            </w:r>
            <w:r>
              <w:rPr>
                <w:rFonts w:ascii="Arial" w:cs="Arial" w:eastAsia="Arial" w:hAnsi="Arial"/>
                <w:sz w:val="18"/>
                <w:szCs w:val="18"/>
                <w:color w:val="000000"/>
              </w:rPr>
              <w:t>. (1)</w:t>
            </w:r>
          </w:p>
        </w:tc>
        <w:tc>
          <w:tcPr>
            <w:tcW w:w="60" w:type="dxa"/>
            <w:vAlign w:val="bottom"/>
            <w:gridSpan w:val="2"/>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7560" w:type="dxa"/>
            <w:vAlign w:val="bottom"/>
            <w:gridSpan w:val="4"/>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101.INS</w:t>
            </w:r>
          </w:p>
        </w:tc>
        <w:tc>
          <w:tcPr>
            <w:tcW w:w="9600" w:type="dxa"/>
            <w:vAlign w:val="bottom"/>
            <w:gridSpan w:val="5"/>
          </w:tcPr>
          <w:p>
            <w:pPr>
              <w:spacing w:after="0"/>
              <w:rPr>
                <w:sz w:val="20"/>
                <w:szCs w:val="20"/>
                <w:color w:val="auto"/>
              </w:rPr>
            </w:pPr>
            <w:r>
              <w:rPr>
                <w:rFonts w:ascii="Arial" w:cs="Arial" w:eastAsia="Arial" w:hAnsi="Arial"/>
                <w:sz w:val="18"/>
                <w:szCs w:val="18"/>
                <w:color w:val="auto"/>
                <w:w w:val="91"/>
              </w:rPr>
              <w:t>XBRL Instance Document - the instance document does not appear in the interactive data file because its XBRL tags are embedded</w:t>
            </w:r>
          </w:p>
        </w:tc>
      </w:tr>
      <w:tr>
        <w:trPr>
          <w:trHeight w:val="230"/>
        </w:trPr>
        <w:tc>
          <w:tcPr>
            <w:tcW w:w="1500" w:type="dxa"/>
            <w:vAlign w:val="bottom"/>
          </w:tcPr>
          <w:p>
            <w:pPr>
              <w:spacing w:after="0"/>
              <w:rPr>
                <w:sz w:val="20"/>
                <w:szCs w:val="20"/>
                <w:color w:val="auto"/>
              </w:rPr>
            </w:pPr>
          </w:p>
        </w:tc>
        <w:tc>
          <w:tcPr>
            <w:tcW w:w="9600" w:type="dxa"/>
            <w:vAlign w:val="bottom"/>
            <w:gridSpan w:val="5"/>
          </w:tcPr>
          <w:p>
            <w:pPr>
              <w:spacing w:after="0"/>
              <w:rPr>
                <w:sz w:val="20"/>
                <w:szCs w:val="20"/>
                <w:color w:val="auto"/>
              </w:rPr>
            </w:pPr>
            <w:r>
              <w:rPr>
                <w:rFonts w:ascii="Arial" w:cs="Arial" w:eastAsia="Arial" w:hAnsi="Arial"/>
                <w:sz w:val="18"/>
                <w:szCs w:val="18"/>
                <w:color w:val="auto"/>
              </w:rPr>
              <w:t>within the inline XBRL document</w:t>
            </w:r>
          </w:p>
        </w:tc>
      </w:tr>
      <w:tr>
        <w:trPr>
          <w:trHeight w:val="391"/>
        </w:trPr>
        <w:tc>
          <w:tcPr>
            <w:tcW w:w="1500" w:type="dxa"/>
            <w:vAlign w:val="bottom"/>
          </w:tcPr>
          <w:p>
            <w:pPr>
              <w:spacing w:after="0"/>
              <w:rPr>
                <w:sz w:val="20"/>
                <w:szCs w:val="20"/>
                <w:color w:val="auto"/>
              </w:rPr>
            </w:pPr>
            <w:r>
              <w:rPr>
                <w:rFonts w:ascii="Arial" w:cs="Arial" w:eastAsia="Arial" w:hAnsi="Arial"/>
                <w:sz w:val="18"/>
                <w:szCs w:val="18"/>
                <w:color w:val="auto"/>
              </w:rPr>
              <w:t>101.SCH</w:t>
            </w:r>
          </w:p>
        </w:tc>
        <w:tc>
          <w:tcPr>
            <w:tcW w:w="960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378"/>
        </w:trPr>
        <w:tc>
          <w:tcPr>
            <w:tcW w:w="1500" w:type="dxa"/>
            <w:vAlign w:val="bottom"/>
          </w:tcPr>
          <w:p>
            <w:pPr>
              <w:spacing w:after="0"/>
              <w:rPr>
                <w:sz w:val="20"/>
                <w:szCs w:val="20"/>
                <w:color w:val="auto"/>
              </w:rPr>
            </w:pPr>
            <w:r>
              <w:rPr>
                <w:rFonts w:ascii="Arial" w:cs="Arial" w:eastAsia="Arial" w:hAnsi="Arial"/>
                <w:sz w:val="18"/>
                <w:szCs w:val="18"/>
                <w:color w:val="auto"/>
              </w:rPr>
              <w:t>101.CAL</w:t>
            </w:r>
          </w:p>
        </w:tc>
        <w:tc>
          <w:tcPr>
            <w:tcW w:w="960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78"/>
        </w:trPr>
        <w:tc>
          <w:tcPr>
            <w:tcW w:w="1500" w:type="dxa"/>
            <w:vAlign w:val="bottom"/>
          </w:tcPr>
          <w:p>
            <w:pPr>
              <w:spacing w:after="0"/>
              <w:rPr>
                <w:sz w:val="20"/>
                <w:szCs w:val="20"/>
                <w:color w:val="auto"/>
              </w:rPr>
            </w:pPr>
            <w:r>
              <w:rPr>
                <w:rFonts w:ascii="Arial" w:cs="Arial" w:eastAsia="Arial" w:hAnsi="Arial"/>
                <w:sz w:val="18"/>
                <w:szCs w:val="18"/>
                <w:color w:val="auto"/>
              </w:rPr>
              <w:t>101.DEF</w:t>
            </w:r>
          </w:p>
        </w:tc>
        <w:tc>
          <w:tcPr>
            <w:tcW w:w="960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78"/>
        </w:trPr>
        <w:tc>
          <w:tcPr>
            <w:tcW w:w="1500" w:type="dxa"/>
            <w:vAlign w:val="bottom"/>
          </w:tcPr>
          <w:p>
            <w:pPr>
              <w:spacing w:after="0"/>
              <w:rPr>
                <w:sz w:val="20"/>
                <w:szCs w:val="20"/>
                <w:color w:val="auto"/>
              </w:rPr>
            </w:pPr>
            <w:r>
              <w:rPr>
                <w:rFonts w:ascii="Arial" w:cs="Arial" w:eastAsia="Arial" w:hAnsi="Arial"/>
                <w:sz w:val="18"/>
                <w:szCs w:val="18"/>
                <w:color w:val="auto"/>
              </w:rPr>
              <w:t>101.LAB</w:t>
            </w:r>
          </w:p>
        </w:tc>
        <w:tc>
          <w:tcPr>
            <w:tcW w:w="960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78"/>
        </w:trPr>
        <w:tc>
          <w:tcPr>
            <w:tcW w:w="1500" w:type="dxa"/>
            <w:vAlign w:val="bottom"/>
          </w:tcPr>
          <w:p>
            <w:pPr>
              <w:spacing w:after="0"/>
              <w:rPr>
                <w:sz w:val="20"/>
                <w:szCs w:val="20"/>
                <w:color w:val="auto"/>
              </w:rPr>
            </w:pPr>
            <w:r>
              <w:rPr>
                <w:rFonts w:ascii="Arial" w:cs="Arial" w:eastAsia="Arial" w:hAnsi="Arial"/>
                <w:sz w:val="18"/>
                <w:szCs w:val="18"/>
                <w:color w:val="auto"/>
              </w:rPr>
              <w:t>101.PRE</w:t>
            </w:r>
          </w:p>
        </w:tc>
        <w:tc>
          <w:tcPr>
            <w:tcW w:w="960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48" w:lineRule="exact"/>
        <w:rPr>
          <w:sz w:val="20"/>
          <w:szCs w:val="20"/>
          <w:color w:val="auto"/>
        </w:rPr>
      </w:pPr>
    </w:p>
    <w:p>
      <w:pPr>
        <w:ind w:left="1500" w:hanging="1494"/>
        <w:spacing w:after="0"/>
        <w:tabs>
          <w:tab w:leader="none" w:pos="1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XBRL document</w:t>
      </w:r>
    </w:p>
    <w:p>
      <w:pPr>
        <w:spacing w:after="0" w:line="171" w:lineRule="exact"/>
        <w:rPr>
          <w:rFonts w:ascii="Arial" w:cs="Arial" w:eastAsia="Arial" w:hAnsi="Arial"/>
          <w:sz w:val="18"/>
          <w:szCs w:val="18"/>
          <w:color w:val="auto"/>
        </w:rPr>
      </w:pPr>
    </w:p>
    <w:p>
      <w:pPr>
        <w:ind w:left="1500" w:hanging="252"/>
        <w:spacing w:after="0"/>
        <w:tabs>
          <w:tab w:leader="none" w:pos="15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Filed currently herewith.</w:t>
      </w:r>
    </w:p>
    <w:p>
      <w:pPr>
        <w:spacing w:after="0" w:line="23" w:lineRule="exact"/>
        <w:rPr>
          <w:rFonts w:ascii="Arial" w:cs="Arial" w:eastAsia="Arial" w:hAnsi="Arial"/>
          <w:sz w:val="18"/>
          <w:szCs w:val="18"/>
          <w:color w:val="auto"/>
        </w:rPr>
      </w:pPr>
    </w:p>
    <w:p>
      <w:pPr>
        <w:ind w:left="1500" w:hanging="252"/>
        <w:spacing w:after="0"/>
        <w:tabs>
          <w:tab w:leader="none" w:pos="15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Management contract or compensatory plan or agreement.</w:t>
      </w:r>
    </w:p>
    <w:p>
      <w:pPr>
        <w:spacing w:after="0" w:line="22" w:lineRule="exact"/>
        <w:rPr>
          <w:rFonts w:ascii="Arial" w:cs="Arial" w:eastAsia="Arial" w:hAnsi="Arial"/>
          <w:sz w:val="18"/>
          <w:szCs w:val="18"/>
          <w:color w:val="auto"/>
        </w:rPr>
      </w:pPr>
    </w:p>
    <w:p>
      <w:pPr>
        <w:ind w:left="1240" w:right="360" w:firstLine="8"/>
        <w:spacing w:after="0" w:line="234" w:lineRule="auto"/>
        <w:tabs>
          <w:tab w:leader="none" w:pos="1495" w:val="left"/>
        </w:tabs>
        <w:numPr>
          <w:ilvl w:val="1"/>
          <w:numId w:val="28"/>
        </w:numPr>
        <w:rPr>
          <w:rFonts w:ascii="Arial" w:cs="Arial" w:eastAsia="Arial" w:hAnsi="Arial"/>
          <w:sz w:val="18"/>
          <w:szCs w:val="18"/>
          <w:color w:val="auto"/>
        </w:rPr>
      </w:pPr>
      <w:r>
        <w:rPr>
          <w:rFonts w:ascii="Arial" w:cs="Arial" w:eastAsia="Arial" w:hAnsi="Arial"/>
          <w:sz w:val="18"/>
          <w:szCs w:val="18"/>
          <w:color w:val="auto"/>
        </w:rPr>
        <w:t>Pursuant to Item 601(b)(2) of Regulation S-K, certain exhibits and schedules have been omitted. The registrant hereby agrees to furnish supplementally a copy of any omitted exhibit or schedule to the SEC upon request.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1188" w:right="479" w:bottom="1440" w:gutter="0" w:footer="0" w:header="0"/>
        </w:sectPr>
      </w:pPr>
    </w:p>
    <w:bookmarkStart w:id="92" w:name="page93"/>
    <w:bookmarkEnd w:id="92"/>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78"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SJW Group</w:t>
      </w:r>
    </w:p>
    <w:p>
      <w:pPr>
        <w:spacing w:after="0" w:line="77" w:lineRule="exact"/>
        <w:rPr>
          <w:sz w:val="20"/>
          <w:szCs w:val="20"/>
          <w:color w:val="auto"/>
        </w:rPr>
      </w:pPr>
    </w:p>
    <w:p>
      <w:pPr>
        <w:ind w:left="200"/>
        <w:spacing w:after="0"/>
        <w:tabs>
          <w:tab w:leader="none" w:pos="5520" w:val="left"/>
          <w:tab w:leader="none" w:pos="7700" w:val="left"/>
        </w:tabs>
        <w:rPr>
          <w:sz w:val="20"/>
          <w:szCs w:val="20"/>
          <w:color w:val="auto"/>
        </w:rPr>
      </w:pPr>
      <w:r>
        <w:rPr>
          <w:rFonts w:ascii="Arial" w:cs="Arial" w:eastAsia="Arial" w:hAnsi="Arial"/>
          <w:sz w:val="18"/>
          <w:szCs w:val="18"/>
          <w:color w:val="auto"/>
        </w:rPr>
        <w:t>Date: February 24,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W. Thornburg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715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1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82" w:lineRule="exact"/>
        <w:rPr>
          <w:sz w:val="20"/>
          <w:szCs w:val="20"/>
          <w:color w:val="auto"/>
        </w:rPr>
      </w:pPr>
    </w:p>
    <w:p>
      <w:pPr>
        <w:jc w:val="center"/>
        <w:ind w:left="5760"/>
        <w:spacing w:after="0"/>
        <w:rPr>
          <w:sz w:val="20"/>
          <w:szCs w:val="20"/>
          <w:color w:val="auto"/>
        </w:rPr>
      </w:pPr>
      <w:r>
        <w:rPr>
          <w:rFonts w:ascii="Arial" w:cs="Arial" w:eastAsia="Arial" w:hAnsi="Arial"/>
          <w:sz w:val="18"/>
          <w:szCs w:val="18"/>
          <w:color w:val="auto"/>
        </w:rPr>
        <w:t>ERIC W. THORNBURG,</w:t>
      </w:r>
    </w:p>
    <w:p>
      <w:pPr>
        <w:jc w:val="center"/>
        <w:ind w:left="5720"/>
        <w:spacing w:after="0" w:line="203" w:lineRule="auto"/>
        <w:rPr>
          <w:sz w:val="20"/>
          <w:szCs w:val="20"/>
          <w:color w:val="auto"/>
        </w:rPr>
      </w:pPr>
      <w:r>
        <w:rPr>
          <w:rFonts w:ascii="Arial" w:cs="Arial" w:eastAsia="Arial" w:hAnsi="Arial"/>
          <w:sz w:val="18"/>
          <w:szCs w:val="18"/>
          <w:color w:val="auto"/>
        </w:rPr>
        <w:t>President, Chief Executive Officer and</w:t>
      </w:r>
    </w:p>
    <w:p>
      <w:pPr>
        <w:jc w:val="center"/>
        <w:ind w:left="5760"/>
        <w:spacing w:after="0" w:line="219" w:lineRule="auto"/>
        <w:rPr>
          <w:sz w:val="20"/>
          <w:szCs w:val="20"/>
          <w:color w:val="auto"/>
        </w:rPr>
      </w:pPr>
      <w:r>
        <w:rPr>
          <w:rFonts w:ascii="Arial" w:cs="Arial" w:eastAsia="Arial" w:hAnsi="Arial"/>
          <w:sz w:val="18"/>
          <w:szCs w:val="18"/>
          <w:color w:val="auto"/>
        </w:rPr>
        <w:t>Chair of the Board</w:t>
      </w:r>
    </w:p>
    <w:p>
      <w:pPr>
        <w:spacing w:after="0" w:line="1"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(Principal executive officer)</w:t>
      </w:r>
    </w:p>
    <w:p>
      <w:pPr>
        <w:spacing w:after="0" w:line="23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51" w:lineRule="exact"/>
        <w:rPr>
          <w:sz w:val="20"/>
          <w:szCs w:val="20"/>
          <w:color w:val="auto"/>
        </w:rPr>
      </w:pPr>
    </w:p>
    <w:p>
      <w:pPr>
        <w:ind w:left="200"/>
        <w:spacing w:after="0"/>
        <w:tabs>
          <w:tab w:leader="none" w:pos="5520" w:val="left"/>
          <w:tab w:leader="none" w:pos="7700" w:val="left"/>
        </w:tabs>
        <w:rPr>
          <w:sz w:val="20"/>
          <w:szCs w:val="20"/>
          <w:color w:val="auto"/>
        </w:rPr>
      </w:pPr>
      <w:r>
        <w:rPr>
          <w:rFonts w:ascii="Arial" w:cs="Arial" w:eastAsia="Arial" w:hAnsi="Arial"/>
          <w:sz w:val="18"/>
          <w:szCs w:val="18"/>
          <w:color w:val="auto"/>
        </w:rPr>
        <w:t>Date: February 24,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W. Thornburg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715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13">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 w:lineRule="exact"/>
        <w:rPr>
          <w:sz w:val="20"/>
          <w:szCs w:val="20"/>
          <w:color w:val="auto"/>
        </w:rPr>
      </w:pPr>
    </w:p>
    <w:p>
      <w:pPr>
        <w:jc w:val="center"/>
        <w:ind w:left="5760"/>
        <w:spacing w:after="0"/>
        <w:rPr>
          <w:sz w:val="20"/>
          <w:szCs w:val="20"/>
          <w:color w:val="auto"/>
        </w:rPr>
      </w:pPr>
      <w:r>
        <w:rPr>
          <w:rFonts w:ascii="Arial" w:cs="Arial" w:eastAsia="Arial" w:hAnsi="Arial"/>
          <w:sz w:val="18"/>
          <w:szCs w:val="18"/>
          <w:color w:val="auto"/>
        </w:rPr>
        <w:t>ERIC W. THORNBURG,</w:t>
      </w:r>
    </w:p>
    <w:p>
      <w:pPr>
        <w:jc w:val="center"/>
        <w:ind w:left="5720"/>
        <w:spacing w:after="0" w:line="219" w:lineRule="auto"/>
        <w:rPr>
          <w:sz w:val="20"/>
          <w:szCs w:val="20"/>
          <w:color w:val="auto"/>
        </w:rPr>
      </w:pPr>
      <w:r>
        <w:rPr>
          <w:rFonts w:ascii="Arial" w:cs="Arial" w:eastAsia="Arial" w:hAnsi="Arial"/>
          <w:sz w:val="18"/>
          <w:szCs w:val="18"/>
          <w:color w:val="auto"/>
        </w:rPr>
        <w:t>President, Chief Executive Officer and</w:t>
      </w:r>
    </w:p>
    <w:p>
      <w:pPr>
        <w:jc w:val="center"/>
        <w:ind w:left="5760"/>
        <w:spacing w:after="0" w:line="203" w:lineRule="auto"/>
        <w:rPr>
          <w:sz w:val="20"/>
          <w:szCs w:val="20"/>
          <w:color w:val="auto"/>
        </w:rPr>
      </w:pPr>
      <w:r>
        <w:rPr>
          <w:rFonts w:ascii="Arial" w:cs="Arial" w:eastAsia="Arial" w:hAnsi="Arial"/>
          <w:sz w:val="18"/>
          <w:szCs w:val="18"/>
          <w:color w:val="auto"/>
        </w:rPr>
        <w:t>Chair of the Board</w:t>
      </w:r>
    </w:p>
    <w:p>
      <w:pPr>
        <w:spacing w:after="0" w:line="1" w:lineRule="exact"/>
        <w:rPr>
          <w:sz w:val="20"/>
          <w:szCs w:val="20"/>
          <w:color w:val="auto"/>
        </w:rPr>
      </w:pPr>
    </w:p>
    <w:p>
      <w:pPr>
        <w:jc w:val="center"/>
        <w:ind w:left="5760"/>
        <w:spacing w:after="0"/>
        <w:rPr>
          <w:sz w:val="20"/>
          <w:szCs w:val="20"/>
          <w:color w:val="auto"/>
        </w:rPr>
      </w:pPr>
      <w:r>
        <w:rPr>
          <w:rFonts w:ascii="Arial" w:cs="Arial" w:eastAsia="Arial" w:hAnsi="Arial"/>
          <w:sz w:val="18"/>
          <w:szCs w:val="18"/>
          <w:color w:val="auto"/>
        </w:rPr>
        <w:t>(Principal executive officer)</w:t>
      </w:r>
    </w:p>
    <w:p>
      <w:pPr>
        <w:spacing w:after="0" w:line="115" w:lineRule="exact"/>
        <w:rPr>
          <w:sz w:val="20"/>
          <w:szCs w:val="20"/>
          <w:color w:val="auto"/>
        </w:rPr>
      </w:pPr>
    </w:p>
    <w:p>
      <w:pPr>
        <w:ind w:left="200"/>
        <w:spacing w:after="0"/>
        <w:tabs>
          <w:tab w:leader="none" w:pos="5520" w:val="left"/>
          <w:tab w:leader="none" w:pos="7700" w:val="left"/>
        </w:tabs>
        <w:rPr>
          <w:sz w:val="20"/>
          <w:szCs w:val="20"/>
          <w:color w:val="auto"/>
        </w:rPr>
      </w:pPr>
      <w:r>
        <w:rPr>
          <w:rFonts w:ascii="Arial" w:cs="Arial" w:eastAsia="Arial" w:hAnsi="Arial"/>
          <w:sz w:val="18"/>
          <w:szCs w:val="18"/>
          <w:color w:val="auto"/>
        </w:rPr>
        <w:t>Date: February 24,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F. Walters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715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14">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 w:lineRule="exact"/>
        <w:rPr>
          <w:sz w:val="20"/>
          <w:szCs w:val="20"/>
          <w:color w:val="auto"/>
        </w:rPr>
      </w:pPr>
    </w:p>
    <w:p>
      <w:pPr>
        <w:jc w:val="center"/>
        <w:ind w:left="5760"/>
        <w:spacing w:after="0"/>
        <w:rPr>
          <w:sz w:val="20"/>
          <w:szCs w:val="20"/>
          <w:color w:val="auto"/>
        </w:rPr>
      </w:pPr>
      <w:r>
        <w:rPr>
          <w:rFonts w:ascii="Arial" w:cs="Arial" w:eastAsia="Arial" w:hAnsi="Arial"/>
          <w:sz w:val="18"/>
          <w:szCs w:val="18"/>
          <w:color w:val="auto"/>
        </w:rPr>
        <w:t>ANDREW F. WALTERS,</w:t>
      </w:r>
    </w:p>
    <w:p>
      <w:pPr>
        <w:jc w:val="center"/>
        <w:ind w:left="5760"/>
        <w:spacing w:after="0" w:line="219" w:lineRule="auto"/>
        <w:rPr>
          <w:sz w:val="20"/>
          <w:szCs w:val="20"/>
          <w:color w:val="auto"/>
        </w:rPr>
      </w:pPr>
      <w:r>
        <w:rPr>
          <w:rFonts w:ascii="Arial" w:cs="Arial" w:eastAsia="Arial" w:hAnsi="Arial"/>
          <w:sz w:val="18"/>
          <w:szCs w:val="18"/>
          <w:color w:val="auto"/>
        </w:rPr>
        <w:t>Chief Financial Officer and Treasurer</w:t>
      </w:r>
    </w:p>
    <w:p>
      <w:pPr>
        <w:ind w:left="7520"/>
        <w:spacing w:after="0"/>
        <w:rPr>
          <w:sz w:val="20"/>
          <w:szCs w:val="20"/>
          <w:color w:val="auto"/>
        </w:rPr>
      </w:pPr>
      <w:r>
        <w:rPr>
          <w:rFonts w:ascii="Arial" w:cs="Arial" w:eastAsia="Arial" w:hAnsi="Arial"/>
          <w:sz w:val="18"/>
          <w:szCs w:val="18"/>
          <w:color w:val="auto"/>
        </w:rPr>
        <w:t>(Principal financial officer)</w:t>
      </w:r>
    </w:p>
    <w:p>
      <w:pPr>
        <w:spacing w:after="0" w:line="182" w:lineRule="exact"/>
        <w:rPr>
          <w:sz w:val="20"/>
          <w:szCs w:val="20"/>
          <w:color w:val="auto"/>
        </w:rPr>
      </w:pPr>
    </w:p>
    <w:p>
      <w:pPr>
        <w:ind w:left="200"/>
        <w:spacing w:after="0"/>
        <w:tabs>
          <w:tab w:leader="none" w:pos="5520" w:val="left"/>
          <w:tab w:leader="none" w:pos="7620" w:val="left"/>
        </w:tabs>
        <w:rPr>
          <w:sz w:val="20"/>
          <w:szCs w:val="20"/>
          <w:color w:val="auto"/>
        </w:rPr>
      </w:pPr>
      <w:r>
        <w:rPr>
          <w:rFonts w:ascii="Arial" w:cs="Arial" w:eastAsia="Arial" w:hAnsi="Arial"/>
          <w:sz w:val="18"/>
          <w:szCs w:val="18"/>
          <w:color w:val="auto"/>
        </w:rPr>
        <w:t>Date: February 24,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Wendy Avila-Walker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7154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15">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 w:lineRule="exact"/>
        <w:rPr>
          <w:sz w:val="20"/>
          <w:szCs w:val="20"/>
          <w:color w:val="auto"/>
        </w:rPr>
      </w:pPr>
    </w:p>
    <w:p>
      <w:pPr>
        <w:jc w:val="center"/>
        <w:ind w:left="5760"/>
        <w:spacing w:after="0"/>
        <w:rPr>
          <w:sz w:val="20"/>
          <w:szCs w:val="20"/>
          <w:color w:val="auto"/>
        </w:rPr>
      </w:pPr>
      <w:r>
        <w:rPr>
          <w:rFonts w:ascii="Arial" w:cs="Arial" w:eastAsia="Arial" w:hAnsi="Arial"/>
          <w:sz w:val="18"/>
          <w:szCs w:val="18"/>
          <w:color w:val="auto"/>
        </w:rPr>
        <w:t>WENDY AVILA-WALKER</w:t>
      </w:r>
    </w:p>
    <w:p>
      <w:pPr>
        <w:jc w:val="center"/>
        <w:ind w:left="5760"/>
        <w:spacing w:after="0" w:line="219" w:lineRule="auto"/>
        <w:rPr>
          <w:sz w:val="20"/>
          <w:szCs w:val="20"/>
          <w:color w:val="auto"/>
        </w:rPr>
      </w:pPr>
      <w:r>
        <w:rPr>
          <w:rFonts w:ascii="Arial" w:cs="Arial" w:eastAsia="Arial" w:hAnsi="Arial"/>
          <w:sz w:val="18"/>
          <w:szCs w:val="18"/>
          <w:color w:val="auto"/>
        </w:rPr>
        <w:t>Vice President of Finance, Controller</w:t>
      </w:r>
    </w:p>
    <w:p>
      <w:pPr>
        <w:ind w:left="8080"/>
        <w:spacing w:after="0"/>
        <w:rPr>
          <w:sz w:val="20"/>
          <w:szCs w:val="20"/>
          <w:color w:val="auto"/>
        </w:rPr>
      </w:pPr>
      <w:r>
        <w:rPr>
          <w:rFonts w:ascii="Arial" w:cs="Arial" w:eastAsia="Arial" w:hAnsi="Arial"/>
          <w:sz w:val="18"/>
          <w:szCs w:val="18"/>
          <w:color w:val="auto"/>
        </w:rPr>
        <w:t>(Controller)</w:t>
      </w:r>
    </w:p>
    <w:p>
      <w:pPr>
        <w:spacing w:after="0" w:line="182" w:lineRule="exact"/>
        <w:rPr>
          <w:sz w:val="20"/>
          <w:szCs w:val="20"/>
          <w:color w:val="auto"/>
        </w:rPr>
      </w:pPr>
    </w:p>
    <w:p>
      <w:pPr>
        <w:ind w:left="200"/>
        <w:spacing w:after="0"/>
        <w:tabs>
          <w:tab w:leader="none" w:pos="5520" w:val="left"/>
          <w:tab w:leader="none" w:pos="7780" w:val="left"/>
        </w:tabs>
        <w:rPr>
          <w:sz w:val="20"/>
          <w:szCs w:val="20"/>
          <w:color w:val="auto"/>
        </w:rPr>
      </w:pPr>
      <w:r>
        <w:rPr>
          <w:rFonts w:ascii="Arial" w:cs="Arial" w:eastAsia="Arial" w:hAnsi="Arial"/>
          <w:sz w:val="18"/>
          <w:szCs w:val="18"/>
          <w:color w:val="auto"/>
        </w:rPr>
        <w:t>Date: February 24,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Walter J. Bishop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715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16">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 w:lineRule="exact"/>
        <w:rPr>
          <w:sz w:val="20"/>
          <w:szCs w:val="20"/>
          <w:color w:val="auto"/>
        </w:rPr>
      </w:pPr>
    </w:p>
    <w:p>
      <w:pPr>
        <w:jc w:val="center"/>
        <w:ind w:left="5760"/>
        <w:spacing w:after="0"/>
        <w:rPr>
          <w:sz w:val="20"/>
          <w:szCs w:val="20"/>
          <w:color w:val="auto"/>
        </w:rPr>
      </w:pPr>
      <w:r>
        <w:rPr>
          <w:rFonts w:ascii="Arial" w:cs="Arial" w:eastAsia="Arial" w:hAnsi="Arial"/>
          <w:sz w:val="18"/>
          <w:szCs w:val="18"/>
          <w:color w:val="auto"/>
        </w:rPr>
        <w:t>WALTER J. BISHOP,</w:t>
      </w:r>
    </w:p>
    <w:p>
      <w:pPr>
        <w:jc w:val="center"/>
        <w:ind w:left="5760"/>
        <w:spacing w:after="0"/>
        <w:rPr>
          <w:sz w:val="20"/>
          <w:szCs w:val="20"/>
          <w:color w:val="auto"/>
        </w:rPr>
      </w:pPr>
      <w:r>
        <w:rPr>
          <w:rFonts w:ascii="Arial" w:cs="Arial" w:eastAsia="Arial" w:hAnsi="Arial"/>
          <w:sz w:val="18"/>
          <w:szCs w:val="18"/>
          <w:color w:val="auto"/>
        </w:rPr>
        <w:t>Member, Board of Directors</w:t>
      </w:r>
    </w:p>
    <w:p>
      <w:pPr>
        <w:spacing w:after="0" w:line="74" w:lineRule="exact"/>
        <w:rPr>
          <w:sz w:val="20"/>
          <w:szCs w:val="20"/>
          <w:color w:val="auto"/>
        </w:rPr>
      </w:pPr>
    </w:p>
    <w:p>
      <w:pPr>
        <w:ind w:left="200"/>
        <w:spacing w:after="0"/>
        <w:tabs>
          <w:tab w:leader="none" w:pos="5520" w:val="left"/>
          <w:tab w:leader="none" w:pos="7860" w:val="left"/>
        </w:tabs>
        <w:rPr>
          <w:sz w:val="20"/>
          <w:szCs w:val="20"/>
          <w:color w:val="auto"/>
        </w:rPr>
      </w:pPr>
      <w:r>
        <w:rPr>
          <w:rFonts w:ascii="Arial" w:cs="Arial" w:eastAsia="Arial" w:hAnsi="Arial"/>
          <w:sz w:val="18"/>
          <w:szCs w:val="18"/>
          <w:color w:val="auto"/>
        </w:rPr>
        <w:t>Date: February 24,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Carl Guardino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715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17">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 w:lineRule="exact"/>
        <w:rPr>
          <w:sz w:val="20"/>
          <w:szCs w:val="20"/>
          <w:color w:val="auto"/>
        </w:rPr>
      </w:pPr>
    </w:p>
    <w:p>
      <w:pPr>
        <w:jc w:val="center"/>
        <w:ind w:left="5760"/>
        <w:spacing w:after="0"/>
        <w:rPr>
          <w:sz w:val="20"/>
          <w:szCs w:val="20"/>
          <w:color w:val="auto"/>
        </w:rPr>
      </w:pPr>
      <w:r>
        <w:rPr>
          <w:rFonts w:ascii="Arial" w:cs="Arial" w:eastAsia="Arial" w:hAnsi="Arial"/>
          <w:sz w:val="18"/>
          <w:szCs w:val="18"/>
          <w:color w:val="auto"/>
        </w:rPr>
        <w:t>CARL GUARDINO,</w:t>
      </w:r>
    </w:p>
    <w:p>
      <w:pPr>
        <w:jc w:val="center"/>
        <w:ind w:left="5760"/>
        <w:spacing w:after="0"/>
        <w:rPr>
          <w:sz w:val="20"/>
          <w:szCs w:val="20"/>
          <w:color w:val="auto"/>
        </w:rPr>
      </w:pPr>
      <w:r>
        <w:rPr>
          <w:rFonts w:ascii="Arial" w:cs="Arial" w:eastAsia="Arial" w:hAnsi="Arial"/>
          <w:sz w:val="18"/>
          <w:szCs w:val="18"/>
          <w:color w:val="auto"/>
        </w:rPr>
        <w:t>Member, Board of Directors</w:t>
      </w:r>
    </w:p>
    <w:p>
      <w:pPr>
        <w:spacing w:after="0" w:line="74" w:lineRule="exact"/>
        <w:rPr>
          <w:sz w:val="20"/>
          <w:szCs w:val="20"/>
          <w:color w:val="auto"/>
        </w:rPr>
      </w:pPr>
    </w:p>
    <w:p>
      <w:pPr>
        <w:ind w:left="200"/>
        <w:spacing w:after="0"/>
        <w:tabs>
          <w:tab w:leader="none" w:pos="5520" w:val="left"/>
          <w:tab w:leader="none" w:pos="7720" w:val="left"/>
        </w:tabs>
        <w:rPr>
          <w:sz w:val="20"/>
          <w:szCs w:val="20"/>
          <w:color w:val="auto"/>
        </w:rPr>
      </w:pPr>
      <w:r>
        <w:rPr>
          <w:rFonts w:ascii="Arial" w:cs="Arial" w:eastAsia="Arial" w:hAnsi="Arial"/>
          <w:sz w:val="18"/>
          <w:szCs w:val="18"/>
          <w:color w:val="auto"/>
        </w:rPr>
        <w:t>Date: February 24,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Mary Ann Hanley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7154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18">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 w:lineRule="exact"/>
        <w:rPr>
          <w:sz w:val="20"/>
          <w:szCs w:val="20"/>
          <w:color w:val="auto"/>
        </w:rPr>
      </w:pPr>
    </w:p>
    <w:p>
      <w:pPr>
        <w:jc w:val="center"/>
        <w:ind w:left="5760"/>
        <w:spacing w:after="0"/>
        <w:rPr>
          <w:sz w:val="20"/>
          <w:szCs w:val="20"/>
          <w:color w:val="auto"/>
        </w:rPr>
      </w:pPr>
      <w:r>
        <w:rPr>
          <w:rFonts w:ascii="Arial" w:cs="Arial" w:eastAsia="Arial" w:hAnsi="Arial"/>
          <w:sz w:val="18"/>
          <w:szCs w:val="18"/>
          <w:color w:val="auto"/>
        </w:rPr>
        <w:t>MARY ANN HANLEY,</w:t>
      </w:r>
    </w:p>
    <w:p>
      <w:pPr>
        <w:jc w:val="center"/>
        <w:ind w:left="5760"/>
        <w:spacing w:after="0"/>
        <w:rPr>
          <w:sz w:val="20"/>
          <w:szCs w:val="20"/>
          <w:color w:val="auto"/>
        </w:rPr>
      </w:pPr>
      <w:r>
        <w:rPr>
          <w:rFonts w:ascii="Arial" w:cs="Arial" w:eastAsia="Arial" w:hAnsi="Arial"/>
          <w:sz w:val="18"/>
          <w:szCs w:val="18"/>
          <w:color w:val="auto"/>
        </w:rPr>
        <w:t>Member, Board of Directors</w:t>
      </w:r>
    </w:p>
    <w:p>
      <w:pPr>
        <w:spacing w:after="0" w:line="74" w:lineRule="exact"/>
        <w:rPr>
          <w:sz w:val="20"/>
          <w:szCs w:val="20"/>
          <w:color w:val="auto"/>
        </w:rPr>
      </w:pPr>
    </w:p>
    <w:p>
      <w:pPr>
        <w:ind w:left="200"/>
        <w:spacing w:after="0"/>
        <w:tabs>
          <w:tab w:leader="none" w:pos="5520" w:val="left"/>
          <w:tab w:leader="none" w:pos="7900" w:val="left"/>
        </w:tabs>
        <w:rPr>
          <w:sz w:val="20"/>
          <w:szCs w:val="20"/>
          <w:color w:val="auto"/>
        </w:rPr>
      </w:pPr>
      <w:r>
        <w:rPr>
          <w:rFonts w:ascii="Arial" w:cs="Arial" w:eastAsia="Arial" w:hAnsi="Arial"/>
          <w:sz w:val="18"/>
          <w:szCs w:val="18"/>
          <w:color w:val="auto"/>
        </w:rPr>
        <w:t>Date: February 24,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Heather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715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1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 w:lineRule="exact"/>
        <w:rPr>
          <w:sz w:val="20"/>
          <w:szCs w:val="20"/>
          <w:color w:val="auto"/>
        </w:rPr>
      </w:pPr>
    </w:p>
    <w:p>
      <w:pPr>
        <w:jc w:val="center"/>
        <w:ind w:left="5760"/>
        <w:spacing w:after="0"/>
        <w:rPr>
          <w:sz w:val="20"/>
          <w:szCs w:val="20"/>
          <w:color w:val="auto"/>
        </w:rPr>
      </w:pPr>
      <w:r>
        <w:rPr>
          <w:rFonts w:ascii="Arial" w:cs="Arial" w:eastAsia="Arial" w:hAnsi="Arial"/>
          <w:sz w:val="18"/>
          <w:szCs w:val="18"/>
          <w:color w:val="auto"/>
        </w:rPr>
        <w:t>HEATHER HUNT,</w:t>
      </w:r>
    </w:p>
    <w:p>
      <w:pPr>
        <w:jc w:val="center"/>
        <w:ind w:left="5760"/>
        <w:spacing w:after="0"/>
        <w:rPr>
          <w:sz w:val="20"/>
          <w:szCs w:val="20"/>
          <w:color w:val="auto"/>
        </w:rPr>
      </w:pPr>
      <w:r>
        <w:rPr>
          <w:rFonts w:ascii="Arial" w:cs="Arial" w:eastAsia="Arial" w:hAnsi="Arial"/>
          <w:sz w:val="18"/>
          <w:szCs w:val="18"/>
          <w:color w:val="auto"/>
        </w:rPr>
        <w:t>Member,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12" w:right="399" w:bottom="1440" w:gutter="0" w:footer="0" w:header="0"/>
        </w:sectPr>
      </w:pPr>
    </w:p>
    <w:bookmarkStart w:id="93" w:name="page94"/>
    <w:bookmarkEnd w:id="93"/>
    <w:p>
      <w:pPr>
        <w:spacing w:after="0"/>
        <w:tabs>
          <w:tab w:leader="none" w:pos="5320" w:val="left"/>
          <w:tab w:leader="none" w:pos="7540" w:val="left"/>
        </w:tabs>
        <w:rPr>
          <w:sz w:val="20"/>
          <w:szCs w:val="20"/>
          <w:color w:val="auto"/>
        </w:rPr>
      </w:pPr>
      <w:r>
        <w:rPr>
          <w:rFonts w:ascii="Arial" w:cs="Arial" w:eastAsia="Arial" w:hAnsi="Arial"/>
          <w:sz w:val="18"/>
          <w:szCs w:val="18"/>
          <w:color w:val="auto"/>
        </w:rPr>
        <w:t>Date: February 24,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Rebecca A.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14605</wp:posOffset>
            </wp:positionV>
            <wp:extent cx="34715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21">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REBECCA A. KLEIN,</w:t>
      </w:r>
    </w:p>
    <w:p>
      <w:pPr>
        <w:jc w:val="center"/>
        <w:ind w:left="5740"/>
        <w:spacing w:after="0"/>
        <w:rPr>
          <w:sz w:val="20"/>
          <w:szCs w:val="20"/>
          <w:color w:val="auto"/>
        </w:rPr>
      </w:pPr>
      <w:r>
        <w:rPr>
          <w:rFonts w:ascii="Arial" w:cs="Arial" w:eastAsia="Arial" w:hAnsi="Arial"/>
          <w:sz w:val="16"/>
          <w:szCs w:val="16"/>
          <w:color w:val="auto"/>
        </w:rPr>
        <w:t>Member, Board of Directors</w:t>
      </w:r>
    </w:p>
    <w:p>
      <w:pPr>
        <w:spacing w:after="0" w:line="97" w:lineRule="exact"/>
        <w:rPr>
          <w:sz w:val="20"/>
          <w:szCs w:val="20"/>
          <w:color w:val="auto"/>
        </w:rPr>
      </w:pPr>
    </w:p>
    <w:p>
      <w:pPr>
        <w:spacing w:after="0"/>
        <w:tabs>
          <w:tab w:leader="none" w:pos="5320" w:val="left"/>
          <w:tab w:leader="none" w:pos="7520" w:val="left"/>
        </w:tabs>
        <w:rPr>
          <w:sz w:val="20"/>
          <w:szCs w:val="20"/>
          <w:color w:val="auto"/>
        </w:rPr>
      </w:pPr>
      <w:r>
        <w:rPr>
          <w:rFonts w:ascii="Arial" w:cs="Arial" w:eastAsia="Arial" w:hAnsi="Arial"/>
          <w:sz w:val="18"/>
          <w:szCs w:val="18"/>
          <w:color w:val="auto"/>
        </w:rPr>
        <w:t>Date: February 24,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Gregory P. Landis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14605</wp:posOffset>
            </wp:positionV>
            <wp:extent cx="34715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2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GREGORY P. LANDIS,</w:t>
      </w:r>
    </w:p>
    <w:p>
      <w:pPr>
        <w:jc w:val="center"/>
        <w:ind w:left="5740"/>
        <w:spacing w:after="0"/>
        <w:rPr>
          <w:sz w:val="20"/>
          <w:szCs w:val="20"/>
          <w:color w:val="auto"/>
        </w:rPr>
      </w:pPr>
      <w:r>
        <w:rPr>
          <w:rFonts w:ascii="Arial" w:cs="Arial" w:eastAsia="Arial" w:hAnsi="Arial"/>
          <w:sz w:val="16"/>
          <w:szCs w:val="16"/>
          <w:color w:val="auto"/>
        </w:rPr>
        <w:t>Member, Board of Directors</w:t>
      </w:r>
    </w:p>
    <w:p>
      <w:pPr>
        <w:spacing w:after="0" w:line="97" w:lineRule="exact"/>
        <w:rPr>
          <w:sz w:val="20"/>
          <w:szCs w:val="20"/>
          <w:color w:val="auto"/>
        </w:rPr>
      </w:pPr>
    </w:p>
    <w:p>
      <w:pPr>
        <w:spacing w:after="0"/>
        <w:tabs>
          <w:tab w:leader="none" w:pos="5320" w:val="left"/>
          <w:tab w:leader="none" w:pos="7620" w:val="left"/>
        </w:tabs>
        <w:rPr>
          <w:sz w:val="20"/>
          <w:szCs w:val="20"/>
          <w:color w:val="auto"/>
        </w:rPr>
      </w:pPr>
      <w:r>
        <w:rPr>
          <w:rFonts w:ascii="Arial" w:cs="Arial" w:eastAsia="Arial" w:hAnsi="Arial"/>
          <w:sz w:val="18"/>
          <w:szCs w:val="18"/>
          <w:color w:val="auto"/>
        </w:rPr>
        <w:t>Date: February 24,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B.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14605</wp:posOffset>
            </wp:positionV>
            <wp:extent cx="347154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23">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DANIEL B. MORE,</w:t>
      </w:r>
    </w:p>
    <w:p>
      <w:pPr>
        <w:jc w:val="center"/>
        <w:ind w:left="5740"/>
        <w:spacing w:after="0"/>
        <w:rPr>
          <w:sz w:val="20"/>
          <w:szCs w:val="20"/>
          <w:color w:val="auto"/>
        </w:rPr>
      </w:pPr>
      <w:r>
        <w:rPr>
          <w:rFonts w:ascii="Arial" w:cs="Arial" w:eastAsia="Arial" w:hAnsi="Arial"/>
          <w:sz w:val="16"/>
          <w:szCs w:val="16"/>
          <w:color w:val="auto"/>
        </w:rPr>
        <w:t>Member, Board of Directors</w:t>
      </w:r>
    </w:p>
    <w:p>
      <w:pPr>
        <w:spacing w:after="0" w:line="97" w:lineRule="exact"/>
        <w:rPr>
          <w:sz w:val="20"/>
          <w:szCs w:val="20"/>
          <w:color w:val="auto"/>
        </w:rPr>
      </w:pPr>
    </w:p>
    <w:p>
      <w:pPr>
        <w:spacing w:after="0"/>
        <w:tabs>
          <w:tab w:leader="none" w:pos="5320" w:val="left"/>
          <w:tab w:leader="none" w:pos="7580" w:val="left"/>
        </w:tabs>
        <w:rPr>
          <w:sz w:val="20"/>
          <w:szCs w:val="20"/>
          <w:color w:val="auto"/>
        </w:rPr>
      </w:pPr>
      <w:r>
        <w:rPr>
          <w:rFonts w:ascii="Arial" w:cs="Arial" w:eastAsia="Arial" w:hAnsi="Arial"/>
          <w:sz w:val="18"/>
          <w:szCs w:val="18"/>
          <w:color w:val="auto"/>
        </w:rPr>
        <w:t>Date: February 24,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Carol P.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14605</wp:posOffset>
            </wp:positionV>
            <wp:extent cx="34715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24">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CAROL P. WALLACE,</w:t>
      </w:r>
    </w:p>
    <w:p>
      <w:pPr>
        <w:jc w:val="center"/>
        <w:ind w:left="5740"/>
        <w:spacing w:after="0"/>
        <w:rPr>
          <w:sz w:val="20"/>
          <w:szCs w:val="20"/>
          <w:color w:val="auto"/>
        </w:rPr>
      </w:pPr>
      <w:r>
        <w:rPr>
          <w:rFonts w:ascii="Arial" w:cs="Arial" w:eastAsia="Arial" w:hAnsi="Arial"/>
          <w:sz w:val="16"/>
          <w:szCs w:val="16"/>
          <w:color w:val="auto"/>
        </w:rPr>
        <w:t>Member,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9939"/>
          </w:cols>
          <w:pgMar w:left="520" w:top="1313" w:right="1440"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color w:val="auto"/>
        </w:rPr>
        <w:t>EXHIBIT 10.85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00"/>
        <w:spacing w:after="0"/>
        <w:rPr>
          <w:sz w:val="20"/>
          <w:szCs w:val="20"/>
          <w:color w:val="auto"/>
        </w:rPr>
      </w:pPr>
      <w:r>
        <w:rPr>
          <w:rFonts w:ascii="Arial" w:cs="Arial" w:eastAsia="Arial" w:hAnsi="Arial"/>
          <w:sz w:val="21"/>
          <w:szCs w:val="21"/>
          <w:u w:val="single" w:color="auto"/>
          <w:color w:val="0E0E0E"/>
        </w:rPr>
        <w:t>EMPLOYMENT AGREEMENT</w:t>
      </w:r>
    </w:p>
    <w:p>
      <w:pPr>
        <w:spacing w:after="0" w:line="91" w:lineRule="exact"/>
        <w:rPr>
          <w:sz w:val="20"/>
          <w:szCs w:val="20"/>
          <w:color w:val="auto"/>
        </w:rPr>
      </w:pPr>
    </w:p>
    <w:p>
      <w:pPr>
        <w:jc w:val="center"/>
        <w:ind w:right="100"/>
        <w:spacing w:after="0"/>
        <w:rPr>
          <w:sz w:val="20"/>
          <w:szCs w:val="20"/>
          <w:color w:val="auto"/>
        </w:rPr>
      </w:pPr>
      <w:r>
        <w:rPr>
          <w:rFonts w:ascii="Arial" w:cs="Arial" w:eastAsia="Arial" w:hAnsi="Arial"/>
          <w:sz w:val="21"/>
          <w:szCs w:val="21"/>
          <w:color w:val="0E0E0E"/>
        </w:rPr>
        <w:t>THIS AGREEMENT, dated this _</w:t>
      </w:r>
      <w:r>
        <w:rPr>
          <w:rFonts w:ascii="Arial" w:cs="Arial" w:eastAsia="Arial" w:hAnsi="Arial"/>
          <w:sz w:val="35"/>
          <w:szCs w:val="35"/>
          <w:i w:val="1"/>
          <w:iCs w:val="1"/>
          <w:u w:val="single" w:color="auto"/>
          <w:color w:val="0E0E0E"/>
        </w:rPr>
        <w:t>1</w:t>
      </w:r>
      <w:r>
        <w:rPr>
          <w:rFonts w:ascii="Arial" w:cs="Arial" w:eastAsia="Arial" w:hAnsi="Arial"/>
          <w:sz w:val="21"/>
          <w:szCs w:val="21"/>
          <w:color w:val="0E0E0E"/>
        </w:rPr>
        <w:t xml:space="preserve"> day of April, 2014, is made by and between The Connecticut Water Company, a</w:t>
      </w:r>
    </w:p>
    <w:p>
      <w:pPr>
        <w:spacing w:after="0" w:line="46" w:lineRule="exact"/>
        <w:rPr>
          <w:sz w:val="20"/>
          <w:szCs w:val="20"/>
          <w:color w:val="auto"/>
        </w:rPr>
      </w:pPr>
    </w:p>
    <w:p>
      <w:pPr>
        <w:ind w:right="420"/>
        <w:spacing w:after="0" w:line="247" w:lineRule="auto"/>
        <w:rPr>
          <w:sz w:val="20"/>
          <w:szCs w:val="20"/>
          <w:color w:val="auto"/>
        </w:rPr>
      </w:pPr>
      <w:r>
        <w:rPr>
          <w:rFonts w:ascii="Arial" w:cs="Arial" w:eastAsia="Arial" w:hAnsi="Arial"/>
          <w:sz w:val="21"/>
          <w:szCs w:val="21"/>
          <w:color w:val="0E0E0E"/>
        </w:rPr>
        <w:t>Connecticut corporation having its principal place of business in Clinton, Connecticut, ("Company"), Connecticut Water Service</w:t>
      </w:r>
      <w:r>
        <w:rPr>
          <w:rFonts w:ascii="Arial" w:cs="Arial" w:eastAsia="Arial" w:hAnsi="Arial"/>
          <w:sz w:val="21"/>
          <w:szCs w:val="21"/>
          <w:color w:val="363636"/>
        </w:rPr>
        <w:t>,</w:t>
      </w:r>
      <w:r>
        <w:rPr>
          <w:rFonts w:ascii="Arial" w:cs="Arial" w:eastAsia="Arial" w:hAnsi="Arial"/>
          <w:sz w:val="21"/>
          <w:szCs w:val="21"/>
          <w:color w:val="0E0E0E"/>
        </w:rPr>
        <w:t xml:space="preserve"> Inc., a Connecticut corporation and holder of all of the outstanding capital stock of Company ("Parent") and Craig J. Patla</w:t>
      </w:r>
      <w:r>
        <w:rPr>
          <w:rFonts w:ascii="Arial" w:cs="Arial" w:eastAsia="Arial" w:hAnsi="Arial"/>
          <w:sz w:val="21"/>
          <w:szCs w:val="21"/>
          <w:color w:val="363636"/>
        </w:rPr>
        <w:t>,</w:t>
      </w:r>
      <w:r>
        <w:rPr>
          <w:rFonts w:ascii="Arial" w:cs="Arial" w:eastAsia="Arial" w:hAnsi="Arial"/>
          <w:sz w:val="21"/>
          <w:szCs w:val="21"/>
          <w:color w:val="0E0E0E"/>
        </w:rPr>
        <w:t xml:space="preserve"> a resident of Madison, Connecticut, ("Employee").</w:t>
      </w:r>
    </w:p>
    <w:p>
      <w:pPr>
        <w:spacing w:after="0" w:line="200" w:lineRule="exact"/>
        <w:rPr>
          <w:sz w:val="20"/>
          <w:szCs w:val="20"/>
          <w:color w:val="auto"/>
        </w:rPr>
      </w:pPr>
    </w:p>
    <w:p>
      <w:pPr>
        <w:spacing w:after="0" w:line="258" w:lineRule="exact"/>
        <w:rPr>
          <w:sz w:val="20"/>
          <w:szCs w:val="20"/>
          <w:color w:val="auto"/>
        </w:rPr>
      </w:pPr>
    </w:p>
    <w:p>
      <w:pPr>
        <w:jc w:val="center"/>
        <w:ind w:right="100"/>
        <w:spacing w:after="0"/>
        <w:rPr>
          <w:sz w:val="20"/>
          <w:szCs w:val="20"/>
          <w:color w:val="auto"/>
        </w:rPr>
      </w:pPr>
      <w:r>
        <w:rPr>
          <w:rFonts w:ascii="Arial" w:cs="Arial" w:eastAsia="Arial" w:hAnsi="Arial"/>
          <w:sz w:val="21"/>
          <w:szCs w:val="21"/>
          <w:color w:val="0E0E0E"/>
        </w:rPr>
        <w:t>WITNESSETH:</w:t>
      </w:r>
    </w:p>
    <w:p>
      <w:pPr>
        <w:spacing w:after="0" w:line="218" w:lineRule="exact"/>
        <w:rPr>
          <w:sz w:val="20"/>
          <w:szCs w:val="20"/>
          <w:color w:val="auto"/>
        </w:rPr>
      </w:pPr>
    </w:p>
    <w:p>
      <w:pPr>
        <w:ind w:right="700" w:firstLine="657"/>
        <w:spacing w:after="0" w:line="289" w:lineRule="auto"/>
        <w:rPr>
          <w:sz w:val="20"/>
          <w:szCs w:val="20"/>
          <w:color w:val="auto"/>
        </w:rPr>
      </w:pPr>
      <w:r>
        <w:rPr>
          <w:rFonts w:ascii="Arial" w:cs="Arial" w:eastAsia="Arial" w:hAnsi="Arial"/>
          <w:sz w:val="20"/>
          <w:szCs w:val="20"/>
          <w:color w:val="0E0E0E"/>
        </w:rPr>
        <w:t>WHEREAS, Company and Parent desire to reward Employee for Employee's valuable, dedicated service to Company and Parent should Employee's service be terminated under circumstances hereinafter described; and</w:t>
      </w:r>
    </w:p>
    <w:p>
      <w:pPr>
        <w:spacing w:after="0" w:line="189" w:lineRule="exact"/>
        <w:rPr>
          <w:sz w:val="20"/>
          <w:szCs w:val="20"/>
          <w:color w:val="auto"/>
        </w:rPr>
      </w:pPr>
    </w:p>
    <w:p>
      <w:pPr>
        <w:jc w:val="both"/>
        <w:ind w:right="420" w:firstLine="647"/>
        <w:spacing w:after="0" w:line="264" w:lineRule="auto"/>
        <w:rPr>
          <w:sz w:val="20"/>
          <w:szCs w:val="20"/>
          <w:color w:val="auto"/>
        </w:rPr>
      </w:pPr>
      <w:r>
        <w:rPr>
          <w:rFonts w:ascii="Arial" w:cs="Arial" w:eastAsia="Arial" w:hAnsi="Arial"/>
          <w:sz w:val="21"/>
          <w:szCs w:val="21"/>
          <w:color w:val="0E0E0E"/>
        </w:rPr>
        <w:t>WHEREAS, Employee, Company and Parent are willing to enter into this Employment Agreement ("Agreement") on the terms herein set forth;</w:t>
      </w:r>
    </w:p>
    <w:p>
      <w:pPr>
        <w:spacing w:after="0" w:line="198" w:lineRule="exact"/>
        <w:rPr>
          <w:sz w:val="20"/>
          <w:szCs w:val="20"/>
          <w:color w:val="auto"/>
        </w:rPr>
      </w:pPr>
    </w:p>
    <w:p>
      <w:pPr>
        <w:ind w:right="420" w:firstLine="650"/>
        <w:spacing w:after="0" w:line="290" w:lineRule="auto"/>
        <w:rPr>
          <w:sz w:val="20"/>
          <w:szCs w:val="20"/>
          <w:color w:val="auto"/>
        </w:rPr>
      </w:pPr>
      <w:r>
        <w:rPr>
          <w:rFonts w:ascii="Arial" w:cs="Arial" w:eastAsia="Arial" w:hAnsi="Arial"/>
          <w:sz w:val="19"/>
          <w:szCs w:val="19"/>
          <w:color w:val="0E0E0E"/>
        </w:rPr>
        <w:t>NOW, THEREFORE, to assure Company and Parent of Employee's continued dedication and the availability of Employee's advice and counsel in the event of any such proposal, to induce Employee to remain in the employ of Company and Parent and to reward Employee for Employee's valuable dedicated service to Company and Parent should Employee's service be terminated under circumstances hereinafter described, and for other good and valuable consideration, the receipt and adequacy of which each party acknowledges, effective April 1, 2014, Company, Parent and Employee agree as follows:</w:t>
      </w:r>
    </w:p>
    <w:p>
      <w:pPr>
        <w:spacing w:after="0" w:line="192" w:lineRule="exact"/>
        <w:rPr>
          <w:sz w:val="20"/>
          <w:szCs w:val="20"/>
          <w:color w:val="auto"/>
        </w:rPr>
      </w:pPr>
    </w:p>
    <w:p>
      <w:pPr>
        <w:ind w:left="1180" w:hanging="540"/>
        <w:spacing w:after="0"/>
        <w:tabs>
          <w:tab w:leader="none" w:pos="1180" w:val="left"/>
        </w:tabs>
        <w:numPr>
          <w:ilvl w:val="0"/>
          <w:numId w:val="29"/>
        </w:numPr>
        <w:rPr>
          <w:rFonts w:ascii="Arial" w:cs="Arial" w:eastAsia="Arial" w:hAnsi="Arial"/>
          <w:sz w:val="21"/>
          <w:szCs w:val="21"/>
          <w:color w:val="0E0E0E"/>
        </w:rPr>
      </w:pPr>
      <w:r>
        <w:rPr>
          <w:rFonts w:ascii="Arial" w:cs="Arial" w:eastAsia="Arial" w:hAnsi="Arial"/>
          <w:sz w:val="21"/>
          <w:szCs w:val="21"/>
          <w:u w:val="single" w:color="auto"/>
          <w:color w:val="0E0E0E"/>
        </w:rPr>
        <w:t>Definitions.</w:t>
      </w:r>
      <w:r>
        <w:rPr>
          <w:rFonts w:ascii="Arial" w:cs="Arial" w:eastAsia="Arial" w:hAnsi="Arial"/>
          <w:sz w:val="21"/>
          <w:szCs w:val="21"/>
          <w:color w:val="0E0E0E"/>
        </w:rPr>
        <w:t xml:space="preserve"> For purposes of this Agreement</w:t>
      </w:r>
      <w:r>
        <w:rPr>
          <w:rFonts w:ascii="Arial" w:cs="Arial" w:eastAsia="Arial" w:hAnsi="Arial"/>
          <w:sz w:val="21"/>
          <w:szCs w:val="21"/>
          <w:color w:val="363636"/>
        </w:rPr>
        <w:t>,</w:t>
      </w:r>
      <w:r>
        <w:rPr>
          <w:rFonts w:ascii="Arial" w:cs="Arial" w:eastAsia="Arial" w:hAnsi="Arial"/>
          <w:sz w:val="21"/>
          <w:szCs w:val="21"/>
          <w:color w:val="0E0E0E"/>
        </w:rPr>
        <w:t xml:space="preserve"> the following te1ms shall have the following meanings:</w:t>
      </w:r>
    </w:p>
    <w:p>
      <w:pPr>
        <w:spacing w:after="0" w:line="258" w:lineRule="exact"/>
        <w:rPr>
          <w:rFonts w:ascii="Arial" w:cs="Arial" w:eastAsia="Arial" w:hAnsi="Arial"/>
          <w:sz w:val="21"/>
          <w:szCs w:val="21"/>
          <w:color w:val="0E0E0E"/>
        </w:rPr>
      </w:pPr>
    </w:p>
    <w:p>
      <w:pPr>
        <w:jc w:val="both"/>
        <w:ind w:right="580" w:firstLine="1287"/>
        <w:spacing w:after="0" w:line="314" w:lineRule="auto"/>
        <w:tabs>
          <w:tab w:leader="none" w:pos="1835" w:val="left"/>
        </w:tabs>
        <w:numPr>
          <w:ilvl w:val="1"/>
          <w:numId w:val="29"/>
        </w:numPr>
        <w:rPr>
          <w:rFonts w:ascii="Arial" w:cs="Arial" w:eastAsia="Arial" w:hAnsi="Arial"/>
          <w:sz w:val="18"/>
          <w:szCs w:val="18"/>
          <w:color w:val="0E0E0E"/>
        </w:rPr>
      </w:pPr>
      <w:r>
        <w:rPr>
          <w:rFonts w:ascii="Arial" w:cs="Arial" w:eastAsia="Arial" w:hAnsi="Arial"/>
          <w:sz w:val="18"/>
          <w:szCs w:val="18"/>
          <w:color w:val="0E0E0E"/>
        </w:rPr>
        <w:t>"Cause" shall mean Employee's serious, willful misconduct in respect of Employee's duties under this Agreement, including conviction for a felony or perpetration by Employee of a common law fraud upon Company or Parent which has resulted or is likely to result in material economic damage to Company or Parent, as determined by a vote of at least seventy-five percent (75%) of all of the Directors (excluding Employee) of each of Company's and Parent's Board of Directors;</w:t>
      </w:r>
    </w:p>
    <w:p>
      <w:pPr>
        <w:spacing w:after="0" w:line="172" w:lineRule="exact"/>
        <w:rPr>
          <w:rFonts w:ascii="Arial" w:cs="Arial" w:eastAsia="Arial" w:hAnsi="Arial"/>
          <w:sz w:val="18"/>
          <w:szCs w:val="18"/>
          <w:color w:val="0E0E0E"/>
        </w:rPr>
      </w:pPr>
    </w:p>
    <w:p>
      <w:pPr>
        <w:ind w:right="240" w:firstLine="1287"/>
        <w:spacing w:after="0" w:line="268" w:lineRule="auto"/>
        <w:tabs>
          <w:tab w:leader="none" w:pos="1831" w:val="left"/>
        </w:tabs>
        <w:numPr>
          <w:ilvl w:val="1"/>
          <w:numId w:val="29"/>
        </w:numPr>
        <w:rPr>
          <w:rFonts w:ascii="Arial" w:cs="Arial" w:eastAsia="Arial" w:hAnsi="Arial"/>
          <w:sz w:val="20"/>
          <w:szCs w:val="20"/>
          <w:color w:val="0E0E0E"/>
        </w:rPr>
      </w:pPr>
      <w:r>
        <w:rPr>
          <w:rFonts w:ascii="Arial" w:cs="Arial" w:eastAsia="Arial" w:hAnsi="Arial"/>
          <w:sz w:val="20"/>
          <w:szCs w:val="20"/>
          <w:color w:val="0E0E0E"/>
        </w:rPr>
        <w:t>"Change-in-Control" shall be deemed to have occurred if after the date hereof (i) a public announcement shall be made or a report on Schedule 13D shall be filed with the Securities and Exchange Commission pursuant to Section 13(d) of the Securities Exchange Act of 1934 (the "Act") disclosing that any Person (as defined below), other than Company or Parent or any employee benefit plan sponsored by Company or Parent, is the beneficial owner (as the term is defined in Rule 13d-3 under the Act) directly or indirectly, of twenty percent (20%) or more of the total voting power represented by Company's or Parent's then outstanding voting common stock (calculated as provided in paragraph (d) of Rule l 3d-3 under the Act in the case of rights to acquire voting common stock); or (ii) any Person, other than Company or Parent or any employee benefit plan sponsored by Company or Parent, shall purchase shares pursuant to a</w:t>
      </w:r>
    </w:p>
    <w:p>
      <w:pPr>
        <w:sectPr>
          <w:pgSz w:w="11900" w:h="16838" w:orient="portrait"/>
          <w:cols w:equalWidth="0" w:num="1">
            <w:col w:w="11120"/>
          </w:cols>
          <w:pgMar w:left="440" w:top="85" w:right="339" w:bottom="1440" w:gutter="0" w:footer="0" w:header="0"/>
        </w:sectPr>
      </w:pPr>
    </w:p>
    <w:bookmarkStart w:id="95" w:name="page96"/>
    <w:bookmarkEnd w:id="95"/>
    <w:p>
      <w:pPr>
        <w:spacing w:after="0" w:line="64" w:lineRule="exact"/>
        <w:rPr>
          <w:sz w:val="20"/>
          <w:szCs w:val="20"/>
          <w:color w:val="auto"/>
        </w:rPr>
      </w:pPr>
    </w:p>
    <w:p>
      <w:pPr>
        <w:ind w:hanging="4"/>
        <w:spacing w:after="0" w:line="279" w:lineRule="auto"/>
        <w:rPr>
          <w:sz w:val="20"/>
          <w:szCs w:val="20"/>
          <w:color w:val="auto"/>
        </w:rPr>
      </w:pPr>
      <w:r>
        <w:rPr>
          <w:rFonts w:ascii="Arial" w:cs="Arial" w:eastAsia="Arial" w:hAnsi="Arial"/>
          <w:sz w:val="19"/>
          <w:szCs w:val="19"/>
          <w:color w:val="0F0F0F"/>
        </w:rPr>
        <w:t xml:space="preserve">tender offer or exchange offer to acquire any voting common stock of Company or Parent (or securities convertible into such voting common stock) for cash, securities or any other consideration, provided that after consummation of the offer, the Person in question is the beneficial owner directly or indirectly, of twenty percent (20%) or more of the total voting power represented by Company's or Parent's then outstanding voting common stock (all as calculated under clause (i)); or (iii) the stockholders of Company or Parent shall approve (A) any consolidation or merger of Company or Parent in which Company or Parent is not the continuing or surviving corporation (other than a merger of Company or Parent in which holders of the outstanding capital stock of Company or Parent immediately prior to the merger have the same proportionate ownership of the outstanding capital stock of the surviving corporation </w:t>
      </w:r>
      <w:r>
        <w:rPr>
          <w:rFonts w:ascii="Arial" w:cs="Arial" w:eastAsia="Arial" w:hAnsi="Arial"/>
          <w:sz w:val="19"/>
          <w:szCs w:val="19"/>
          <w:color w:val="232323"/>
        </w:rPr>
        <w:t>immediately</w:t>
      </w:r>
      <w:r>
        <w:rPr>
          <w:rFonts w:ascii="Arial" w:cs="Arial" w:eastAsia="Arial" w:hAnsi="Arial"/>
          <w:sz w:val="19"/>
          <w:szCs w:val="19"/>
          <w:color w:val="0F0F0F"/>
        </w:rPr>
        <w:t xml:space="preserve"> after the merger as immediately before), or pursuant to which the outstanding capital stock of Company or Parent would be converted into cash, securities or other property</w:t>
      </w:r>
      <w:r>
        <w:rPr>
          <w:rFonts w:ascii="Arial" w:cs="Arial" w:eastAsia="Arial" w:hAnsi="Arial"/>
          <w:sz w:val="19"/>
          <w:szCs w:val="19"/>
          <w:color w:val="3B3B3B"/>
        </w:rPr>
        <w:t>,</w:t>
      </w:r>
      <w:r>
        <w:rPr>
          <w:rFonts w:ascii="Arial" w:cs="Arial" w:eastAsia="Arial" w:hAnsi="Arial"/>
          <w:sz w:val="19"/>
          <w:szCs w:val="19"/>
          <w:color w:val="0F0F0F"/>
        </w:rPr>
        <w:t xml:space="preserve"> or</w:t>
      </w:r>
    </w:p>
    <w:p>
      <w:pPr>
        <w:spacing w:after="0" w:line="3" w:lineRule="exact"/>
        <w:rPr>
          <w:sz w:val="20"/>
          <w:szCs w:val="20"/>
          <w:color w:val="auto"/>
        </w:rPr>
      </w:pPr>
    </w:p>
    <w:p>
      <w:pPr>
        <w:ind w:right="100" w:firstLine="2"/>
        <w:spacing w:after="0" w:line="283" w:lineRule="auto"/>
        <w:tabs>
          <w:tab w:leader="none" w:pos="329" w:val="left"/>
        </w:tabs>
        <w:numPr>
          <w:ilvl w:val="0"/>
          <w:numId w:val="30"/>
        </w:numPr>
        <w:rPr>
          <w:rFonts w:ascii="Arial" w:cs="Arial" w:eastAsia="Arial" w:hAnsi="Arial"/>
          <w:sz w:val="19"/>
          <w:szCs w:val="19"/>
          <w:color w:val="0F0F0F"/>
        </w:rPr>
      </w:pPr>
      <w:r>
        <w:rPr>
          <w:rFonts w:ascii="Arial" w:cs="Arial" w:eastAsia="Arial" w:hAnsi="Arial"/>
          <w:sz w:val="19"/>
          <w:szCs w:val="19"/>
          <w:color w:val="0F0F0F"/>
        </w:rPr>
        <w:t>any sale, lease, exchange or other transfer (in one transaction or a series of related transactions) of all or substantially all the assets of Company or Parent; or (iv) there shall have been a change in the composition of the Board of Directors of Company or Parent at any time during any consecutive twenty-four (24) month period such that "continuing directors" cease for any reason to constitute at least a majority of the Board unless the election, or the nomination for election of each new Director was approved by a vote of at least two-thirds (2/3) of the Directors then still in office who were Directors at the beginning of such period; or (v) the Board of Directors of Company or Parent, by a vote of a majority of all the Directors (excluding Employee) adopts a resolution to the effect that a "Change-in-Control" has occurred for purposes of this Agreement.</w:t>
      </w:r>
    </w:p>
    <w:p>
      <w:pPr>
        <w:spacing w:after="0" w:line="200" w:lineRule="exact"/>
        <w:rPr>
          <w:rFonts w:ascii="Arial" w:cs="Arial" w:eastAsia="Arial" w:hAnsi="Arial"/>
          <w:sz w:val="19"/>
          <w:szCs w:val="19"/>
          <w:color w:val="0F0F0F"/>
        </w:rPr>
      </w:pPr>
    </w:p>
    <w:p>
      <w:pPr>
        <w:ind w:right="60" w:firstLine="1304"/>
        <w:spacing w:after="0" w:line="273" w:lineRule="auto"/>
        <w:tabs>
          <w:tab w:leader="none" w:pos="1822" w:val="left"/>
        </w:tabs>
        <w:numPr>
          <w:ilvl w:val="1"/>
          <w:numId w:val="30"/>
        </w:numPr>
        <w:rPr>
          <w:rFonts w:ascii="Arial" w:cs="Arial" w:eastAsia="Arial" w:hAnsi="Arial"/>
          <w:sz w:val="20"/>
          <w:szCs w:val="20"/>
          <w:color w:val="0F0F0F"/>
        </w:rPr>
      </w:pPr>
      <w:r>
        <w:rPr>
          <w:rFonts w:ascii="Arial" w:cs="Arial" w:eastAsia="Arial" w:hAnsi="Arial"/>
          <w:sz w:val="20"/>
          <w:szCs w:val="20"/>
          <w:color w:val="0F0F0F"/>
        </w:rPr>
        <w:t>"Disability" shall mean the incapacity of Employee by illness or any other cause as determined under the long-term disability insurance plan of Company in effect at the time in question, or if no such plan is in effect, then such incapacity of Employee as prevents Employee from performing the essential functions of Employee's position with or without reasonable accommodation for a period in excess of two hundred forty (240) days (whether or not consecutive), or one hundred eighty (180) days consecutively, as the case may be, during any twelve (12) month period.</w:t>
      </w:r>
    </w:p>
    <w:p>
      <w:pPr>
        <w:spacing w:after="0" w:line="204" w:lineRule="exact"/>
        <w:rPr>
          <w:rFonts w:ascii="Arial" w:cs="Arial" w:eastAsia="Arial" w:hAnsi="Arial"/>
          <w:sz w:val="20"/>
          <w:szCs w:val="20"/>
          <w:color w:val="0F0F0F"/>
        </w:rPr>
      </w:pPr>
    </w:p>
    <w:p>
      <w:pPr>
        <w:ind w:left="20" w:right="80" w:firstLine="1284"/>
        <w:spacing w:after="0" w:line="290" w:lineRule="auto"/>
        <w:tabs>
          <w:tab w:leader="none" w:pos="1831" w:val="left"/>
        </w:tabs>
        <w:numPr>
          <w:ilvl w:val="1"/>
          <w:numId w:val="30"/>
        </w:numPr>
        <w:rPr>
          <w:rFonts w:ascii="Arial" w:cs="Arial" w:eastAsia="Arial" w:hAnsi="Arial"/>
          <w:sz w:val="19"/>
          <w:szCs w:val="19"/>
          <w:color w:val="0F0F0F"/>
        </w:rPr>
      </w:pPr>
      <w:r>
        <w:rPr>
          <w:rFonts w:ascii="Arial" w:cs="Arial" w:eastAsia="Arial" w:hAnsi="Arial"/>
          <w:sz w:val="19"/>
          <w:szCs w:val="19"/>
          <w:color w:val="0F0F0F"/>
        </w:rPr>
        <w:t>"Effective Date" shall be the date on which a Change-in-Control occurs. Anything in this Agreement to the contrary notwithstanding, if Employee's employment is terminated prior to the date on which a Change-in-Control occurs, and it is reasonably demonstrated that such termination (i) was at the request of a third party who has taken steps reasonably calculated to effect a Change-in-Control or (ii) otherwise arose in connection with or anticipation of a Change-in-Control, then for all purposes of this Agreement the "Effective Date" shall mean the date immediately prior to the date of such termination.</w:t>
      </w:r>
    </w:p>
    <w:p>
      <w:pPr>
        <w:spacing w:after="0" w:line="191" w:lineRule="exact"/>
        <w:rPr>
          <w:rFonts w:ascii="Arial" w:cs="Arial" w:eastAsia="Arial" w:hAnsi="Arial"/>
          <w:sz w:val="19"/>
          <w:szCs w:val="19"/>
          <w:color w:val="0F0F0F"/>
        </w:rPr>
      </w:pPr>
    </w:p>
    <w:p>
      <w:pPr>
        <w:ind w:left="20" w:right="360" w:firstLine="1294"/>
        <w:spacing w:after="0" w:line="258" w:lineRule="auto"/>
        <w:tabs>
          <w:tab w:leader="none" w:pos="1819" w:val="left"/>
        </w:tabs>
        <w:numPr>
          <w:ilvl w:val="1"/>
          <w:numId w:val="30"/>
        </w:numPr>
        <w:rPr>
          <w:rFonts w:ascii="Arial" w:cs="Arial" w:eastAsia="Arial" w:hAnsi="Arial"/>
          <w:sz w:val="21"/>
          <w:szCs w:val="21"/>
          <w:color w:val="0F0F0F"/>
        </w:rPr>
      </w:pPr>
      <w:r>
        <w:rPr>
          <w:rFonts w:ascii="Arial" w:cs="Arial" w:eastAsia="Arial" w:hAnsi="Arial"/>
          <w:sz w:val="21"/>
          <w:szCs w:val="21"/>
          <w:color w:val="0F0F0F"/>
        </w:rPr>
        <w:t>"Good Reason" shall mean the occurrence of any action which (i) removes or changes Employee's title or reduces Employee's job responsibilities or base salary;</w:t>
      </w:r>
    </w:p>
    <w:p>
      <w:pPr>
        <w:spacing w:after="0" w:line="1" w:lineRule="exact"/>
        <w:rPr>
          <w:rFonts w:ascii="Arial" w:cs="Arial" w:eastAsia="Arial" w:hAnsi="Arial"/>
          <w:sz w:val="21"/>
          <w:szCs w:val="21"/>
          <w:color w:val="0F0F0F"/>
        </w:rPr>
      </w:pPr>
    </w:p>
    <w:p>
      <w:pPr>
        <w:ind w:left="20" w:right="100" w:hanging="3"/>
        <w:spacing w:after="0" w:line="250" w:lineRule="auto"/>
        <w:rPr>
          <w:rFonts w:ascii="Arial" w:cs="Arial" w:eastAsia="Arial" w:hAnsi="Arial"/>
          <w:sz w:val="21"/>
          <w:szCs w:val="21"/>
          <w:color w:val="0F0F0F"/>
        </w:rPr>
      </w:pPr>
      <w:r>
        <w:rPr>
          <w:rFonts w:ascii="Arial" w:cs="Arial" w:eastAsia="Arial" w:hAnsi="Arial"/>
          <w:sz w:val="21"/>
          <w:szCs w:val="21"/>
          <w:color w:val="0F0F0F"/>
        </w:rPr>
        <w:t>(ii) results in a significant worsening of Employee's work conditions; or (iii) moves Employee's place of employment to a location that increases Employee's commute by more than thirty (30) miles over the length of Employee's commute from Employee's place of principal residence at the time the move is requested. For purposes of this subparagraph (e), any good faith determination by Employee that any such action has occurred shall be conclusive.</w:t>
      </w:r>
    </w:p>
    <w:p>
      <w:pPr>
        <w:sectPr>
          <w:pgSz w:w="11900" w:h="16838" w:orient="portrait"/>
          <w:cols w:equalWidth="0" w:num="1">
            <w:col w:w="10920"/>
          </w:cols>
          <w:pgMar w:left="440" w:top="1440" w:right="539" w:bottom="1440" w:gutter="0" w:footer="0" w:header="0"/>
        </w:sectPr>
      </w:pPr>
    </w:p>
    <w:bookmarkStart w:id="96" w:name="page97"/>
    <w:bookmarkEnd w:id="96"/>
    <w:p>
      <w:pPr>
        <w:spacing w:after="0" w:line="293" w:lineRule="exact"/>
        <w:rPr>
          <w:sz w:val="20"/>
          <w:szCs w:val="20"/>
          <w:color w:val="auto"/>
        </w:rPr>
      </w:pPr>
    </w:p>
    <w:p>
      <w:pPr>
        <w:ind w:right="400" w:firstLine="1294"/>
        <w:spacing w:after="0" w:line="277" w:lineRule="auto"/>
        <w:tabs>
          <w:tab w:leader="none" w:pos="1811" w:val="left"/>
        </w:tabs>
        <w:numPr>
          <w:ilvl w:val="1"/>
          <w:numId w:val="31"/>
        </w:numPr>
        <w:rPr>
          <w:rFonts w:ascii="Arial" w:cs="Arial" w:eastAsia="Arial" w:hAnsi="Arial"/>
          <w:sz w:val="21"/>
          <w:szCs w:val="21"/>
          <w:color w:val="0F0F0F"/>
        </w:rPr>
      </w:pPr>
      <w:r>
        <w:rPr>
          <w:rFonts w:ascii="Arial" w:cs="Arial" w:eastAsia="Arial" w:hAnsi="Arial"/>
          <w:sz w:val="21"/>
          <w:szCs w:val="21"/>
          <w:color w:val="0F0F0F"/>
        </w:rPr>
        <w:t>"Person" shall mean any individual</w:t>
      </w:r>
      <w:r>
        <w:rPr>
          <w:rFonts w:ascii="Arial" w:cs="Arial" w:eastAsia="Arial" w:hAnsi="Arial"/>
          <w:sz w:val="21"/>
          <w:szCs w:val="21"/>
          <w:color w:val="2D2D2D"/>
        </w:rPr>
        <w:t>,</w:t>
      </w:r>
      <w:r>
        <w:rPr>
          <w:rFonts w:ascii="Arial" w:cs="Arial" w:eastAsia="Arial" w:hAnsi="Arial"/>
          <w:sz w:val="21"/>
          <w:szCs w:val="21"/>
          <w:color w:val="0F0F0F"/>
        </w:rPr>
        <w:t xml:space="preserve"> corporation, partnership, company or other entity, and shall include a "group" as defined in Section 13(d)(3) of the Securities Exchange Act of 1934.</w:t>
      </w:r>
    </w:p>
    <w:p>
      <w:pPr>
        <w:spacing w:after="0" w:line="171" w:lineRule="exact"/>
        <w:rPr>
          <w:rFonts w:ascii="Arial" w:cs="Arial" w:eastAsia="Arial" w:hAnsi="Arial"/>
          <w:sz w:val="21"/>
          <w:szCs w:val="21"/>
          <w:color w:val="0F0F0F"/>
        </w:rPr>
      </w:pPr>
    </w:p>
    <w:p>
      <w:pPr>
        <w:ind w:left="1280" w:hanging="632"/>
        <w:spacing w:after="0"/>
        <w:tabs>
          <w:tab w:leader="none" w:pos="1280" w:val="left"/>
        </w:tabs>
        <w:numPr>
          <w:ilvl w:val="0"/>
          <w:numId w:val="32"/>
        </w:numPr>
        <w:rPr>
          <w:rFonts w:ascii="Arial" w:cs="Arial" w:eastAsia="Arial" w:hAnsi="Arial"/>
          <w:sz w:val="21"/>
          <w:szCs w:val="21"/>
          <w:color w:val="0F0F0F"/>
        </w:rPr>
      </w:pPr>
      <w:r>
        <w:rPr>
          <w:rFonts w:ascii="Arial" w:cs="Arial" w:eastAsia="Arial" w:hAnsi="Arial"/>
          <w:sz w:val="21"/>
          <w:szCs w:val="21"/>
          <w:u w:val="single" w:color="auto"/>
          <w:color w:val="0F0F0F"/>
        </w:rPr>
        <w:t>Employment.</w:t>
      </w:r>
    </w:p>
    <w:p>
      <w:pPr>
        <w:spacing w:after="0" w:line="231" w:lineRule="exact"/>
        <w:rPr>
          <w:rFonts w:ascii="Arial" w:cs="Arial" w:eastAsia="Arial" w:hAnsi="Arial"/>
          <w:sz w:val="21"/>
          <w:szCs w:val="21"/>
          <w:color w:val="0F0F0F"/>
        </w:rPr>
      </w:pPr>
    </w:p>
    <w:p>
      <w:pPr>
        <w:ind w:right="300" w:firstLine="1293"/>
        <w:spacing w:after="0" w:line="274" w:lineRule="auto"/>
        <w:tabs>
          <w:tab w:leader="none" w:pos="1808" w:val="left"/>
        </w:tabs>
        <w:numPr>
          <w:ilvl w:val="1"/>
          <w:numId w:val="32"/>
        </w:numPr>
        <w:rPr>
          <w:rFonts w:ascii="Arial" w:cs="Arial" w:eastAsia="Arial" w:hAnsi="Arial"/>
          <w:sz w:val="20"/>
          <w:szCs w:val="20"/>
          <w:color w:val="0F0F0F"/>
        </w:rPr>
      </w:pPr>
      <w:r>
        <w:rPr>
          <w:rFonts w:ascii="Arial" w:cs="Arial" w:eastAsia="Arial" w:hAnsi="Arial"/>
          <w:sz w:val="20"/>
          <w:szCs w:val="20"/>
          <w:color w:val="0F0F0F"/>
        </w:rPr>
        <w:t>As of the Effective Date, Company hereby agrees to continue to employ Employee and Employee agrees to remain in the employ of Company for the Term of this Agreement upon the terms and conditions hereinafter set forth. Subject to the provisions of subparagraph (b) of this Paragraph 2, and to the provisions of Paragraph 6 below, "Term" shall mean a continuously renewing period of three (3) years commencing on the Effective Date.</w:t>
      </w:r>
    </w:p>
    <w:p>
      <w:pPr>
        <w:spacing w:after="0" w:line="205" w:lineRule="exact"/>
        <w:rPr>
          <w:rFonts w:ascii="Arial" w:cs="Arial" w:eastAsia="Arial" w:hAnsi="Arial"/>
          <w:sz w:val="20"/>
          <w:szCs w:val="20"/>
          <w:color w:val="0F0F0F"/>
        </w:rPr>
      </w:pPr>
    </w:p>
    <w:p>
      <w:pPr>
        <w:ind w:right="400" w:firstLine="1298"/>
        <w:spacing w:after="0" w:line="253" w:lineRule="auto"/>
        <w:tabs>
          <w:tab w:leader="none" w:pos="1808" w:val="left"/>
        </w:tabs>
        <w:numPr>
          <w:ilvl w:val="1"/>
          <w:numId w:val="32"/>
        </w:numPr>
        <w:rPr>
          <w:rFonts w:ascii="Arial" w:cs="Arial" w:eastAsia="Arial" w:hAnsi="Arial"/>
          <w:sz w:val="21"/>
          <w:szCs w:val="21"/>
          <w:color w:val="0F0F0F"/>
        </w:rPr>
      </w:pPr>
      <w:r>
        <w:rPr>
          <w:rFonts w:ascii="Arial" w:cs="Arial" w:eastAsia="Arial" w:hAnsi="Arial"/>
          <w:sz w:val="21"/>
          <w:szCs w:val="21"/>
          <w:color w:val="0F0F0F"/>
        </w:rPr>
        <w:t>At any time during the Term, the Board of Directors of Company and Parent may, by written notice to Employee, advise Employee of their desire to modify or amend any of the terms or provisions of this Agreement or to delete or add any terms or provisions.</w:t>
      </w:r>
    </w:p>
    <w:p>
      <w:pPr>
        <w:ind w:firstLine="1"/>
        <w:spacing w:after="0" w:line="267" w:lineRule="auto"/>
        <w:rPr>
          <w:rFonts w:ascii="Arial" w:cs="Arial" w:eastAsia="Arial" w:hAnsi="Arial"/>
          <w:sz w:val="21"/>
          <w:szCs w:val="21"/>
          <w:color w:val="0F0F0F"/>
        </w:rPr>
      </w:pPr>
      <w:r>
        <w:rPr>
          <w:rFonts w:ascii="Arial" w:cs="Arial" w:eastAsia="Arial" w:hAnsi="Arial"/>
          <w:sz w:val="20"/>
          <w:szCs w:val="20"/>
          <w:color w:val="0F0F0F"/>
        </w:rPr>
        <w:t>Any such notice (''Notice") shall describe the proposed modifications in reasonable detail. In the event a Notice shall be given to Employee, then Company</w:t>
      </w:r>
      <w:r>
        <w:rPr>
          <w:rFonts w:ascii="Arial" w:cs="Arial" w:eastAsia="Arial" w:hAnsi="Arial"/>
          <w:sz w:val="20"/>
          <w:szCs w:val="20"/>
          <w:color w:val="2D2D2D"/>
        </w:rPr>
        <w:t>,</w:t>
      </w:r>
      <w:r>
        <w:rPr>
          <w:rFonts w:ascii="Arial" w:cs="Arial" w:eastAsia="Arial" w:hAnsi="Arial"/>
          <w:sz w:val="20"/>
          <w:szCs w:val="20"/>
          <w:color w:val="0F0F0F"/>
        </w:rPr>
        <w:t xml:space="preserve"> Parent and Employee agree to discuss the proposed modification(s) and to attempt in good faith to reach agreement with respect thereto and to reduce such agreement to writing in an amendment to be executed by all the parties ("Amendment")</w:t>
      </w:r>
      <w:r>
        <w:rPr>
          <w:rFonts w:ascii="Arial" w:cs="Arial" w:eastAsia="Arial" w:hAnsi="Arial"/>
          <w:sz w:val="20"/>
          <w:szCs w:val="20"/>
          <w:color w:val="2D2D2D"/>
        </w:rPr>
        <w:t>.</w:t>
      </w:r>
      <w:r>
        <w:rPr>
          <w:rFonts w:ascii="Arial" w:cs="Arial" w:eastAsia="Arial" w:hAnsi="Arial"/>
          <w:sz w:val="20"/>
          <w:szCs w:val="20"/>
          <w:color w:val="0F0F0F"/>
        </w:rPr>
        <w:t xml:space="preserve"> If a Notice is given hereunder and an Amendment shall not have been executed on or before the sixtieth (60th) day following the date on which Notice is given, then the Term shall thereupon be automatically converted to a fixed period ending three (3) years after the expiration of such sixty (60) days.</w:t>
      </w:r>
    </w:p>
    <w:p>
      <w:pPr>
        <w:spacing w:after="0" w:line="198" w:lineRule="exact"/>
        <w:rPr>
          <w:rFonts w:ascii="Arial" w:cs="Arial" w:eastAsia="Arial" w:hAnsi="Arial"/>
          <w:sz w:val="21"/>
          <w:szCs w:val="21"/>
          <w:color w:val="0F0F0F"/>
        </w:rPr>
      </w:pPr>
    </w:p>
    <w:p>
      <w:pPr>
        <w:ind w:left="1300" w:hanging="647"/>
        <w:spacing w:after="0"/>
        <w:tabs>
          <w:tab w:leader="none" w:pos="1300" w:val="left"/>
        </w:tabs>
        <w:numPr>
          <w:ilvl w:val="0"/>
          <w:numId w:val="32"/>
        </w:numPr>
        <w:rPr>
          <w:rFonts w:ascii="Arial" w:cs="Arial" w:eastAsia="Arial" w:hAnsi="Arial"/>
          <w:sz w:val="21"/>
          <w:szCs w:val="21"/>
          <w:color w:val="0F0F0F"/>
        </w:rPr>
      </w:pPr>
      <w:r>
        <w:rPr>
          <w:rFonts w:ascii="Arial" w:cs="Arial" w:eastAsia="Arial" w:hAnsi="Arial"/>
          <w:sz w:val="21"/>
          <w:szCs w:val="21"/>
          <w:u w:val="single" w:color="auto"/>
          <w:color w:val="0F0F0F"/>
        </w:rPr>
        <w:t>Duties of Employment.</w:t>
      </w:r>
    </w:p>
    <w:p>
      <w:pPr>
        <w:spacing w:after="0" w:line="217" w:lineRule="exact"/>
        <w:rPr>
          <w:rFonts w:ascii="Arial" w:cs="Arial" w:eastAsia="Arial" w:hAnsi="Arial"/>
          <w:sz w:val="21"/>
          <w:szCs w:val="21"/>
          <w:color w:val="0F0F0F"/>
        </w:rPr>
      </w:pPr>
    </w:p>
    <w:p>
      <w:pPr>
        <w:jc w:val="both"/>
        <w:ind w:right="140" w:firstLine="1298"/>
        <w:spacing w:after="0" w:line="279" w:lineRule="auto"/>
        <w:tabs>
          <w:tab w:leader="none" w:pos="1805" w:val="left"/>
        </w:tabs>
        <w:numPr>
          <w:ilvl w:val="1"/>
          <w:numId w:val="32"/>
        </w:numPr>
        <w:rPr>
          <w:rFonts w:ascii="Arial" w:cs="Arial" w:eastAsia="Arial" w:hAnsi="Arial"/>
          <w:sz w:val="20"/>
          <w:szCs w:val="20"/>
          <w:color w:val="0F0F0F"/>
        </w:rPr>
      </w:pPr>
      <w:r>
        <w:rPr>
          <w:rFonts w:ascii="Arial" w:cs="Arial" w:eastAsia="Arial" w:hAnsi="Arial"/>
          <w:sz w:val="20"/>
          <w:szCs w:val="20"/>
          <w:color w:val="0F0F0F"/>
        </w:rPr>
        <w:t>During the Term, Employee's position (including status</w:t>
      </w:r>
      <w:r>
        <w:rPr>
          <w:rFonts w:ascii="Arial" w:cs="Arial" w:eastAsia="Arial" w:hAnsi="Arial"/>
          <w:sz w:val="20"/>
          <w:szCs w:val="20"/>
          <w:color w:val="2D2D2D"/>
        </w:rPr>
        <w:t>,</w:t>
      </w:r>
      <w:r>
        <w:rPr>
          <w:rFonts w:ascii="Arial" w:cs="Arial" w:eastAsia="Arial" w:hAnsi="Arial"/>
          <w:sz w:val="20"/>
          <w:szCs w:val="20"/>
          <w:color w:val="0F0F0F"/>
        </w:rPr>
        <w:t xml:space="preserve"> offices, titles and reporting requirements)</w:t>
      </w:r>
      <w:r>
        <w:rPr>
          <w:rFonts w:ascii="Arial" w:cs="Arial" w:eastAsia="Arial" w:hAnsi="Arial"/>
          <w:sz w:val="20"/>
          <w:szCs w:val="20"/>
          <w:color w:val="2D2D2D"/>
        </w:rPr>
        <w:t>,</w:t>
      </w:r>
      <w:r>
        <w:rPr>
          <w:rFonts w:ascii="Arial" w:cs="Arial" w:eastAsia="Arial" w:hAnsi="Arial"/>
          <w:sz w:val="20"/>
          <w:szCs w:val="20"/>
          <w:color w:val="0F0F0F"/>
        </w:rPr>
        <w:t xml:space="preserve"> authority, duties and responsibilities shall be at least commensurate in all material respects with the most significant of those held, exercised and assigned at any time during the ninety (90)-day period immediately preceding the Effective Date and Employee's services shall be performed at such location as Employee shall determine.</w:t>
      </w:r>
    </w:p>
    <w:p>
      <w:pPr>
        <w:spacing w:after="0" w:line="199" w:lineRule="exact"/>
        <w:rPr>
          <w:rFonts w:ascii="Arial" w:cs="Arial" w:eastAsia="Arial" w:hAnsi="Arial"/>
          <w:sz w:val="20"/>
          <w:szCs w:val="20"/>
          <w:color w:val="0F0F0F"/>
        </w:rPr>
      </w:pPr>
    </w:p>
    <w:p>
      <w:pPr>
        <w:ind w:right="80" w:firstLine="1302"/>
        <w:spacing w:after="0" w:line="284" w:lineRule="auto"/>
        <w:tabs>
          <w:tab w:leader="none" w:pos="1794" w:val="left"/>
        </w:tabs>
        <w:numPr>
          <w:ilvl w:val="1"/>
          <w:numId w:val="32"/>
        </w:numPr>
        <w:rPr>
          <w:rFonts w:ascii="Arial" w:cs="Arial" w:eastAsia="Arial" w:hAnsi="Arial"/>
          <w:sz w:val="19"/>
          <w:szCs w:val="19"/>
          <w:color w:val="0F0F0F"/>
        </w:rPr>
      </w:pPr>
      <w:r>
        <w:rPr>
          <w:rFonts w:ascii="Arial" w:cs="Arial" w:eastAsia="Arial" w:hAnsi="Arial"/>
          <w:sz w:val="19"/>
          <w:szCs w:val="19"/>
          <w:color w:val="0F0F0F"/>
        </w:rPr>
        <w:t>During the Term, Employee will serve Company faithfully, diligently and competently and will devote full-time to Employee's employment and will hold, in addition to the offices held on the Effective Date, such other Employee offices of Company or Parent, or their respective subsidiaries and affiliates, to which Employee may be elected, appointed or assigned by the Boards of Directors of Company or Parent from time to time and will discharge such Employee duties in connection therewith. Nothing in this Agreement shall preclude Employee, with the prior approval of the Board of Directors of Company</w:t>
      </w:r>
      <w:r>
        <w:rPr>
          <w:rFonts w:ascii="Arial" w:cs="Arial" w:eastAsia="Arial" w:hAnsi="Arial"/>
          <w:sz w:val="19"/>
          <w:szCs w:val="19"/>
          <w:color w:val="2D2D2D"/>
        </w:rPr>
        <w:t>,</w:t>
      </w:r>
      <w:r>
        <w:rPr>
          <w:rFonts w:ascii="Arial" w:cs="Arial" w:eastAsia="Arial" w:hAnsi="Arial"/>
          <w:sz w:val="19"/>
          <w:szCs w:val="19"/>
          <w:color w:val="0F0F0F"/>
        </w:rPr>
        <w:t xml:space="preserve"> from devoting reasonable periods of time required for (i) serving as a director or member of a committee of any organization involving no conflict of interest with Company or Parent, or (ii) engaging in charitable, religious and community activities</w:t>
      </w:r>
      <w:r>
        <w:rPr>
          <w:rFonts w:ascii="Arial" w:cs="Arial" w:eastAsia="Arial" w:hAnsi="Arial"/>
          <w:sz w:val="19"/>
          <w:szCs w:val="19"/>
          <w:color w:val="2D2D2D"/>
        </w:rPr>
        <w:t>,</w:t>
      </w:r>
      <w:r>
        <w:rPr>
          <w:rFonts w:ascii="Arial" w:cs="Arial" w:eastAsia="Arial" w:hAnsi="Arial"/>
          <w:sz w:val="19"/>
          <w:szCs w:val="19"/>
          <w:color w:val="0F0F0F"/>
        </w:rPr>
        <w:t xml:space="preserve"> </w:t>
      </w:r>
      <w:r>
        <w:rPr>
          <w:rFonts w:ascii="Arial" w:cs="Arial" w:eastAsia="Arial" w:hAnsi="Arial"/>
          <w:sz w:val="19"/>
          <w:szCs w:val="19"/>
          <w:u w:val="single" w:color="auto"/>
          <w:color w:val="0F0F0F"/>
        </w:rPr>
        <w:t>provided,</w:t>
      </w:r>
      <w:r>
        <w:rPr>
          <w:rFonts w:ascii="Arial" w:cs="Arial" w:eastAsia="Arial" w:hAnsi="Arial"/>
          <w:sz w:val="19"/>
          <w:szCs w:val="19"/>
          <w:color w:val="0F0F0F"/>
        </w:rPr>
        <w:t xml:space="preserve"> that such directorships, memberships or activities do not materially interfere with the performance of Employee's duties hereunder.</w:t>
      </w:r>
    </w:p>
    <w:p>
      <w:pPr>
        <w:sectPr>
          <w:pgSz w:w="11900" w:h="16838" w:orient="portrait"/>
          <w:cols w:equalWidth="0" w:num="1">
            <w:col w:w="10940"/>
          </w:cols>
          <w:pgMar w:left="460" w:top="1440" w:right="499" w:bottom="1440" w:gutter="0" w:footer="0" w:header="0"/>
        </w:sectPr>
      </w:pPr>
    </w:p>
    <w:bookmarkStart w:id="97" w:name="page98"/>
    <w:bookmarkEnd w:id="97"/>
    <w:p>
      <w:pPr>
        <w:spacing w:after="0" w:line="77" w:lineRule="exact"/>
        <w:rPr>
          <w:sz w:val="20"/>
          <w:szCs w:val="20"/>
          <w:color w:val="auto"/>
        </w:rPr>
      </w:pPr>
    </w:p>
    <w:p>
      <w:pPr>
        <w:ind w:left="-638" w:right="860" w:firstLine="638"/>
        <w:spacing w:after="0" w:line="277" w:lineRule="auto"/>
        <w:tabs>
          <w:tab w:leader="none" w:pos="538" w:val="left"/>
        </w:tabs>
        <w:numPr>
          <w:ilvl w:val="0"/>
          <w:numId w:val="33"/>
        </w:numPr>
        <w:rPr>
          <w:rFonts w:ascii="Arial" w:cs="Arial" w:eastAsia="Arial" w:hAnsi="Arial"/>
          <w:sz w:val="21"/>
          <w:szCs w:val="21"/>
          <w:color w:val="0F0F0F"/>
        </w:rPr>
      </w:pPr>
      <w:r>
        <w:rPr>
          <w:rFonts w:ascii="Arial" w:cs="Arial" w:eastAsia="Arial" w:hAnsi="Arial"/>
          <w:sz w:val="21"/>
          <w:szCs w:val="21"/>
          <w:u w:val="single" w:color="auto"/>
          <w:color w:val="0F0F0F"/>
        </w:rPr>
        <w:t>Compensation.</w:t>
      </w:r>
      <w:r>
        <w:rPr>
          <w:rFonts w:ascii="Arial" w:cs="Arial" w:eastAsia="Arial" w:hAnsi="Arial"/>
          <w:sz w:val="21"/>
          <w:szCs w:val="21"/>
          <w:color w:val="0F0F0F"/>
        </w:rPr>
        <w:t xml:space="preserve"> During the Term, Company shall pay to Employee as compensation for the services to be rendered by Employee hereunder the following:</w:t>
      </w:r>
    </w:p>
    <w:p>
      <w:pPr>
        <w:spacing w:after="0" w:line="198" w:lineRule="exact"/>
        <w:rPr>
          <w:rFonts w:ascii="Arial" w:cs="Arial" w:eastAsia="Arial" w:hAnsi="Arial"/>
          <w:sz w:val="21"/>
          <w:szCs w:val="21"/>
          <w:color w:val="0F0F0F"/>
        </w:rPr>
      </w:pPr>
    </w:p>
    <w:p>
      <w:pPr>
        <w:ind w:left="-638" w:firstLine="1292"/>
        <w:spacing w:after="0" w:line="268" w:lineRule="auto"/>
        <w:tabs>
          <w:tab w:leader="none" w:pos="1199" w:val="left"/>
        </w:tabs>
        <w:numPr>
          <w:ilvl w:val="1"/>
          <w:numId w:val="33"/>
        </w:numPr>
        <w:rPr>
          <w:rFonts w:ascii="Arial" w:cs="Arial" w:eastAsia="Arial" w:hAnsi="Arial"/>
          <w:sz w:val="20"/>
          <w:szCs w:val="20"/>
          <w:color w:val="0F0F0F"/>
        </w:rPr>
      </w:pPr>
      <w:r>
        <w:rPr>
          <w:rFonts w:ascii="Arial" w:cs="Arial" w:eastAsia="Arial" w:hAnsi="Arial"/>
          <w:sz w:val="20"/>
          <w:szCs w:val="20"/>
          <w:color w:val="0F0F0F"/>
        </w:rPr>
        <w:t>A base salary at a rate equal to the highest base salary paid or payable to Employee by Company during the twelve (12)-month period immediately preceding the month in which the Effective Date occurs, or such larger sum as the Company may from time to time determine in connection with regular periodic performance reviews pursuant to Company's policies and practices. Such compensation shall be payable in accordance with the normal payroll practices of Company. Employee shall receive an annual increase in base salary at each normal pay adjustment date during the Term, but no later than one (1) year after the date of Employee's last increase and annually thereafter during the Term, of not less than the percentage increase in the cost-of-living since Employee's last pay adjustment, as measured by the Consumer Price Index-All Urban Consumers of the U.S. Bureau of Labor Statistics.</w:t>
      </w:r>
    </w:p>
    <w:p>
      <w:pPr>
        <w:spacing w:after="0" w:line="227" w:lineRule="exact"/>
        <w:rPr>
          <w:rFonts w:ascii="Arial" w:cs="Arial" w:eastAsia="Arial" w:hAnsi="Arial"/>
          <w:sz w:val="20"/>
          <w:szCs w:val="20"/>
          <w:color w:val="0F0F0F"/>
        </w:rPr>
      </w:pPr>
    </w:p>
    <w:p>
      <w:pPr>
        <w:ind w:left="-638" w:firstLine="1292"/>
        <w:spacing w:after="0" w:line="274" w:lineRule="auto"/>
        <w:tabs>
          <w:tab w:leader="none" w:pos="1196" w:val="left"/>
        </w:tabs>
        <w:numPr>
          <w:ilvl w:val="1"/>
          <w:numId w:val="33"/>
        </w:numPr>
        <w:rPr>
          <w:rFonts w:ascii="Arial" w:cs="Arial" w:eastAsia="Arial" w:hAnsi="Arial"/>
          <w:sz w:val="20"/>
          <w:szCs w:val="20"/>
          <w:color w:val="0F0F0F"/>
        </w:rPr>
      </w:pPr>
      <w:r>
        <w:rPr>
          <w:rFonts w:ascii="Arial" w:cs="Arial" w:eastAsia="Arial" w:hAnsi="Arial"/>
          <w:sz w:val="20"/>
          <w:szCs w:val="20"/>
          <w:color w:val="0F0F0F"/>
        </w:rPr>
        <w:t xml:space="preserve">In addition, Company shall pay to Employee an annual award under the Company's Performance Stock Program (or other bonus program in effect at the time the Effective Date occurs) payable in cash or other form of compensation, for which he would have been eligible in accordance with the Company's practice or plan in effect at that time for annual bonuses for said </w:t>
      </w:r>
      <w:r>
        <w:rPr>
          <w:rFonts w:ascii="Arial" w:cs="Arial" w:eastAsia="Arial" w:hAnsi="Arial"/>
          <w:sz w:val="20"/>
          <w:szCs w:val="20"/>
          <w:color w:val="232323"/>
        </w:rPr>
        <w:t>employee</w:t>
      </w:r>
      <w:r>
        <w:rPr>
          <w:rFonts w:ascii="Arial" w:cs="Arial" w:eastAsia="Arial" w:hAnsi="Arial"/>
          <w:sz w:val="20"/>
          <w:szCs w:val="20"/>
          <w:color w:val="0F0F0F"/>
        </w:rPr>
        <w:t xml:space="preserve"> for the year preceding the fiscal year in which the </w:t>
      </w:r>
      <w:r>
        <w:rPr>
          <w:rFonts w:ascii="Arial" w:cs="Arial" w:eastAsia="Arial" w:hAnsi="Arial"/>
          <w:sz w:val="20"/>
          <w:szCs w:val="20"/>
          <w:color w:val="232323"/>
        </w:rPr>
        <w:t>Effective</w:t>
      </w:r>
      <w:r>
        <w:rPr>
          <w:rFonts w:ascii="Arial" w:cs="Arial" w:eastAsia="Arial" w:hAnsi="Arial"/>
          <w:sz w:val="20"/>
          <w:szCs w:val="20"/>
          <w:color w:val="0F0F0F"/>
        </w:rPr>
        <w:t xml:space="preserve"> Date occurs.</w:t>
      </w:r>
    </w:p>
    <w:p>
      <w:pPr>
        <w:spacing w:after="0" w:line="191" w:lineRule="exact"/>
        <w:rPr>
          <w:rFonts w:ascii="Arial" w:cs="Arial" w:eastAsia="Arial" w:hAnsi="Arial"/>
          <w:sz w:val="20"/>
          <w:szCs w:val="20"/>
          <w:color w:val="0F0F0F"/>
        </w:rPr>
      </w:pPr>
    </w:p>
    <w:p>
      <w:pPr>
        <w:ind w:left="642" w:hanging="640"/>
        <w:spacing w:after="0"/>
        <w:tabs>
          <w:tab w:leader="none" w:pos="642" w:val="left"/>
        </w:tabs>
        <w:numPr>
          <w:ilvl w:val="0"/>
          <w:numId w:val="33"/>
        </w:numPr>
        <w:rPr>
          <w:rFonts w:ascii="Arial" w:cs="Arial" w:eastAsia="Arial" w:hAnsi="Arial"/>
          <w:sz w:val="21"/>
          <w:szCs w:val="21"/>
          <w:color w:val="0F0F0F"/>
        </w:rPr>
      </w:pPr>
      <w:r>
        <w:rPr>
          <w:rFonts w:ascii="Arial" w:cs="Arial" w:eastAsia="Arial" w:hAnsi="Arial"/>
          <w:sz w:val="21"/>
          <w:szCs w:val="21"/>
          <w:u w:val="single" w:color="auto"/>
          <w:color w:val="0F0F0F"/>
        </w:rPr>
        <w:t>Benefits.</w:t>
      </w:r>
      <w:r>
        <w:rPr>
          <w:rFonts w:ascii="Arial" w:cs="Arial" w:eastAsia="Arial" w:hAnsi="Arial"/>
          <w:sz w:val="21"/>
          <w:szCs w:val="21"/>
          <w:color w:val="0F0F0F"/>
        </w:rPr>
        <w:t xml:space="preserve"> During the Term, Employee shall be entitled to the following benefits:</w:t>
      </w:r>
    </w:p>
    <w:p>
      <w:pPr>
        <w:spacing w:after="0" w:line="236" w:lineRule="exact"/>
        <w:rPr>
          <w:rFonts w:ascii="Arial" w:cs="Arial" w:eastAsia="Arial" w:hAnsi="Arial"/>
          <w:sz w:val="21"/>
          <w:szCs w:val="21"/>
          <w:color w:val="0F0F0F"/>
        </w:rPr>
      </w:pPr>
    </w:p>
    <w:p>
      <w:pPr>
        <w:ind w:left="-638" w:right="180" w:firstLine="1292"/>
        <w:spacing w:after="0" w:line="267" w:lineRule="auto"/>
        <w:tabs>
          <w:tab w:leader="none" w:pos="1198" w:val="left"/>
        </w:tabs>
        <w:numPr>
          <w:ilvl w:val="1"/>
          <w:numId w:val="33"/>
        </w:numPr>
        <w:rPr>
          <w:rFonts w:ascii="Arial" w:cs="Arial" w:eastAsia="Arial" w:hAnsi="Arial"/>
          <w:sz w:val="20"/>
          <w:szCs w:val="20"/>
          <w:color w:val="0F0F0F"/>
        </w:rPr>
      </w:pPr>
      <w:r>
        <w:rPr>
          <w:rFonts w:ascii="Arial" w:cs="Arial" w:eastAsia="Arial" w:hAnsi="Arial"/>
          <w:sz w:val="20"/>
          <w:szCs w:val="20"/>
          <w:u w:val="single" w:color="auto"/>
          <w:color w:val="0F0F0F"/>
        </w:rPr>
        <w:t>Incentive, Savings and Retirement Plans.</w:t>
      </w:r>
      <w:r>
        <w:rPr>
          <w:rFonts w:ascii="Arial" w:cs="Arial" w:eastAsia="Arial" w:hAnsi="Arial"/>
          <w:sz w:val="20"/>
          <w:szCs w:val="20"/>
          <w:color w:val="0F0F0F"/>
        </w:rPr>
        <w:t xml:space="preserve"> In addition to base salary and bonus payable as hereinabove provided, Employee shall be entitled to participate during the Term in all savings and retirement plans, practices, policies and programs applicable to employees of Company as may be in effect from time to time. Such plans, practices, policies and programs, in the aggregate, shall provide Employee with compensation, benefits and reward opportunities at least as favorable as the most favorable of such compensation, benefits and reward opportunities provided by Company for Employee under such plans, practices, policies and programs as in effect at any time during the ninety (90)-day period immediately preceding the Effective Date or, if more favorable to Employee, as provided at any time thereafter with respect to other key employees of Company or Parent.</w:t>
      </w:r>
    </w:p>
    <w:p>
      <w:pPr>
        <w:spacing w:after="0" w:line="229" w:lineRule="exact"/>
        <w:rPr>
          <w:rFonts w:ascii="Arial" w:cs="Arial" w:eastAsia="Arial" w:hAnsi="Arial"/>
          <w:sz w:val="20"/>
          <w:szCs w:val="20"/>
          <w:color w:val="0F0F0F"/>
        </w:rPr>
      </w:pPr>
    </w:p>
    <w:p>
      <w:pPr>
        <w:ind w:left="-638" w:firstLine="1295"/>
        <w:spacing w:after="0" w:line="285" w:lineRule="auto"/>
        <w:tabs>
          <w:tab w:leader="none" w:pos="1178" w:val="left"/>
        </w:tabs>
        <w:numPr>
          <w:ilvl w:val="1"/>
          <w:numId w:val="33"/>
        </w:numPr>
        <w:rPr>
          <w:rFonts w:ascii="Arial" w:cs="Arial" w:eastAsia="Arial" w:hAnsi="Arial"/>
          <w:sz w:val="19"/>
          <w:szCs w:val="19"/>
          <w:color w:val="0F0F0F"/>
        </w:rPr>
      </w:pPr>
      <w:r>
        <w:rPr>
          <w:rFonts w:ascii="Arial" w:cs="Arial" w:eastAsia="Arial" w:hAnsi="Arial"/>
          <w:sz w:val="19"/>
          <w:szCs w:val="19"/>
          <w:u w:val="single" w:color="auto"/>
          <w:color w:val="0F0F0F"/>
        </w:rPr>
        <w:t>Welfare Benefit Plans.</w:t>
      </w:r>
      <w:r>
        <w:rPr>
          <w:rFonts w:ascii="Arial" w:cs="Arial" w:eastAsia="Arial" w:hAnsi="Arial"/>
          <w:sz w:val="19"/>
          <w:szCs w:val="19"/>
          <w:color w:val="0F0F0F"/>
        </w:rPr>
        <w:t xml:space="preserve"> During the Term, Employee and/or Employee's family, as the case may be, shall be eligible for participation in and shall receive all benefits under welfare benefit plans, practices, policies and programs applicable to employees of Company (including, without limitation, medical, prescription, dental, disability, salary continuance, employee life, group life,) at least as favorable as the most favorable of such plans, practices, policies and programs in effect at any time during the ninety (90)-day period immediately preceding the Effective Date or, if more favorable to Employee and/or Employee's family, as in effect at any time thereafter with respect to other key employees of Company or Parent.</w:t>
      </w:r>
    </w:p>
    <w:p>
      <w:pPr>
        <w:spacing w:after="0" w:line="198" w:lineRule="exact"/>
        <w:rPr>
          <w:rFonts w:ascii="Arial" w:cs="Arial" w:eastAsia="Arial" w:hAnsi="Arial"/>
          <w:sz w:val="19"/>
          <w:szCs w:val="19"/>
          <w:color w:val="0F0F0F"/>
        </w:rPr>
      </w:pPr>
    </w:p>
    <w:p>
      <w:pPr>
        <w:ind w:left="-638" w:right="40" w:firstLine="1300"/>
        <w:spacing w:after="0" w:line="277" w:lineRule="auto"/>
        <w:tabs>
          <w:tab w:leader="none" w:pos="1179" w:val="left"/>
        </w:tabs>
        <w:numPr>
          <w:ilvl w:val="1"/>
          <w:numId w:val="33"/>
        </w:numPr>
        <w:rPr>
          <w:rFonts w:ascii="Arial" w:cs="Arial" w:eastAsia="Arial" w:hAnsi="Arial"/>
          <w:sz w:val="21"/>
          <w:szCs w:val="21"/>
          <w:color w:val="0F0F0F"/>
        </w:rPr>
      </w:pPr>
      <w:r>
        <w:rPr>
          <w:rFonts w:ascii="Arial" w:cs="Arial" w:eastAsia="Arial" w:hAnsi="Arial"/>
          <w:sz w:val="21"/>
          <w:szCs w:val="21"/>
          <w:u w:val="single" w:color="auto"/>
          <w:color w:val="0F0F0F"/>
        </w:rPr>
        <w:t>Expenses.</w:t>
      </w:r>
      <w:r>
        <w:rPr>
          <w:rFonts w:ascii="Arial" w:cs="Arial" w:eastAsia="Arial" w:hAnsi="Arial"/>
          <w:sz w:val="21"/>
          <w:szCs w:val="21"/>
          <w:color w:val="0F0F0F"/>
        </w:rPr>
        <w:t xml:space="preserve"> During the Term, Employee shall be entitled to receive prompt reimbursement for all reasonable expenses incurred by Employee in accordance with the most</w:t>
      </w:r>
    </w:p>
    <w:p>
      <w:pPr>
        <w:sectPr>
          <w:pgSz w:w="11900" w:h="16838" w:orient="portrait"/>
          <w:cols w:equalWidth="0" w:num="1">
            <w:col w:w="10082"/>
          </w:cols>
          <w:pgMar w:left="1078" w:top="1440" w:right="739" w:bottom="1440" w:gutter="0" w:footer="0" w:header="0"/>
        </w:sectPr>
      </w:pPr>
    </w:p>
    <w:bookmarkStart w:id="98" w:name="page99"/>
    <w:bookmarkEnd w:id="98"/>
    <w:p>
      <w:pPr>
        <w:spacing w:after="0" w:line="320" w:lineRule="exact"/>
        <w:rPr>
          <w:sz w:val="20"/>
          <w:szCs w:val="20"/>
          <w:color w:val="auto"/>
        </w:rPr>
      </w:pPr>
    </w:p>
    <w:p>
      <w:pPr>
        <w:ind w:right="380"/>
        <w:spacing w:after="0" w:line="266" w:lineRule="auto"/>
        <w:rPr>
          <w:sz w:val="20"/>
          <w:szCs w:val="20"/>
          <w:color w:val="auto"/>
        </w:rPr>
      </w:pPr>
      <w:r>
        <w:rPr>
          <w:rFonts w:ascii="Arial" w:cs="Arial" w:eastAsia="Arial" w:hAnsi="Arial"/>
          <w:sz w:val="21"/>
          <w:szCs w:val="21"/>
          <w:color w:val="0F0F0F"/>
        </w:rPr>
        <w:t>favorable policies, practices and procedures of Company in effect at any time during the ninety (90)-day period immediately preceding the Effective Date or, if more favorable to Employee, as in effect at any time thereafter with respect to other key employees of Company or Parent.</w:t>
      </w:r>
    </w:p>
    <w:p>
      <w:pPr>
        <w:spacing w:after="0" w:line="210" w:lineRule="exact"/>
        <w:rPr>
          <w:sz w:val="20"/>
          <w:szCs w:val="20"/>
          <w:color w:val="auto"/>
        </w:rPr>
      </w:pPr>
    </w:p>
    <w:p>
      <w:pPr>
        <w:ind w:left="20" w:firstLine="1285"/>
        <w:spacing w:after="0" w:line="257" w:lineRule="auto"/>
        <w:tabs>
          <w:tab w:leader="none" w:pos="1837" w:val="left"/>
        </w:tabs>
        <w:numPr>
          <w:ilvl w:val="1"/>
          <w:numId w:val="34"/>
        </w:numPr>
        <w:rPr>
          <w:rFonts w:ascii="Arial" w:cs="Arial" w:eastAsia="Arial" w:hAnsi="Arial"/>
          <w:sz w:val="21"/>
          <w:szCs w:val="21"/>
          <w:color w:val="0F0F0F"/>
        </w:rPr>
      </w:pPr>
      <w:r>
        <w:rPr>
          <w:rFonts w:ascii="Arial" w:cs="Arial" w:eastAsia="Arial" w:hAnsi="Arial"/>
          <w:sz w:val="21"/>
          <w:szCs w:val="21"/>
          <w:u w:val="single" w:color="auto"/>
          <w:color w:val="0F0F0F"/>
        </w:rPr>
        <w:t>Fringe Benefits.</w:t>
      </w:r>
      <w:r>
        <w:rPr>
          <w:rFonts w:ascii="Arial" w:cs="Arial" w:eastAsia="Arial" w:hAnsi="Arial"/>
          <w:sz w:val="21"/>
          <w:szCs w:val="21"/>
          <w:color w:val="0F0F0F"/>
        </w:rPr>
        <w:t xml:space="preserve"> During the Term, Employee shall be entitled to fringe benefits, including use of an automobile and payment of related expenses or payment of an allowance for automobile related expenses, in accordance with the most favorable plans, practices, programs and policies of Company in effect at any time during the ninety (90)-day period immediately preceding the Effective Date or, if more favorable to Employee, as in effect at any time thereafter with respect to other key employees of Company or Parent.</w:t>
      </w:r>
    </w:p>
    <w:p>
      <w:pPr>
        <w:spacing w:after="0" w:line="219" w:lineRule="exact"/>
        <w:rPr>
          <w:rFonts w:ascii="Arial" w:cs="Arial" w:eastAsia="Arial" w:hAnsi="Arial"/>
          <w:sz w:val="21"/>
          <w:szCs w:val="21"/>
          <w:color w:val="0F0F0F"/>
        </w:rPr>
      </w:pPr>
    </w:p>
    <w:p>
      <w:pPr>
        <w:ind w:left="20" w:right="40" w:firstLine="1289"/>
        <w:spacing w:after="0" w:line="257" w:lineRule="auto"/>
        <w:tabs>
          <w:tab w:leader="none" w:pos="1829" w:val="left"/>
        </w:tabs>
        <w:numPr>
          <w:ilvl w:val="1"/>
          <w:numId w:val="34"/>
        </w:numPr>
        <w:rPr>
          <w:rFonts w:ascii="Arial" w:cs="Arial" w:eastAsia="Arial" w:hAnsi="Arial"/>
          <w:sz w:val="21"/>
          <w:szCs w:val="21"/>
          <w:color w:val="0F0F0F"/>
        </w:rPr>
      </w:pPr>
      <w:r>
        <w:rPr>
          <w:rFonts w:ascii="Arial" w:cs="Arial" w:eastAsia="Arial" w:hAnsi="Arial"/>
          <w:sz w:val="21"/>
          <w:szCs w:val="21"/>
          <w:u w:val="single" w:color="auto"/>
          <w:color w:val="0F0F0F"/>
        </w:rPr>
        <w:t>Office and Support Staff</w:t>
      </w:r>
      <w:r>
        <w:rPr>
          <w:rFonts w:ascii="Arial" w:cs="Arial" w:eastAsia="Arial" w:hAnsi="Arial"/>
          <w:sz w:val="21"/>
          <w:szCs w:val="21"/>
          <w:color w:val="0F0F0F"/>
        </w:rPr>
        <w:t>. During the Term, Employee shall be entitled to an office or offices of a size and with furnishings and other appointments, and to secretarial and other assistance, at least equal to the most favorable of the foregoing provided to Employee by Company at any time during the ninety (90)-day period immediately preceding the Effective Date or</w:t>
      </w:r>
      <w:r>
        <w:rPr>
          <w:rFonts w:ascii="Arial" w:cs="Arial" w:eastAsia="Arial" w:hAnsi="Arial"/>
          <w:sz w:val="21"/>
          <w:szCs w:val="21"/>
          <w:color w:val="343434"/>
        </w:rPr>
        <w:t>,</w:t>
      </w:r>
      <w:r>
        <w:rPr>
          <w:rFonts w:ascii="Arial" w:cs="Arial" w:eastAsia="Arial" w:hAnsi="Arial"/>
          <w:sz w:val="21"/>
          <w:szCs w:val="21"/>
          <w:color w:val="0F0F0F"/>
        </w:rPr>
        <w:t xml:space="preserve"> if more favorable to Employee, as provided at any time thereafter with </w:t>
      </w:r>
      <w:r>
        <w:rPr>
          <w:rFonts w:ascii="Arial" w:cs="Arial" w:eastAsia="Arial" w:hAnsi="Arial"/>
          <w:sz w:val="21"/>
          <w:szCs w:val="21"/>
          <w:color w:val="242424"/>
        </w:rPr>
        <w:t>respect</w:t>
      </w:r>
      <w:r>
        <w:rPr>
          <w:rFonts w:ascii="Arial" w:cs="Arial" w:eastAsia="Arial" w:hAnsi="Arial"/>
          <w:sz w:val="21"/>
          <w:szCs w:val="21"/>
          <w:color w:val="0F0F0F"/>
        </w:rPr>
        <w:t xml:space="preserve"> to other key employees of Company or Parent.</w:t>
      </w:r>
    </w:p>
    <w:p>
      <w:pPr>
        <w:spacing w:after="0" w:line="232" w:lineRule="exact"/>
        <w:rPr>
          <w:rFonts w:ascii="Arial" w:cs="Arial" w:eastAsia="Arial" w:hAnsi="Arial"/>
          <w:sz w:val="21"/>
          <w:szCs w:val="21"/>
          <w:color w:val="0F0F0F"/>
        </w:rPr>
      </w:pPr>
    </w:p>
    <w:p>
      <w:pPr>
        <w:ind w:left="20" w:right="280" w:firstLine="1293"/>
        <w:spacing w:after="0" w:line="258" w:lineRule="auto"/>
        <w:tabs>
          <w:tab w:leader="none" w:pos="1829" w:val="left"/>
        </w:tabs>
        <w:numPr>
          <w:ilvl w:val="1"/>
          <w:numId w:val="34"/>
        </w:numPr>
        <w:rPr>
          <w:rFonts w:ascii="Arial" w:cs="Arial" w:eastAsia="Arial" w:hAnsi="Arial"/>
          <w:sz w:val="22"/>
          <w:szCs w:val="22"/>
          <w:color w:val="0F0F0F"/>
        </w:rPr>
      </w:pPr>
      <w:r>
        <w:rPr>
          <w:rFonts w:ascii="Arial" w:cs="Arial" w:eastAsia="Arial" w:hAnsi="Arial"/>
          <w:sz w:val="21"/>
          <w:szCs w:val="21"/>
          <w:u w:val="single" w:color="auto"/>
          <w:color w:val="0F0F0F"/>
        </w:rPr>
        <w:t>Vacation.</w:t>
      </w:r>
      <w:r>
        <w:rPr>
          <w:rFonts w:ascii="Arial" w:cs="Arial" w:eastAsia="Arial" w:hAnsi="Arial"/>
          <w:sz w:val="21"/>
          <w:szCs w:val="21"/>
          <w:color w:val="0F0F0F"/>
        </w:rPr>
        <w:t xml:space="preserve"> During the Term, Employee shall be entitled to paid vacation in accordance with the most favorable plans, policies, programs and practices of Company as in effect at any time during the ninety (90)-day period immediately preceding the Effective Date or, if more favorable to Employee, as in effect at any time thereafter with respect to other key employees of Company or Parent.</w:t>
      </w:r>
    </w:p>
    <w:p>
      <w:pPr>
        <w:spacing w:after="0" w:line="200" w:lineRule="exact"/>
        <w:rPr>
          <w:rFonts w:ascii="Arial" w:cs="Arial" w:eastAsia="Arial" w:hAnsi="Arial"/>
          <w:sz w:val="22"/>
          <w:szCs w:val="22"/>
          <w:color w:val="0F0F0F"/>
        </w:rPr>
      </w:pPr>
    </w:p>
    <w:p>
      <w:pPr>
        <w:spacing w:after="0" w:line="247" w:lineRule="exact"/>
        <w:rPr>
          <w:rFonts w:ascii="Arial" w:cs="Arial" w:eastAsia="Arial" w:hAnsi="Arial"/>
          <w:sz w:val="22"/>
          <w:szCs w:val="22"/>
          <w:color w:val="0F0F0F"/>
        </w:rPr>
      </w:pPr>
    </w:p>
    <w:p>
      <w:pPr>
        <w:ind w:left="1320" w:hanging="653"/>
        <w:spacing w:after="0"/>
        <w:tabs>
          <w:tab w:leader="none" w:pos="1320" w:val="left"/>
        </w:tabs>
        <w:numPr>
          <w:ilvl w:val="0"/>
          <w:numId w:val="35"/>
        </w:numPr>
        <w:rPr>
          <w:rFonts w:ascii="Arial" w:cs="Arial" w:eastAsia="Arial" w:hAnsi="Arial"/>
          <w:sz w:val="21"/>
          <w:szCs w:val="21"/>
          <w:color w:val="0F0F0F"/>
        </w:rPr>
      </w:pPr>
      <w:r>
        <w:rPr>
          <w:rFonts w:ascii="Arial" w:cs="Arial" w:eastAsia="Arial" w:hAnsi="Arial"/>
          <w:sz w:val="21"/>
          <w:szCs w:val="21"/>
          <w:u w:val="single" w:color="auto"/>
          <w:color w:val="0F0F0F"/>
        </w:rPr>
        <w:t>End of Term and Notice of Termination.</w:t>
      </w:r>
    </w:p>
    <w:p>
      <w:pPr>
        <w:sectPr>
          <w:pgSz w:w="11900" w:h="16838" w:orient="portrait"/>
          <w:cols w:equalWidth="0" w:num="1">
            <w:col w:w="10700"/>
          </w:cols>
          <w:pgMar w:left="440" w:top="1440" w:right="759" w:bottom="1440" w:gutter="0" w:footer="0" w:header="0"/>
        </w:sectPr>
      </w:pPr>
    </w:p>
    <w:bookmarkStart w:id="99" w:name="page100"/>
    <w:bookmarkEnd w:id="99"/>
    <w:p>
      <w:pPr>
        <w:ind w:left="4680" w:hanging="600"/>
        <w:spacing w:after="0"/>
        <w:tabs>
          <w:tab w:leader="none" w:pos="4680" w:val="left"/>
        </w:tabs>
        <w:numPr>
          <w:ilvl w:val="0"/>
          <w:numId w:val="36"/>
        </w:numPr>
        <w:rPr>
          <w:rFonts w:ascii="Arial" w:cs="Arial" w:eastAsia="Arial" w:hAnsi="Arial"/>
          <w:sz w:val="36"/>
          <w:szCs w:val="36"/>
          <w:color w:val="0F0F0F"/>
          <w:vertAlign w:val="subscript"/>
        </w:rPr>
      </w:pPr>
      <w:r>
        <w:rPr>
          <w:rFonts w:ascii="Arial" w:cs="Arial" w:eastAsia="Arial" w:hAnsi="Arial"/>
          <w:sz w:val="18"/>
          <w:szCs w:val="18"/>
          <w:u w:val="single" w:color="auto"/>
          <w:color w:val="0F0F0F"/>
        </w:rPr>
        <w:t>End of Term</w:t>
      </w:r>
      <w:r>
        <w:rPr>
          <w:rFonts w:ascii="Arial" w:cs="Arial" w:eastAsia="Arial" w:hAnsi="Arial"/>
          <w:sz w:val="18"/>
          <w:szCs w:val="18"/>
          <w:color w:val="0F0F0F"/>
        </w:rPr>
        <w:t>. The Term shall end upon the occurrence of any of</w:t>
      </w:r>
    </w:p>
    <w:p>
      <w:pPr>
        <w:spacing w:after="0" w:line="64" w:lineRule="exact"/>
        <w:rPr>
          <w:rFonts w:ascii="Arial" w:cs="Arial" w:eastAsia="Arial" w:hAnsi="Arial"/>
          <w:sz w:val="36"/>
          <w:szCs w:val="36"/>
          <w:color w:val="0F0F0F"/>
          <w:vertAlign w:val="subscript"/>
        </w:rPr>
      </w:pPr>
    </w:p>
    <w:p>
      <w:pPr>
        <w:ind w:left="2840"/>
        <w:spacing w:after="0"/>
        <w:rPr>
          <w:rFonts w:ascii="Arial" w:cs="Arial" w:eastAsia="Arial" w:hAnsi="Arial"/>
          <w:sz w:val="36"/>
          <w:szCs w:val="36"/>
          <w:color w:val="0F0F0F"/>
          <w:vertAlign w:val="subscript"/>
        </w:rPr>
      </w:pPr>
      <w:r>
        <w:rPr>
          <w:rFonts w:ascii="Arial" w:cs="Arial" w:eastAsia="Arial" w:hAnsi="Arial"/>
          <w:sz w:val="21"/>
          <w:szCs w:val="21"/>
          <w:color w:val="0F0F0F"/>
        </w:rPr>
        <w:t>following events:</w:t>
      </w:r>
      <w:r>
        <w:rPr>
          <w:rFonts w:ascii="Arial" w:cs="Arial" w:eastAsia="Arial" w:hAnsi="Arial"/>
          <w:sz w:val="28"/>
          <w:szCs w:val="28"/>
          <w:color w:val="0F0F0F"/>
          <w:vertAlign w:val="superscript"/>
        </w:rPr>
        <w:t>the</w:t>
      </w:r>
    </w:p>
    <w:p>
      <w:pPr>
        <w:spacing w:after="0" w:line="254" w:lineRule="exact"/>
        <w:rPr>
          <w:rFonts w:ascii="Arial" w:cs="Arial" w:eastAsia="Arial" w:hAnsi="Arial"/>
          <w:sz w:val="36"/>
          <w:szCs w:val="36"/>
          <w:color w:val="0F0F0F"/>
          <w:vertAlign w:val="subscript"/>
        </w:rPr>
      </w:pPr>
    </w:p>
    <w:p>
      <w:pPr>
        <w:ind w:left="5320" w:right="200" w:hanging="643"/>
        <w:spacing w:after="0" w:line="232" w:lineRule="auto"/>
        <w:tabs>
          <w:tab w:leader="none" w:pos="5313" w:val="left"/>
        </w:tabs>
        <w:numPr>
          <w:ilvl w:val="1"/>
          <w:numId w:val="36"/>
        </w:numPr>
        <w:rPr>
          <w:rFonts w:ascii="Arial" w:cs="Arial" w:eastAsia="Arial" w:hAnsi="Arial"/>
          <w:sz w:val="21"/>
          <w:szCs w:val="21"/>
          <w:color w:val="0F0F0F"/>
        </w:rPr>
      </w:pPr>
      <w:r>
        <w:rPr>
          <w:rFonts w:ascii="Arial" w:cs="Arial" w:eastAsia="Arial" w:hAnsi="Arial"/>
          <w:sz w:val="21"/>
          <w:szCs w:val="21"/>
          <w:color w:val="0F0F0F"/>
        </w:rPr>
        <w:t>Termination of Employee's employment by Company for Cause.</w:t>
      </w:r>
    </w:p>
    <w:p>
      <w:pPr>
        <w:spacing w:after="0" w:line="208" w:lineRule="exact"/>
        <w:rPr>
          <w:rFonts w:ascii="Arial" w:cs="Arial" w:eastAsia="Arial" w:hAnsi="Arial"/>
          <w:sz w:val="21"/>
          <w:szCs w:val="21"/>
          <w:color w:val="0F0F0F"/>
        </w:rPr>
      </w:pPr>
    </w:p>
    <w:p>
      <w:pPr>
        <w:jc w:val="both"/>
        <w:ind w:left="5320" w:right="1240" w:hanging="643"/>
        <w:spacing w:after="0" w:line="278" w:lineRule="auto"/>
        <w:tabs>
          <w:tab w:leader="none" w:pos="5315" w:val="left"/>
        </w:tabs>
        <w:numPr>
          <w:ilvl w:val="1"/>
          <w:numId w:val="36"/>
        </w:numPr>
        <w:rPr>
          <w:rFonts w:ascii="Arial" w:cs="Arial" w:eastAsia="Arial" w:hAnsi="Arial"/>
          <w:sz w:val="20"/>
          <w:szCs w:val="20"/>
          <w:color w:val="0F0F0F"/>
        </w:rPr>
      </w:pPr>
      <w:r>
        <w:rPr>
          <w:rFonts w:ascii="Arial" w:cs="Arial" w:eastAsia="Arial" w:hAnsi="Arial"/>
          <w:sz w:val="20"/>
          <w:szCs w:val="20"/>
          <w:color w:val="0F0F0F"/>
        </w:rPr>
        <w:t>The voluntary termination of Employee's employment by Employee other than for Good Reason.</w:t>
      </w:r>
    </w:p>
    <w:p>
      <w:pPr>
        <w:spacing w:after="0" w:line="186" w:lineRule="exact"/>
        <w:rPr>
          <w:rFonts w:ascii="Arial" w:cs="Arial" w:eastAsia="Arial" w:hAnsi="Arial"/>
          <w:sz w:val="20"/>
          <w:szCs w:val="20"/>
          <w:color w:val="0F0F0F"/>
        </w:rPr>
      </w:pPr>
    </w:p>
    <w:p>
      <w:pPr>
        <w:ind w:left="5320" w:hanging="638"/>
        <w:spacing w:after="0"/>
        <w:tabs>
          <w:tab w:leader="none" w:pos="5320" w:val="left"/>
        </w:tabs>
        <w:numPr>
          <w:ilvl w:val="1"/>
          <w:numId w:val="36"/>
        </w:numPr>
        <w:rPr>
          <w:rFonts w:ascii="Arial" w:cs="Arial" w:eastAsia="Arial" w:hAnsi="Arial"/>
          <w:sz w:val="21"/>
          <w:szCs w:val="21"/>
          <w:color w:val="0F0F0F"/>
        </w:rPr>
      </w:pPr>
      <w:r>
        <w:rPr>
          <w:rFonts w:ascii="Arial" w:cs="Arial" w:eastAsia="Arial" w:hAnsi="Arial"/>
          <w:sz w:val="21"/>
          <w:szCs w:val="21"/>
          <w:color w:val="0F0F0F"/>
        </w:rPr>
        <w:t>The death of Employee.</w:t>
      </w:r>
    </w:p>
    <w:p>
      <w:pPr>
        <w:spacing w:after="0" w:line="217" w:lineRule="exact"/>
        <w:rPr>
          <w:rFonts w:ascii="Arial" w:cs="Arial" w:eastAsia="Arial" w:hAnsi="Arial"/>
          <w:sz w:val="21"/>
          <w:szCs w:val="21"/>
          <w:color w:val="0F0F0F"/>
        </w:rPr>
      </w:pPr>
    </w:p>
    <w:p>
      <w:pPr>
        <w:ind w:left="5340" w:hanging="658"/>
        <w:spacing w:after="0"/>
        <w:tabs>
          <w:tab w:leader="none" w:pos="5340" w:val="left"/>
        </w:tabs>
        <w:numPr>
          <w:ilvl w:val="1"/>
          <w:numId w:val="36"/>
        </w:numPr>
        <w:rPr>
          <w:rFonts w:ascii="Arial" w:cs="Arial" w:eastAsia="Arial" w:hAnsi="Arial"/>
          <w:sz w:val="21"/>
          <w:szCs w:val="21"/>
          <w:color w:val="0F0F0F"/>
        </w:rPr>
      </w:pPr>
      <w:r>
        <w:rPr>
          <w:rFonts w:ascii="Arial" w:cs="Arial" w:eastAsia="Arial" w:hAnsi="Arial"/>
          <w:sz w:val="21"/>
          <w:szCs w:val="21"/>
          <w:color w:val="0F0F0F"/>
        </w:rPr>
        <w:t>Employee's attainment of age sixty-five (65).</w:t>
      </w:r>
    </w:p>
    <w:p>
      <w:pPr>
        <w:spacing w:after="0" w:line="217" w:lineRule="exact"/>
        <w:rPr>
          <w:rFonts w:ascii="Arial" w:cs="Arial" w:eastAsia="Arial" w:hAnsi="Arial"/>
          <w:sz w:val="21"/>
          <w:szCs w:val="21"/>
          <w:color w:val="0F0F0F"/>
        </w:rPr>
      </w:pPr>
    </w:p>
    <w:p>
      <w:pPr>
        <w:ind w:left="5340" w:right="300" w:hanging="649"/>
        <w:spacing w:after="0" w:line="302" w:lineRule="auto"/>
        <w:tabs>
          <w:tab w:leader="none" w:pos="5340" w:val="left"/>
        </w:tabs>
        <w:numPr>
          <w:ilvl w:val="2"/>
          <w:numId w:val="36"/>
        </w:numPr>
        <w:rPr>
          <w:rFonts w:ascii="Arial" w:cs="Arial" w:eastAsia="Arial" w:hAnsi="Arial"/>
          <w:sz w:val="18"/>
          <w:szCs w:val="18"/>
          <w:color w:val="0F0F0F"/>
        </w:rPr>
      </w:pPr>
      <w:r>
        <w:rPr>
          <w:rFonts w:ascii="Arial" w:cs="Arial" w:eastAsia="Arial" w:hAnsi="Arial"/>
          <w:sz w:val="18"/>
          <w:szCs w:val="18"/>
          <w:color w:val="0F0F0F"/>
        </w:rPr>
        <w:t xml:space="preserve">Full compliance by Company with the provisions of Paragraph 7(e) below, if Employee's employment shall have been terminated by Company during the Term for any reason </w:t>
      </w:r>
      <w:r>
        <w:rPr>
          <w:rFonts w:ascii="Arial" w:cs="Arial" w:eastAsia="Arial" w:hAnsi="Arial"/>
          <w:sz w:val="18"/>
          <w:szCs w:val="18"/>
          <w:u w:val="single" w:color="auto"/>
          <w:color w:val="0F0F0F"/>
        </w:rPr>
        <w:t>other than</w:t>
      </w:r>
      <w:r>
        <w:rPr>
          <w:rFonts w:ascii="Arial" w:cs="Arial" w:eastAsia="Arial" w:hAnsi="Arial"/>
          <w:sz w:val="18"/>
          <w:szCs w:val="18"/>
          <w:color w:val="0F0F0F"/>
        </w:rPr>
        <w:t xml:space="preserve"> Cause, or if Employee's employment shall have been terminated by reason of </w:t>
      </w:r>
      <w:r>
        <w:rPr>
          <w:rFonts w:ascii="Arial" w:cs="Arial" w:eastAsia="Arial" w:hAnsi="Arial"/>
          <w:sz w:val="18"/>
          <w:szCs w:val="18"/>
          <w:color w:val="242424"/>
        </w:rPr>
        <w:t>Employee's</w:t>
      </w:r>
      <w:r>
        <w:rPr>
          <w:rFonts w:ascii="Arial" w:cs="Arial" w:eastAsia="Arial" w:hAnsi="Arial"/>
          <w:sz w:val="18"/>
          <w:szCs w:val="18"/>
          <w:color w:val="0F0F0F"/>
        </w:rPr>
        <w:t xml:space="preserve"> Disability, or if Employee shall have voluntarily terminated Employee's employment during the Term for Good Reason.</w:t>
      </w:r>
    </w:p>
    <w:p>
      <w:pPr>
        <w:sectPr>
          <w:pgSz w:w="11900" w:h="16838" w:orient="portrait"/>
          <w:cols w:equalWidth="0" w:num="1">
            <w:col w:w="9960"/>
          </w:cols>
          <w:pgMar w:left="1440" w:top="1246" w:right="499" w:bottom="1440" w:gutter="0" w:footer="0" w:header="0"/>
        </w:sectPr>
      </w:pPr>
    </w:p>
    <w:bookmarkStart w:id="100" w:name="page101"/>
    <w:bookmarkEnd w:id="100"/>
    <w:p>
      <w:pPr>
        <w:spacing w:after="0" w:line="293" w:lineRule="exact"/>
        <w:rPr>
          <w:sz w:val="20"/>
          <w:szCs w:val="20"/>
          <w:color w:val="auto"/>
        </w:rPr>
      </w:pPr>
    </w:p>
    <w:p>
      <w:pPr>
        <w:ind w:left="-660" w:right="80" w:firstLine="1296"/>
        <w:spacing w:after="0" w:line="268" w:lineRule="auto"/>
        <w:tabs>
          <w:tab w:leader="none" w:pos="1157" w:val="left"/>
        </w:tabs>
        <w:numPr>
          <w:ilvl w:val="1"/>
          <w:numId w:val="37"/>
        </w:numPr>
        <w:rPr>
          <w:rFonts w:ascii="Arial" w:cs="Arial" w:eastAsia="Arial" w:hAnsi="Arial"/>
          <w:sz w:val="20"/>
          <w:szCs w:val="20"/>
          <w:color w:val="0F0F0F"/>
        </w:rPr>
      </w:pPr>
      <w:r>
        <w:rPr>
          <w:rFonts w:ascii="Arial" w:cs="Arial" w:eastAsia="Arial" w:hAnsi="Arial"/>
          <w:sz w:val="20"/>
          <w:szCs w:val="20"/>
          <w:u w:val="single" w:color="auto"/>
          <w:color w:val="0F0F0F"/>
        </w:rPr>
        <w:t>Notice of Termination.</w:t>
      </w:r>
      <w:r>
        <w:rPr>
          <w:rFonts w:ascii="Arial" w:cs="Arial" w:eastAsia="Arial" w:hAnsi="Arial"/>
          <w:sz w:val="20"/>
          <w:szCs w:val="20"/>
          <w:color w:val="0F0F0F"/>
        </w:rPr>
        <w:t xml:space="preserve"> Any termination by Company for Cause or by Employee for Good Reason or on account of Employee's Disability shall be communicated by notice to the other party hereto given in accordance with Section 15 of this Agreement. For purposes of this Agreement, a "notice" means a written notice which (i) indicates the specific termination provision in this Agreement relied upon, (ii) sets forth in reasonable detail the facts and circumstances claimed to provide a basis for termination of Employee's employment under the provision so indicated and (iii) if the date of termination (as defined below) is other than the date of receipt of such notice, specifies the termination date (which date shall be not more than fifteen (15) days after the giving of such notice).</w:t>
      </w:r>
    </w:p>
    <w:p>
      <w:pPr>
        <w:spacing w:after="0" w:line="213" w:lineRule="exact"/>
        <w:rPr>
          <w:rFonts w:ascii="Arial" w:cs="Arial" w:eastAsia="Arial" w:hAnsi="Arial"/>
          <w:sz w:val="20"/>
          <w:szCs w:val="20"/>
          <w:color w:val="0F0F0F"/>
        </w:rPr>
      </w:pPr>
    </w:p>
    <w:p>
      <w:pPr>
        <w:ind w:left="-660" w:right="80" w:firstLine="1304"/>
        <w:spacing w:after="0" w:line="257" w:lineRule="auto"/>
        <w:tabs>
          <w:tab w:leader="none" w:pos="1163" w:val="left"/>
        </w:tabs>
        <w:numPr>
          <w:ilvl w:val="1"/>
          <w:numId w:val="37"/>
        </w:numPr>
        <w:rPr>
          <w:rFonts w:ascii="Arial" w:cs="Arial" w:eastAsia="Arial" w:hAnsi="Arial"/>
          <w:sz w:val="21"/>
          <w:szCs w:val="21"/>
          <w:color w:val="0F0F0F"/>
        </w:rPr>
      </w:pPr>
      <w:r>
        <w:rPr>
          <w:rFonts w:ascii="Arial" w:cs="Arial" w:eastAsia="Arial" w:hAnsi="Arial"/>
          <w:sz w:val="21"/>
          <w:szCs w:val="21"/>
          <w:u w:val="single" w:color="auto"/>
          <w:color w:val="0F0F0F"/>
        </w:rPr>
        <w:t>Date of Termination.</w:t>
      </w:r>
      <w:r>
        <w:rPr>
          <w:rFonts w:ascii="Arial" w:cs="Arial" w:eastAsia="Arial" w:hAnsi="Arial"/>
          <w:sz w:val="21"/>
          <w:szCs w:val="21"/>
          <w:color w:val="0F0F0F"/>
        </w:rPr>
        <w:t xml:space="preserve"> The date of termination means the date of receipt of the notice of termination or any later date specified therein, as the case may be; </w:t>
      </w:r>
      <w:r>
        <w:rPr>
          <w:rFonts w:ascii="Arial" w:cs="Arial" w:eastAsia="Arial" w:hAnsi="Arial"/>
          <w:sz w:val="21"/>
          <w:szCs w:val="21"/>
          <w:u w:val="single" w:color="auto"/>
          <w:color w:val="0F0F0F"/>
        </w:rPr>
        <w:t>provided, however,</w:t>
      </w:r>
      <w:r>
        <w:rPr>
          <w:rFonts w:ascii="Arial" w:cs="Arial" w:eastAsia="Arial" w:hAnsi="Arial"/>
          <w:sz w:val="21"/>
          <w:szCs w:val="21"/>
          <w:color w:val="0F0F0F"/>
        </w:rPr>
        <w:t xml:space="preserve"> that (i) if Employee's employment is terminated by Company other than for Cause or on account of Employee's Disability, the date of termination shall be the date on which Company notifies Employee of such termination and (ii) if Employee's employment is terminated by reason of death, the date of termination shall be the date of death of Employee.</w:t>
      </w:r>
    </w:p>
    <w:p>
      <w:pPr>
        <w:spacing w:after="0" w:line="232" w:lineRule="exact"/>
        <w:rPr>
          <w:rFonts w:ascii="Arial" w:cs="Arial" w:eastAsia="Arial" w:hAnsi="Arial"/>
          <w:sz w:val="21"/>
          <w:szCs w:val="21"/>
          <w:color w:val="0F0F0F"/>
        </w:rPr>
      </w:pPr>
    </w:p>
    <w:p>
      <w:pPr>
        <w:ind w:left="-660" w:right="240" w:firstLine="1300"/>
        <w:spacing w:after="0" w:line="253" w:lineRule="auto"/>
        <w:tabs>
          <w:tab w:leader="none" w:pos="1158" w:val="left"/>
        </w:tabs>
        <w:numPr>
          <w:ilvl w:val="1"/>
          <w:numId w:val="37"/>
        </w:numPr>
        <w:rPr>
          <w:rFonts w:ascii="Arial" w:cs="Arial" w:eastAsia="Arial" w:hAnsi="Arial"/>
          <w:sz w:val="21"/>
          <w:szCs w:val="21"/>
          <w:color w:val="0F0F0F"/>
        </w:rPr>
      </w:pPr>
      <w:r>
        <w:rPr>
          <w:rFonts w:ascii="Arial" w:cs="Arial" w:eastAsia="Arial" w:hAnsi="Arial"/>
          <w:sz w:val="21"/>
          <w:szCs w:val="21"/>
          <w:u w:val="single" w:color="auto"/>
          <w:color w:val="0F0F0F"/>
        </w:rPr>
        <w:t>Termination of Employment.</w:t>
      </w:r>
      <w:r>
        <w:rPr>
          <w:rFonts w:ascii="Arial" w:cs="Arial" w:eastAsia="Arial" w:hAnsi="Arial"/>
          <w:sz w:val="21"/>
          <w:szCs w:val="21"/>
          <w:color w:val="0F0F0F"/>
        </w:rPr>
        <w:t xml:space="preserve"> In order for the Employee to be considered to have terminated employment with the Company, the Employee must have incurred a separation from service from the Company (and all related companies) within the meaning of Section 409A of the Code, and regulations promulgated thereunder, and the term termination of employment and the like as used in this Agreement shall be construed to mean separation from service as so defined under Section 409A of the Code.</w:t>
      </w:r>
    </w:p>
    <w:p>
      <w:pPr>
        <w:spacing w:after="0" w:line="212" w:lineRule="exact"/>
        <w:rPr>
          <w:rFonts w:ascii="Arial" w:cs="Arial" w:eastAsia="Arial" w:hAnsi="Arial"/>
          <w:sz w:val="21"/>
          <w:szCs w:val="21"/>
          <w:color w:val="0F0F0F"/>
        </w:rPr>
      </w:pPr>
    </w:p>
    <w:p>
      <w:pPr>
        <w:ind w:left="640" w:hanging="640"/>
        <w:spacing w:after="0"/>
        <w:tabs>
          <w:tab w:leader="none" w:pos="640" w:val="left"/>
        </w:tabs>
        <w:numPr>
          <w:ilvl w:val="0"/>
          <w:numId w:val="38"/>
        </w:numPr>
        <w:rPr>
          <w:rFonts w:ascii="Arial" w:cs="Arial" w:eastAsia="Arial" w:hAnsi="Arial"/>
          <w:sz w:val="21"/>
          <w:szCs w:val="21"/>
          <w:color w:val="0F0F0F"/>
        </w:rPr>
      </w:pPr>
      <w:r>
        <w:rPr>
          <w:rFonts w:ascii="Arial" w:cs="Arial" w:eastAsia="Arial" w:hAnsi="Arial"/>
          <w:sz w:val="21"/>
          <w:szCs w:val="21"/>
          <w:u w:val="single" w:color="auto"/>
          <w:color w:val="0F0F0F"/>
        </w:rPr>
        <w:t>Payment Upon Termination.</w:t>
      </w:r>
    </w:p>
    <w:p>
      <w:pPr>
        <w:spacing w:after="0" w:line="231" w:lineRule="exact"/>
        <w:rPr>
          <w:rFonts w:ascii="Arial" w:cs="Arial" w:eastAsia="Arial" w:hAnsi="Arial"/>
          <w:sz w:val="21"/>
          <w:szCs w:val="21"/>
          <w:color w:val="0F0F0F"/>
        </w:rPr>
      </w:pPr>
    </w:p>
    <w:p>
      <w:pPr>
        <w:ind w:left="-660" w:right="80" w:firstLine="1304"/>
        <w:spacing w:after="0" w:line="254" w:lineRule="auto"/>
        <w:tabs>
          <w:tab w:leader="none" w:pos="1162" w:val="left"/>
        </w:tabs>
        <w:numPr>
          <w:ilvl w:val="1"/>
          <w:numId w:val="38"/>
        </w:numPr>
        <w:rPr>
          <w:rFonts w:ascii="Arial" w:cs="Arial" w:eastAsia="Arial" w:hAnsi="Arial"/>
          <w:sz w:val="21"/>
          <w:szCs w:val="21"/>
          <w:color w:val="0F0F0F"/>
        </w:rPr>
      </w:pPr>
      <w:r>
        <w:rPr>
          <w:rFonts w:ascii="Arial" w:cs="Arial" w:eastAsia="Arial" w:hAnsi="Arial"/>
          <w:sz w:val="21"/>
          <w:szCs w:val="21"/>
          <w:color w:val="0F0F0F"/>
        </w:rPr>
        <w:t>If Employee's employment is terminated by Company for Cause, as defined in Paragraph l(a), the obligations of Company under this Agreement shall cease and Employee shall forfeit all right to receive any compensation or other benefits under this Agreement except only compensation or benefits accrued or earned and vested (if applicable) by Employee as of the date of termination, including base salary through the date of termination, benefits payable under the terms of any qualified or nonqualified retirement plans or deferred compensation plans maintained by Company, any accrued vacation pay as of the date of termination not yet paid by Company and any benefits required to be paid by law such as continued health care coverage pursuant to the Consolidated Omnibus Budget Reconciliation Act of 1985 ("COBRA") (collectively, the "Accrued Obligations").</w:t>
      </w:r>
    </w:p>
    <w:p>
      <w:pPr>
        <w:spacing w:after="0" w:line="223" w:lineRule="exact"/>
        <w:rPr>
          <w:rFonts w:ascii="Arial" w:cs="Arial" w:eastAsia="Arial" w:hAnsi="Arial"/>
          <w:sz w:val="21"/>
          <w:szCs w:val="21"/>
          <w:color w:val="0F0F0F"/>
        </w:rPr>
      </w:pPr>
    </w:p>
    <w:p>
      <w:pPr>
        <w:ind w:left="-640" w:right="300" w:firstLine="1288"/>
        <w:spacing w:after="0" w:line="291" w:lineRule="auto"/>
        <w:tabs>
          <w:tab w:leader="none" w:pos="1166" w:val="left"/>
        </w:tabs>
        <w:numPr>
          <w:ilvl w:val="2"/>
          <w:numId w:val="38"/>
        </w:numPr>
        <w:rPr>
          <w:rFonts w:ascii="Arial" w:cs="Arial" w:eastAsia="Arial" w:hAnsi="Arial"/>
          <w:sz w:val="20"/>
          <w:szCs w:val="20"/>
          <w:color w:val="0F0F0F"/>
        </w:rPr>
      </w:pPr>
      <w:r>
        <w:rPr>
          <w:rFonts w:ascii="Arial" w:cs="Arial" w:eastAsia="Arial" w:hAnsi="Arial"/>
          <w:sz w:val="19"/>
          <w:szCs w:val="19"/>
          <w:color w:val="0F0F0F"/>
        </w:rPr>
        <w:t>If Employee shall voluntarily terminate Employee's employment during the Term, other than for Good Reason, as defined in Paragraph l(e), the obligations of Company under this Agreement shall cease and Employee shall forfeit all right to receive any compensation or other benefits under this Agreement except only the Accrued Obligations.</w:t>
      </w:r>
    </w:p>
    <w:p>
      <w:pPr>
        <w:spacing w:after="0" w:line="190" w:lineRule="exact"/>
        <w:rPr>
          <w:rFonts w:ascii="Arial" w:cs="Arial" w:eastAsia="Arial" w:hAnsi="Arial"/>
          <w:sz w:val="20"/>
          <w:szCs w:val="20"/>
          <w:color w:val="0F0F0F"/>
        </w:rPr>
      </w:pPr>
    </w:p>
    <w:p>
      <w:pPr>
        <w:ind w:left="-640" w:firstLine="1289"/>
        <w:spacing w:after="0" w:line="266" w:lineRule="auto"/>
        <w:tabs>
          <w:tab w:leader="none" w:pos="1165" w:val="left"/>
        </w:tabs>
        <w:numPr>
          <w:ilvl w:val="2"/>
          <w:numId w:val="38"/>
        </w:numPr>
        <w:rPr>
          <w:rFonts w:ascii="Arial" w:cs="Arial" w:eastAsia="Arial" w:hAnsi="Arial"/>
          <w:sz w:val="21"/>
          <w:szCs w:val="21"/>
          <w:color w:val="0F0F0F"/>
        </w:rPr>
      </w:pPr>
      <w:r>
        <w:rPr>
          <w:rFonts w:ascii="Arial" w:cs="Arial" w:eastAsia="Arial" w:hAnsi="Arial"/>
          <w:sz w:val="21"/>
          <w:szCs w:val="21"/>
          <w:color w:val="0F0F0F"/>
        </w:rPr>
        <w:t>In the event of the death of Employee during the Term, then, in addition to the Accrued Obligations and any other benefits which may be payable by Company in respect of the death of Employee, the base salary then payable hereunder shall continue to be paid at the</w:t>
      </w:r>
    </w:p>
    <w:p>
      <w:pPr>
        <w:sectPr>
          <w:pgSz w:w="11900" w:h="16838" w:orient="portrait"/>
          <w:cols w:equalWidth="0" w:num="1">
            <w:col w:w="10100"/>
          </w:cols>
          <w:pgMar w:left="1100" w:top="1440" w:right="699" w:bottom="1440" w:gutter="0" w:footer="0" w:header="0"/>
        </w:sectPr>
      </w:pPr>
    </w:p>
    <w:bookmarkStart w:id="101" w:name="page102"/>
    <w:bookmarkEnd w:id="101"/>
    <w:p>
      <w:pPr>
        <w:spacing w:after="0" w:line="307" w:lineRule="exact"/>
        <w:rPr>
          <w:sz w:val="20"/>
          <w:szCs w:val="20"/>
          <w:color w:val="auto"/>
        </w:rPr>
      </w:pPr>
    </w:p>
    <w:p>
      <w:pPr>
        <w:ind w:left="4" w:right="520" w:hanging="6"/>
        <w:spacing w:after="0" w:line="249" w:lineRule="auto"/>
        <w:rPr>
          <w:sz w:val="20"/>
          <w:szCs w:val="20"/>
          <w:color w:val="auto"/>
        </w:rPr>
      </w:pPr>
      <w:r>
        <w:rPr>
          <w:rFonts w:ascii="Arial" w:cs="Arial" w:eastAsia="Arial" w:hAnsi="Arial"/>
          <w:sz w:val="21"/>
          <w:szCs w:val="21"/>
          <w:color w:val="0E0E0E"/>
        </w:rPr>
        <w:t>then current rate for a period of six (6) months after such death to such beneficiary as shall have been designated in writing by Employee; or if no effective designation exists, then to the estate</w:t>
      </w:r>
    </w:p>
    <w:p>
      <w:pPr>
        <w:ind w:left="4" w:right="3340" w:hanging="7"/>
        <w:spacing w:after="0" w:line="215" w:lineRule="auto"/>
        <w:rPr>
          <w:sz w:val="20"/>
          <w:szCs w:val="20"/>
          <w:color w:val="auto"/>
        </w:rPr>
      </w:pPr>
      <w:r>
        <w:rPr>
          <w:rFonts w:ascii="Arial" w:cs="Arial" w:eastAsia="Arial" w:hAnsi="Arial"/>
          <w:sz w:val="20"/>
          <w:szCs w:val="20"/>
          <w:color w:val="0E0E0E"/>
        </w:rPr>
        <w:t>of Employee. Such payment shall be made on the first (1</w:t>
      </w:r>
      <w:r>
        <w:rPr>
          <w:rFonts w:ascii="Arial" w:cs="Arial" w:eastAsia="Arial" w:hAnsi="Arial"/>
          <w:sz w:val="25"/>
          <w:szCs w:val="25"/>
          <w:color w:val="0E0E0E"/>
          <w:vertAlign w:val="superscript"/>
        </w:rPr>
        <w:t>st</w:t>
      </w:r>
      <w:r>
        <w:rPr>
          <w:rFonts w:ascii="Arial" w:cs="Arial" w:eastAsia="Arial" w:hAnsi="Arial"/>
          <w:sz w:val="20"/>
          <w:szCs w:val="20"/>
          <w:color w:val="0E0E0E"/>
        </w:rPr>
        <w:t xml:space="preserve"> and fifteenth (15</w:t>
      </w:r>
      <w:r>
        <w:rPr>
          <w:rFonts w:ascii="Arial" w:cs="Arial" w:eastAsia="Arial" w:hAnsi="Arial"/>
          <w:sz w:val="25"/>
          <w:szCs w:val="25"/>
          <w:color w:val="0E0E0E"/>
          <w:vertAlign w:val="superscript"/>
        </w:rPr>
        <w:t>th</w:t>
      </w:r>
      <w:r>
        <w:rPr>
          <w:rFonts w:ascii="Arial" w:cs="Arial" w:eastAsia="Arial" w:hAnsi="Arial"/>
          <w:sz w:val="20"/>
          <w:szCs w:val="20"/>
          <w:color w:val="0E0E0E"/>
        </w:rPr>
        <w:t xml:space="preserve"> of each month, beginning on the first day of the first month following Employee's death.</w:t>
      </w:r>
    </w:p>
    <w:p>
      <w:pPr>
        <w:spacing w:after="0" w:line="210" w:lineRule="exact"/>
        <w:rPr>
          <w:sz w:val="20"/>
          <w:szCs w:val="20"/>
          <w:color w:val="auto"/>
        </w:rPr>
      </w:pPr>
    </w:p>
    <w:p>
      <w:pPr>
        <w:jc w:val="both"/>
        <w:ind w:left="-16" w:right="580" w:firstLine="1304"/>
        <w:spacing w:after="0" w:line="259" w:lineRule="auto"/>
        <w:tabs>
          <w:tab w:leader="none" w:pos="1805" w:val="left"/>
        </w:tabs>
        <w:numPr>
          <w:ilvl w:val="0"/>
          <w:numId w:val="39"/>
        </w:numPr>
        <w:rPr>
          <w:rFonts w:ascii="Arial" w:cs="Arial" w:eastAsia="Arial" w:hAnsi="Arial"/>
          <w:sz w:val="21"/>
          <w:szCs w:val="21"/>
          <w:color w:val="0E0E0E"/>
        </w:rPr>
      </w:pPr>
      <w:r>
        <w:rPr>
          <w:rFonts w:ascii="Arial" w:cs="Arial" w:eastAsia="Arial" w:hAnsi="Arial"/>
          <w:sz w:val="21"/>
          <w:szCs w:val="21"/>
          <w:color w:val="0E0E0E"/>
        </w:rPr>
        <w:t>If Employee's employment is terminated by reason of Employee's attainment of age sixty-five (65), the obligations of Company under this Agreement shall cease and Employee shall forfeit all right to receive any compensation or other benefits under this Agreement except the Accrued Obligations.</w:t>
      </w:r>
    </w:p>
    <w:p>
      <w:pPr>
        <w:spacing w:after="0" w:line="217" w:lineRule="exact"/>
        <w:rPr>
          <w:rFonts w:ascii="Arial" w:cs="Arial" w:eastAsia="Arial" w:hAnsi="Arial"/>
          <w:sz w:val="21"/>
          <w:szCs w:val="21"/>
          <w:color w:val="0E0E0E"/>
        </w:rPr>
      </w:pPr>
    </w:p>
    <w:p>
      <w:pPr>
        <w:ind w:left="4" w:right="200" w:firstLine="1284"/>
        <w:spacing w:after="0" w:line="269" w:lineRule="auto"/>
        <w:tabs>
          <w:tab w:leader="none" w:pos="1824" w:val="left"/>
        </w:tabs>
        <w:numPr>
          <w:ilvl w:val="0"/>
          <w:numId w:val="39"/>
        </w:numPr>
        <w:rPr>
          <w:rFonts w:ascii="Arial" w:cs="Arial" w:eastAsia="Arial" w:hAnsi="Arial"/>
          <w:sz w:val="21"/>
          <w:szCs w:val="21"/>
          <w:color w:val="0E0E0E"/>
        </w:rPr>
      </w:pPr>
      <w:r>
        <w:rPr>
          <w:rFonts w:ascii="Arial" w:cs="Arial" w:eastAsia="Arial" w:hAnsi="Arial"/>
          <w:sz w:val="20"/>
          <w:szCs w:val="20"/>
          <w:color w:val="0E0E0E"/>
        </w:rPr>
        <w:t xml:space="preserve">If Employee's employment is terminated by Company during the Term for any reason </w:t>
      </w:r>
      <w:r>
        <w:rPr>
          <w:rFonts w:ascii="Arial" w:cs="Arial" w:eastAsia="Arial" w:hAnsi="Arial"/>
          <w:sz w:val="20"/>
          <w:szCs w:val="20"/>
          <w:u w:val="single" w:color="auto"/>
          <w:color w:val="0E0E0E"/>
        </w:rPr>
        <w:t>other than</w:t>
      </w:r>
      <w:r>
        <w:rPr>
          <w:rFonts w:ascii="Arial" w:cs="Arial" w:eastAsia="Arial" w:hAnsi="Arial"/>
          <w:sz w:val="20"/>
          <w:szCs w:val="20"/>
          <w:color w:val="0E0E0E"/>
        </w:rPr>
        <w:t xml:space="preserve"> for Cause, or Employee's death, or Employee's attainment of age sixty-five (65), or if Employee's employment is terminated during the Term by reason of Employee's Disability, or if Employee shall voluntarily terminate Employee's employment during the Term for Good Reason, Employee shall be entitled to receive, and Company shall be obligated to pay and provide Employee, the following amounts:</w:t>
      </w:r>
    </w:p>
    <w:p>
      <w:pPr>
        <w:spacing w:after="0" w:line="210" w:lineRule="exact"/>
        <w:rPr>
          <w:rFonts w:ascii="Arial" w:cs="Arial" w:eastAsia="Arial" w:hAnsi="Arial"/>
          <w:sz w:val="21"/>
          <w:szCs w:val="21"/>
          <w:color w:val="0E0E0E"/>
        </w:rPr>
      </w:pPr>
    </w:p>
    <w:p>
      <w:pPr>
        <w:ind w:left="4" w:firstLine="1974"/>
        <w:spacing w:after="0" w:line="263" w:lineRule="auto"/>
        <w:tabs>
          <w:tab w:leader="none" w:pos="2464" w:val="left"/>
        </w:tabs>
        <w:numPr>
          <w:ilvl w:val="1"/>
          <w:numId w:val="39"/>
        </w:numPr>
        <w:rPr>
          <w:rFonts w:ascii="Arial" w:cs="Arial" w:eastAsia="Arial" w:hAnsi="Arial"/>
          <w:sz w:val="19"/>
          <w:szCs w:val="19"/>
          <w:color w:val="auto"/>
        </w:rPr>
      </w:pPr>
      <w:r>
        <w:rPr>
          <w:rFonts w:ascii="Arial" w:cs="Arial" w:eastAsia="Arial" w:hAnsi="Arial"/>
          <w:sz w:val="20"/>
          <w:szCs w:val="20"/>
          <w:color w:val="0E0E0E"/>
        </w:rPr>
        <w:t xml:space="preserve">An amount in consideration of the covenants by Executive set forth in Paragraphs 8 and 9 below to be determined by a nationally recognized independent certified public accounting firm selected and retained by Company to be the reasonable value of said covenants as of the date of termination of Employee's employment, but in no event shall such amount be greater than the aggregate value of the benefits provided in subparagraphs (e)(ii), (iii), (iv), (v) and (viii) hereinbelow. The benefits otherwise payable to Executive pursuant to said subparagraphs shall be offset by the amount, if any, payable to Executive in respect of the covenants by Employee set forth in Paragraphs 8 and 9 below. Said amount paid in </w:t>
      </w:r>
      <w:r>
        <w:rPr>
          <w:rFonts w:ascii="Arial" w:cs="Arial" w:eastAsia="Arial" w:hAnsi="Arial"/>
          <w:sz w:val="18"/>
          <w:szCs w:val="18"/>
          <w:color w:val="0E0E0E"/>
        </w:rPr>
        <w:t>consideration of the covenants by Executive</w:t>
      </w:r>
      <w:r>
        <w:rPr>
          <w:rFonts w:ascii="Arial" w:cs="Arial" w:eastAsia="Arial" w:hAnsi="Arial"/>
          <w:sz w:val="20"/>
          <w:szCs w:val="20"/>
          <w:color w:val="0E0E0E"/>
        </w:rPr>
        <w:t xml:space="preserve"> </w:t>
      </w:r>
      <w:r>
        <w:rPr>
          <w:rFonts w:ascii="Arial" w:cs="Arial" w:eastAsia="Arial" w:hAnsi="Arial"/>
          <w:sz w:val="18"/>
          <w:szCs w:val="18"/>
          <w:color w:val="0E0E0E"/>
        </w:rPr>
        <w:t>set forth in Paragraphs 8 and 9 below shall be paid in accordance with subparagraphs (e)(ii), (iii), (iv), (v) and (viii) below, and this subparagraph (i) shall not alter the time or form of payment of such amounts.</w:t>
      </w:r>
    </w:p>
    <w:p>
      <w:pPr>
        <w:spacing w:after="0" w:line="237" w:lineRule="exact"/>
        <w:rPr>
          <w:sz w:val="20"/>
          <w:szCs w:val="20"/>
          <w:color w:val="auto"/>
        </w:rPr>
      </w:pPr>
    </w:p>
    <w:p>
      <w:pPr>
        <w:ind w:left="4" w:right="180" w:firstLine="1939"/>
        <w:spacing w:after="0" w:line="251" w:lineRule="auto"/>
        <w:tabs>
          <w:tab w:leader="none" w:pos="2459" w:val="left"/>
        </w:tabs>
        <w:numPr>
          <w:ilvl w:val="1"/>
          <w:numId w:val="40"/>
        </w:numPr>
        <w:rPr>
          <w:rFonts w:ascii="Arial" w:cs="Arial" w:eastAsia="Arial" w:hAnsi="Arial"/>
          <w:sz w:val="21"/>
          <w:szCs w:val="21"/>
          <w:color w:val="0E0E0E"/>
        </w:rPr>
      </w:pPr>
      <w:r>
        <w:rPr>
          <w:rFonts w:ascii="Arial" w:cs="Arial" w:eastAsia="Arial" w:hAnsi="Arial"/>
          <w:sz w:val="21"/>
          <w:szCs w:val="21"/>
          <w:color w:val="0E0E0E"/>
        </w:rPr>
        <w:t>An amount equal to three (3) times the base salary of Employee, at the rate in effect immediately prior to the date of termination, plus an amount equal to three (3) times the target percentage of the midpoint of Employee's salary grade under the Company's officers incentive program (as administered through the Company's Performance Stock Program) for the year in which termination occurs if the employee is a participant in such plan at the time of the Change-in-Control. Such amount so determined shall be divided into thirty-six</w:t>
      </w:r>
    </w:p>
    <w:p>
      <w:pPr>
        <w:ind w:left="4" w:right="140" w:hanging="4"/>
        <w:spacing w:after="0" w:line="263" w:lineRule="auto"/>
        <w:tabs>
          <w:tab w:leader="none" w:pos="400" w:val="left"/>
        </w:tabs>
        <w:numPr>
          <w:ilvl w:val="0"/>
          <w:numId w:val="41"/>
        </w:numPr>
        <w:rPr>
          <w:rFonts w:ascii="Arial" w:cs="Arial" w:eastAsia="Arial" w:hAnsi="Arial"/>
          <w:sz w:val="20"/>
          <w:szCs w:val="20"/>
          <w:color w:val="0E0E0E"/>
        </w:rPr>
      </w:pPr>
      <w:r>
        <w:rPr>
          <w:rFonts w:ascii="Arial" w:cs="Arial" w:eastAsia="Arial" w:hAnsi="Arial"/>
          <w:sz w:val="20"/>
          <w:szCs w:val="20"/>
          <w:color w:val="0E0E0E"/>
        </w:rPr>
        <w:t xml:space="preserve">equal amounts. If the Employee is not a </w:t>
      </w:r>
      <w:r>
        <w:rPr>
          <w:rFonts w:ascii="Arial" w:cs="Arial" w:eastAsia="Arial" w:hAnsi="Arial"/>
          <w:sz w:val="20"/>
          <w:szCs w:val="20"/>
          <w:color w:val="232323"/>
        </w:rPr>
        <w:t>"specified</w:t>
      </w:r>
      <w:r>
        <w:rPr>
          <w:rFonts w:ascii="Arial" w:cs="Arial" w:eastAsia="Arial" w:hAnsi="Arial"/>
          <w:sz w:val="20"/>
          <w:szCs w:val="20"/>
          <w:color w:val="0E0E0E"/>
        </w:rPr>
        <w:t xml:space="preserve"> employee" as defined under Section 409A of the Code at the time of termination, payment of such equal </w:t>
      </w:r>
      <w:r>
        <w:rPr>
          <w:rFonts w:ascii="Arial" w:cs="Arial" w:eastAsia="Arial" w:hAnsi="Arial"/>
          <w:sz w:val="20"/>
          <w:szCs w:val="20"/>
          <w:color w:val="232323"/>
        </w:rPr>
        <w:t>amounts</w:t>
      </w:r>
      <w:r>
        <w:rPr>
          <w:rFonts w:ascii="Arial" w:cs="Arial" w:eastAsia="Arial" w:hAnsi="Arial"/>
          <w:sz w:val="20"/>
          <w:szCs w:val="20"/>
          <w:color w:val="0E0E0E"/>
        </w:rPr>
        <w:t xml:space="preserve"> shall be made on the first day of each month, commencing with the first day of the first month following termination. </w:t>
      </w:r>
      <w:r>
        <w:rPr>
          <w:rFonts w:ascii="Arial" w:cs="Arial" w:eastAsia="Arial" w:hAnsi="Arial"/>
          <w:sz w:val="22"/>
          <w:szCs w:val="22"/>
          <w:color w:val="0E0E0E"/>
        </w:rPr>
        <w:t>If</w:t>
      </w:r>
      <w:r>
        <w:rPr>
          <w:rFonts w:ascii="Arial" w:cs="Arial" w:eastAsia="Arial" w:hAnsi="Arial"/>
          <w:sz w:val="20"/>
          <w:szCs w:val="20"/>
          <w:color w:val="0E0E0E"/>
        </w:rPr>
        <w:t xml:space="preserve"> the Employee is a "specified employee" as that term is defined under Section 409A of the Code on the date of termination, seven (7) such equal amounts shall be paid to the Employee on the date which is the first day of the seventh (ih) month following the date of termination of employment, and the twenty-nine (29) remaining equal amounts shall be payable on the first day of each month subsequent to the date of the first payment (one payment per month) until the payments are completed. Payments shall be treated as supplemental wage payments under applicable Treasury Regulations subject to federal tax withholding at the flat percentage rate applicable thereto.</w:t>
      </w:r>
    </w:p>
    <w:p>
      <w:pPr>
        <w:sectPr>
          <w:pgSz w:w="11900" w:h="16838" w:orient="portrait"/>
          <w:cols w:equalWidth="0" w:num="1">
            <w:col w:w="10944"/>
          </w:cols>
          <w:pgMar w:left="456" w:top="1440" w:right="499" w:bottom="1440" w:gutter="0" w:footer="0" w:header="0"/>
        </w:sectPr>
      </w:pPr>
    </w:p>
    <w:bookmarkStart w:id="102" w:name="page103"/>
    <w:bookmarkEnd w:id="102"/>
    <w:p>
      <w:pPr>
        <w:spacing w:after="0" w:line="293" w:lineRule="exact"/>
        <w:rPr>
          <w:sz w:val="20"/>
          <w:szCs w:val="20"/>
          <w:color w:val="auto"/>
        </w:rPr>
      </w:pPr>
    </w:p>
    <w:p>
      <w:pPr>
        <w:ind w:left="-1000" w:right="120" w:firstLine="1936"/>
        <w:spacing w:after="0" w:line="305" w:lineRule="auto"/>
        <w:tabs>
          <w:tab w:leader="none" w:pos="1480" w:val="left"/>
        </w:tabs>
        <w:numPr>
          <w:ilvl w:val="0"/>
          <w:numId w:val="42"/>
        </w:numPr>
        <w:rPr>
          <w:rFonts w:ascii="Arial" w:cs="Arial" w:eastAsia="Arial" w:hAnsi="Arial"/>
          <w:sz w:val="18"/>
          <w:szCs w:val="18"/>
          <w:color w:val="0F0F0F"/>
        </w:rPr>
      </w:pPr>
      <w:r>
        <w:rPr>
          <w:rFonts w:ascii="Arial" w:cs="Arial" w:eastAsia="Arial" w:hAnsi="Arial"/>
          <w:sz w:val="18"/>
          <w:szCs w:val="18"/>
          <w:color w:val="0F0F0F"/>
        </w:rPr>
        <w:t>An amount equal to the aggregate amounts that Company would have contributed on behalf of Employee under Company's qualified defined contribution retirement plan(s), if any such plan(s) shall be in effect (other than amounts attributable to Employee's before-tax contributions to such plan(s)) plus estimated earnings thereon had Employee continued in the employ of Company for the three (3)-year period commencing on the date of termination and made contributions under said plan(s) equal to the maximum amount that the Employee could have contributed under the terms of such plan(s) for the plan year immediately preceding Employee's termination, to be payable in a lump sum to Employee on the second anniversary of the Employee's termination of employment, provided that Employee shall not have breached said non-competition provisions.</w:t>
      </w:r>
    </w:p>
    <w:p>
      <w:pPr>
        <w:spacing w:after="0" w:line="170" w:lineRule="exact"/>
        <w:rPr>
          <w:rFonts w:ascii="Arial" w:cs="Arial" w:eastAsia="Arial" w:hAnsi="Arial"/>
          <w:sz w:val="18"/>
          <w:szCs w:val="18"/>
          <w:color w:val="0F0F0F"/>
        </w:rPr>
      </w:pPr>
    </w:p>
    <w:p>
      <w:pPr>
        <w:ind w:left="-1000" w:right="100" w:firstLine="1941"/>
        <w:spacing w:after="0" w:line="252" w:lineRule="auto"/>
        <w:tabs>
          <w:tab w:leader="none" w:pos="1469" w:val="left"/>
        </w:tabs>
        <w:numPr>
          <w:ilvl w:val="0"/>
          <w:numId w:val="42"/>
        </w:numPr>
        <w:rPr>
          <w:rFonts w:ascii="Arial" w:cs="Arial" w:eastAsia="Arial" w:hAnsi="Arial"/>
          <w:sz w:val="21"/>
          <w:szCs w:val="21"/>
          <w:color w:val="0F0F0F"/>
        </w:rPr>
      </w:pPr>
      <w:r>
        <w:rPr>
          <w:rFonts w:ascii="Arial" w:cs="Arial" w:eastAsia="Arial" w:hAnsi="Arial"/>
          <w:sz w:val="21"/>
          <w:szCs w:val="21"/>
          <w:color w:val="0F0F0F"/>
        </w:rPr>
        <w:t>An amount equal to the additional Interest Equivalent which would have been earned under any deferred compensation agreement between Company and Employee, if any such agreement shall be in effect, had Employee continued in the employ of Company for the three (3)-year period commencing on the date of termination, received compensation at least equal to that specified in Paragraph 4 of this Agreement during such time, and deferred pursuant to said deferred compensation agreement the amount of compensation specified therein; such amount to be payable in a lump sum to Employee on the second anniversary of the Employee's termination of employment, provided that Employee shall not have breached said non competition provisions.</w:t>
      </w:r>
    </w:p>
    <w:p>
      <w:pPr>
        <w:spacing w:after="0" w:line="209" w:lineRule="exact"/>
        <w:rPr>
          <w:rFonts w:ascii="Arial" w:cs="Arial" w:eastAsia="Arial" w:hAnsi="Arial"/>
          <w:sz w:val="21"/>
          <w:szCs w:val="21"/>
          <w:color w:val="0F0F0F"/>
        </w:rPr>
      </w:pPr>
    </w:p>
    <w:p>
      <w:pPr>
        <w:ind w:left="-1000" w:firstLine="1945"/>
        <w:spacing w:after="0" w:line="284" w:lineRule="auto"/>
        <w:tabs>
          <w:tab w:leader="none" w:pos="1469" w:val="left"/>
        </w:tabs>
        <w:numPr>
          <w:ilvl w:val="0"/>
          <w:numId w:val="42"/>
        </w:numPr>
        <w:rPr>
          <w:rFonts w:ascii="Arial" w:cs="Arial" w:eastAsia="Arial" w:hAnsi="Arial"/>
          <w:sz w:val="19"/>
          <w:szCs w:val="19"/>
          <w:color w:val="0F0F0F"/>
        </w:rPr>
      </w:pPr>
      <w:r>
        <w:rPr>
          <w:rFonts w:ascii="Arial" w:cs="Arial" w:eastAsia="Arial" w:hAnsi="Arial"/>
          <w:sz w:val="19"/>
          <w:szCs w:val="19"/>
          <w:color w:val="0F0F0F"/>
        </w:rPr>
        <w:t xml:space="preserve">Additional retirement benefits equal to the additional annual pension benefits that would have been payable to Employee under Company's qualified defined benefit retirement plan (the "Plan") and under any nonqualified supplemental Employee retirement plan covering Employee (the "Supplemental Plan"), if any such Plan or Supplemental Plan shall be in effect, if Employee had been continued in </w:t>
      </w:r>
      <w:r>
        <w:rPr>
          <w:rFonts w:ascii="Arial" w:cs="Arial" w:eastAsia="Arial" w:hAnsi="Arial"/>
          <w:sz w:val="19"/>
          <w:szCs w:val="19"/>
          <w:color w:val="262626"/>
        </w:rPr>
        <w:t>the</w:t>
      </w:r>
      <w:r>
        <w:rPr>
          <w:rFonts w:ascii="Arial" w:cs="Arial" w:eastAsia="Arial" w:hAnsi="Arial"/>
          <w:sz w:val="19"/>
          <w:szCs w:val="19"/>
          <w:color w:val="0F0F0F"/>
        </w:rPr>
        <w:t xml:space="preserve"> employ of Company for the three (3)-year period commencing on the date of termination and had received compensation at least equal to that specified in Paragraph 4(a) of this Agreement during such time and had been fully vested in the benefits payable under any such Plan and Supplemental Plan. The discounted present value of such additional benefits, shall be payable to Employee in a lump sum, as calculated by the independent actuary for the Plan using the assumptions specified in the Plan, on the second anniversary of the Employee's termination of employment, provided that Employee shall not have breached said non-competition provisions.</w:t>
      </w:r>
    </w:p>
    <w:p>
      <w:pPr>
        <w:spacing w:after="0" w:line="211" w:lineRule="exact"/>
        <w:rPr>
          <w:sz w:val="20"/>
          <w:szCs w:val="20"/>
          <w:color w:val="auto"/>
        </w:rPr>
      </w:pPr>
    </w:p>
    <w:p>
      <w:pPr>
        <w:ind w:left="-1000" w:right="220" w:firstLine="1949"/>
        <w:spacing w:after="0" w:line="259" w:lineRule="auto"/>
        <w:tabs>
          <w:tab w:leader="none" w:pos="1472" w:val="left"/>
        </w:tabs>
        <w:numPr>
          <w:ilvl w:val="0"/>
          <w:numId w:val="43"/>
        </w:numPr>
        <w:rPr>
          <w:rFonts w:ascii="Arial" w:cs="Arial" w:eastAsia="Arial" w:hAnsi="Arial"/>
          <w:sz w:val="21"/>
          <w:szCs w:val="21"/>
          <w:color w:val="0F0F0F"/>
        </w:rPr>
      </w:pPr>
      <w:r>
        <w:rPr>
          <w:rFonts w:ascii="Arial" w:cs="Arial" w:eastAsia="Arial" w:hAnsi="Arial"/>
          <w:sz w:val="21"/>
          <w:szCs w:val="21"/>
          <w:color w:val="0F0F0F"/>
        </w:rPr>
        <w:t xml:space="preserve">At the date of termination of Employee's </w:t>
      </w:r>
      <w:r>
        <w:rPr>
          <w:rFonts w:ascii="Arial" w:cs="Arial" w:eastAsia="Arial" w:hAnsi="Arial"/>
          <w:sz w:val="21"/>
          <w:szCs w:val="21"/>
          <w:color w:val="262626"/>
        </w:rPr>
        <w:t>employment,</w:t>
      </w:r>
      <w:r>
        <w:rPr>
          <w:rFonts w:ascii="Arial" w:cs="Arial" w:eastAsia="Arial" w:hAnsi="Arial"/>
          <w:sz w:val="21"/>
          <w:szCs w:val="21"/>
          <w:color w:val="0F0F0F"/>
        </w:rPr>
        <w:t xml:space="preserve"> Employee shall be fully vested in any form of compensation previously granted to Employee (other than benefits payable under a qualified retirement plan), such as, by way of example only</w:t>
      </w:r>
      <w:r>
        <w:rPr>
          <w:rFonts w:ascii="Arial" w:cs="Arial" w:eastAsia="Arial" w:hAnsi="Arial"/>
          <w:sz w:val="21"/>
          <w:szCs w:val="21"/>
          <w:color w:val="3A3A3A"/>
        </w:rPr>
        <w:t>,</w:t>
      </w:r>
      <w:r>
        <w:rPr>
          <w:rFonts w:ascii="Arial" w:cs="Arial" w:eastAsia="Arial" w:hAnsi="Arial"/>
          <w:sz w:val="21"/>
          <w:szCs w:val="21"/>
          <w:color w:val="0F0F0F"/>
        </w:rPr>
        <w:t xml:space="preserve"> restricted stock, stock options, and performance share awards.</w:t>
      </w:r>
    </w:p>
    <w:p>
      <w:pPr>
        <w:spacing w:after="0" w:line="217" w:lineRule="exact"/>
        <w:rPr>
          <w:rFonts w:ascii="Arial" w:cs="Arial" w:eastAsia="Arial" w:hAnsi="Arial"/>
          <w:sz w:val="21"/>
          <w:szCs w:val="21"/>
          <w:color w:val="0F0F0F"/>
        </w:rPr>
      </w:pPr>
    </w:p>
    <w:p>
      <w:pPr>
        <w:ind w:left="-1000" w:right="100" w:firstLine="1950"/>
        <w:spacing w:after="0" w:line="262" w:lineRule="auto"/>
        <w:tabs>
          <w:tab w:leader="none" w:pos="1458" w:val="left"/>
        </w:tabs>
        <w:numPr>
          <w:ilvl w:val="0"/>
          <w:numId w:val="43"/>
        </w:numPr>
        <w:rPr>
          <w:rFonts w:ascii="Arial" w:cs="Arial" w:eastAsia="Arial" w:hAnsi="Arial"/>
          <w:sz w:val="21"/>
          <w:szCs w:val="21"/>
          <w:color w:val="0F0F0F"/>
        </w:rPr>
      </w:pPr>
      <w:r>
        <w:rPr>
          <w:rFonts w:ascii="Arial" w:cs="Arial" w:eastAsia="Arial" w:hAnsi="Arial"/>
          <w:sz w:val="21"/>
          <w:szCs w:val="21"/>
          <w:color w:val="0F0F0F"/>
        </w:rPr>
        <w:t>If Employee's employment is terminated by reason of Employee's Disability, Employee shall be entitled to receive, in addition to the other benefits provided under this Paragraph 7(e), disability benefits payable in accordance with any bona fide disability plan maintained by Company or Parent, to the extent Employee qualifies for benefits under the terms of such bona fide disability plan.</w:t>
      </w:r>
    </w:p>
    <w:p>
      <w:pPr>
        <w:sectPr>
          <w:pgSz w:w="11900" w:h="16838" w:orient="portrait"/>
          <w:cols w:equalWidth="0" w:num="1">
            <w:col w:w="9900"/>
          </w:cols>
          <w:pgMar w:left="1440" w:top="1440" w:right="559" w:bottom="1440" w:gutter="0" w:footer="0" w:header="0"/>
        </w:sectPr>
      </w:pPr>
    </w:p>
    <w:bookmarkStart w:id="103" w:name="page104"/>
    <w:bookmarkEnd w:id="103"/>
    <w:p>
      <w:pPr>
        <w:spacing w:after="0" w:line="64" w:lineRule="exact"/>
        <w:rPr>
          <w:sz w:val="20"/>
          <w:szCs w:val="20"/>
          <w:color w:val="auto"/>
        </w:rPr>
      </w:pPr>
    </w:p>
    <w:p>
      <w:pPr>
        <w:ind w:left="-663" w:right="260" w:firstLine="1942"/>
        <w:spacing w:after="0" w:line="269" w:lineRule="auto"/>
        <w:tabs>
          <w:tab w:leader="none" w:pos="1791" w:val="left"/>
        </w:tabs>
        <w:numPr>
          <w:ilvl w:val="2"/>
          <w:numId w:val="44"/>
        </w:numPr>
        <w:rPr>
          <w:rFonts w:ascii="Arial" w:cs="Arial" w:eastAsia="Arial" w:hAnsi="Arial"/>
          <w:sz w:val="19"/>
          <w:szCs w:val="19"/>
          <w:color w:val="0F0F0F"/>
        </w:rPr>
      </w:pPr>
      <w:r>
        <w:rPr>
          <w:rFonts w:ascii="Arial" w:cs="Arial" w:eastAsia="Arial" w:hAnsi="Arial"/>
          <w:sz w:val="19"/>
          <w:szCs w:val="19"/>
          <w:color w:val="0F0F0F"/>
        </w:rPr>
        <w:t>A lump sum cash payment equal to three (3) times the sum of the average of the annual contributions, payments, credits or allocations made by the Company on behalf of the Employee for coverage under all life, health, disability and similar welfare benefit plans and programs and other perquisites maintained by the Company during the three (3) calendar year period preceding his termination of employment. Such payment shall be made on the first day of the seventh (7</w:t>
      </w:r>
      <w:r>
        <w:rPr>
          <w:rFonts w:ascii="Arial" w:cs="Arial" w:eastAsia="Arial" w:hAnsi="Arial"/>
          <w:sz w:val="24"/>
          <w:szCs w:val="24"/>
          <w:color w:val="0F0F0F"/>
          <w:vertAlign w:val="superscript"/>
        </w:rPr>
        <w:t>1</w:t>
      </w:r>
      <w:r>
        <w:rPr>
          <w:rFonts w:ascii="Arial" w:cs="Arial" w:eastAsia="Arial" w:hAnsi="Arial"/>
          <w:sz w:val="19"/>
          <w:szCs w:val="19"/>
          <w:color w:val="0F0F0F"/>
        </w:rPr>
        <w:t xml:space="preserve"> </w:t>
      </w:r>
      <w:r>
        <w:rPr>
          <w:rFonts w:ascii="Arial" w:cs="Arial" w:eastAsia="Arial" w:hAnsi="Arial"/>
          <w:sz w:val="24"/>
          <w:szCs w:val="24"/>
          <w:color w:val="0F0F0F"/>
          <w:vertAlign w:val="subscript"/>
        </w:rPr>
        <w:t>)</w:t>
      </w:r>
      <w:r>
        <w:rPr>
          <w:rFonts w:ascii="Arial" w:cs="Arial" w:eastAsia="Arial" w:hAnsi="Arial"/>
          <w:sz w:val="19"/>
          <w:szCs w:val="19"/>
          <w:color w:val="0F0F0F"/>
        </w:rPr>
        <w:t xml:space="preserve"> month following the Employee's termination of employment, if the Employee is a "specified employee" as defined under Section 409A of the Code on the date of termination. </w:t>
      </w:r>
      <w:r>
        <w:rPr>
          <w:rFonts w:ascii="Arial" w:cs="Arial" w:eastAsia="Arial" w:hAnsi="Arial"/>
          <w:sz w:val="21"/>
          <w:szCs w:val="21"/>
          <w:color w:val="0F0F0F"/>
        </w:rPr>
        <w:t>If</w:t>
      </w:r>
      <w:r>
        <w:rPr>
          <w:rFonts w:ascii="Arial" w:cs="Arial" w:eastAsia="Arial" w:hAnsi="Arial"/>
          <w:sz w:val="19"/>
          <w:szCs w:val="19"/>
          <w:color w:val="0F0F0F"/>
        </w:rPr>
        <w:t xml:space="preserve"> the Employee is not a specified employee on the date of termination, payment shall be made on the first day of the month following the Employee's termination of employment.</w:t>
      </w:r>
    </w:p>
    <w:p>
      <w:pPr>
        <w:spacing w:after="0" w:line="207" w:lineRule="exact"/>
        <w:rPr>
          <w:rFonts w:ascii="Arial" w:cs="Arial" w:eastAsia="Arial" w:hAnsi="Arial"/>
          <w:sz w:val="19"/>
          <w:szCs w:val="19"/>
          <w:color w:val="0F0F0F"/>
        </w:rPr>
      </w:pPr>
    </w:p>
    <w:p>
      <w:pPr>
        <w:ind w:left="-663" w:firstLine="1950"/>
        <w:spacing w:after="0" w:line="269" w:lineRule="auto"/>
        <w:tabs>
          <w:tab w:leader="none" w:pos="1780" w:val="left"/>
        </w:tabs>
        <w:numPr>
          <w:ilvl w:val="2"/>
          <w:numId w:val="44"/>
        </w:numPr>
        <w:rPr>
          <w:rFonts w:ascii="Arial" w:cs="Arial" w:eastAsia="Arial" w:hAnsi="Arial"/>
          <w:sz w:val="20"/>
          <w:szCs w:val="20"/>
          <w:color w:val="0F0F0F"/>
        </w:rPr>
      </w:pPr>
      <w:r>
        <w:rPr>
          <w:rFonts w:ascii="Arial" w:cs="Arial" w:eastAsia="Arial" w:hAnsi="Arial"/>
          <w:sz w:val="20"/>
          <w:szCs w:val="20"/>
          <w:color w:val="0F0F0F"/>
        </w:rPr>
        <w:t xml:space="preserve">Company shall reimburse Employee for the amount of </w:t>
      </w:r>
      <w:r>
        <w:rPr>
          <w:rFonts w:ascii="Arial" w:cs="Arial" w:eastAsia="Arial" w:hAnsi="Arial"/>
          <w:sz w:val="20"/>
          <w:szCs w:val="20"/>
          <w:color w:val="232323"/>
        </w:rPr>
        <w:t>any</w:t>
      </w:r>
      <w:r>
        <w:rPr>
          <w:rFonts w:ascii="Arial" w:cs="Arial" w:eastAsia="Arial" w:hAnsi="Arial"/>
          <w:sz w:val="20"/>
          <w:szCs w:val="20"/>
          <w:color w:val="0F0F0F"/>
        </w:rPr>
        <w:t xml:space="preserve"> reasonable legal or accounting fees and expenses incurred by Employee to obtain or enforce any right or benefit provided to Employee by Company hereunder or as confirmed or acknowledged hereunder, provided that no such reimbursement shall be made earlier than seven (7) months following the Employee's termination</w:t>
      </w:r>
      <w:r>
        <w:rPr>
          <w:rFonts w:ascii="Arial" w:cs="Arial" w:eastAsia="Arial" w:hAnsi="Arial"/>
          <w:sz w:val="20"/>
          <w:szCs w:val="20"/>
          <w:color w:val="363636"/>
        </w:rPr>
        <w:t>,</w:t>
      </w:r>
      <w:r>
        <w:rPr>
          <w:rFonts w:ascii="Arial" w:cs="Arial" w:eastAsia="Arial" w:hAnsi="Arial"/>
          <w:sz w:val="20"/>
          <w:szCs w:val="20"/>
          <w:color w:val="0F0F0F"/>
        </w:rPr>
        <w:t xml:space="preserve"> if the Employee is a </w:t>
      </w:r>
      <w:r>
        <w:rPr>
          <w:rFonts w:ascii="Arial" w:cs="Arial" w:eastAsia="Arial" w:hAnsi="Arial"/>
          <w:sz w:val="20"/>
          <w:szCs w:val="20"/>
          <w:color w:val="232323"/>
        </w:rPr>
        <w:t>"specified</w:t>
      </w:r>
      <w:r>
        <w:rPr>
          <w:rFonts w:ascii="Arial" w:cs="Arial" w:eastAsia="Arial" w:hAnsi="Arial"/>
          <w:sz w:val="20"/>
          <w:szCs w:val="20"/>
          <w:color w:val="0F0F0F"/>
        </w:rPr>
        <w:t xml:space="preserve"> employee" as that term is defined under Section 409A of the Code on the date of termination</w:t>
      </w:r>
      <w:r>
        <w:rPr>
          <w:rFonts w:ascii="Arial" w:cs="Arial" w:eastAsia="Arial" w:hAnsi="Arial"/>
          <w:sz w:val="20"/>
          <w:szCs w:val="20"/>
          <w:color w:val="363636"/>
        </w:rPr>
        <w:t>,</w:t>
      </w:r>
      <w:r>
        <w:rPr>
          <w:rFonts w:ascii="Arial" w:cs="Arial" w:eastAsia="Arial" w:hAnsi="Arial"/>
          <w:sz w:val="20"/>
          <w:szCs w:val="20"/>
          <w:color w:val="0F0F0F"/>
        </w:rPr>
        <w:t xml:space="preserve"> and in no event shall any reimbursement be made any later than December 31 of the calendar year following the year in which the expense is incurred by the Employee.</w:t>
      </w:r>
    </w:p>
    <w:p>
      <w:pPr>
        <w:spacing w:after="0" w:line="208" w:lineRule="exact"/>
        <w:rPr>
          <w:rFonts w:ascii="Arial" w:cs="Arial" w:eastAsia="Arial" w:hAnsi="Arial"/>
          <w:sz w:val="20"/>
          <w:szCs w:val="20"/>
          <w:color w:val="0F0F0F"/>
        </w:rPr>
      </w:pPr>
    </w:p>
    <w:p>
      <w:pPr>
        <w:ind w:left="-643" w:right="280" w:firstLine="1936"/>
        <w:spacing w:after="0" w:line="259" w:lineRule="auto"/>
        <w:tabs>
          <w:tab w:leader="none" w:pos="1801" w:val="left"/>
        </w:tabs>
        <w:numPr>
          <w:ilvl w:val="3"/>
          <w:numId w:val="44"/>
        </w:numPr>
        <w:rPr>
          <w:rFonts w:ascii="Arial" w:cs="Arial" w:eastAsia="Arial" w:hAnsi="Arial"/>
          <w:sz w:val="21"/>
          <w:szCs w:val="21"/>
          <w:color w:val="0F0F0F"/>
        </w:rPr>
      </w:pPr>
      <w:r>
        <w:rPr>
          <w:rFonts w:ascii="Arial" w:cs="Arial" w:eastAsia="Arial" w:hAnsi="Arial"/>
          <w:sz w:val="21"/>
          <w:szCs w:val="21"/>
          <w:color w:val="0F0F0F"/>
        </w:rPr>
        <w:t>Company shall provide the Employee with reasonable outplacement services from a firm selected by the Company for a period of one (1) year commencing on the date of termination, or until Employee accepts other employment, if earlier.</w:t>
      </w:r>
    </w:p>
    <w:p>
      <w:pPr>
        <w:spacing w:after="0" w:line="217" w:lineRule="exact"/>
        <w:rPr>
          <w:rFonts w:ascii="Arial" w:cs="Arial" w:eastAsia="Arial" w:hAnsi="Arial"/>
          <w:sz w:val="21"/>
          <w:szCs w:val="21"/>
          <w:color w:val="0F0F0F"/>
        </w:rPr>
      </w:pPr>
    </w:p>
    <w:p>
      <w:pPr>
        <w:ind w:left="-643" w:right="100" w:firstLine="643"/>
        <w:spacing w:after="0" w:line="266" w:lineRule="auto"/>
        <w:tabs>
          <w:tab w:leader="none" w:pos="498" w:val="left"/>
        </w:tabs>
        <w:numPr>
          <w:ilvl w:val="0"/>
          <w:numId w:val="45"/>
        </w:numPr>
        <w:rPr>
          <w:rFonts w:ascii="Arial" w:cs="Arial" w:eastAsia="Arial" w:hAnsi="Arial"/>
          <w:sz w:val="20"/>
          <w:szCs w:val="20"/>
          <w:color w:val="0F0F0F"/>
        </w:rPr>
      </w:pPr>
      <w:r>
        <w:rPr>
          <w:rFonts w:ascii="Arial" w:cs="Arial" w:eastAsia="Arial" w:hAnsi="Arial"/>
          <w:sz w:val="20"/>
          <w:szCs w:val="20"/>
          <w:u w:val="single" w:color="auto"/>
          <w:color w:val="0F0F0F"/>
        </w:rPr>
        <w:t>Confidential Information.</w:t>
      </w:r>
      <w:r>
        <w:rPr>
          <w:rFonts w:ascii="Arial" w:cs="Arial" w:eastAsia="Arial" w:hAnsi="Arial"/>
          <w:sz w:val="20"/>
          <w:szCs w:val="20"/>
          <w:color w:val="0F0F0F"/>
        </w:rPr>
        <w:t xml:space="preserve"> Employee understands that in the course of Employee's employment by Company, Employee will receive or have access to confidential information concerning the business or purposes of Company and Parent, and which Company and Parent desire to protect. Such confidential information shall be deemed to include, but not be limited to, Company's customer lists and information, and employee lists, including, if known, personnel information and data. Employee agrees that Employee will not, at any time during the period ending two (2) years after the date of termination of Employee's employment, reveal to anyone outside Company or Parent or use for Employee's own benefit any such information without specific written authorization by Company or Parent. Employee further agrees not to use any such confidential information or trade secrets in competing with Company or Parent at any time during or in the two (2) year period immediately following the date of termination of Employee's employment with Company.</w:t>
      </w:r>
    </w:p>
    <w:p>
      <w:pPr>
        <w:spacing w:after="0" w:line="203" w:lineRule="exact"/>
        <w:rPr>
          <w:rFonts w:ascii="Arial" w:cs="Arial" w:eastAsia="Arial" w:hAnsi="Arial"/>
          <w:sz w:val="20"/>
          <w:szCs w:val="20"/>
          <w:color w:val="0F0F0F"/>
        </w:rPr>
      </w:pPr>
    </w:p>
    <w:p>
      <w:pPr>
        <w:ind w:left="637" w:hanging="634"/>
        <w:spacing w:after="0"/>
        <w:tabs>
          <w:tab w:leader="none" w:pos="637" w:val="left"/>
        </w:tabs>
        <w:numPr>
          <w:ilvl w:val="0"/>
          <w:numId w:val="45"/>
        </w:numPr>
        <w:rPr>
          <w:rFonts w:ascii="Arial" w:cs="Arial" w:eastAsia="Arial" w:hAnsi="Arial"/>
          <w:sz w:val="21"/>
          <w:szCs w:val="21"/>
          <w:color w:val="0F0F0F"/>
        </w:rPr>
      </w:pPr>
      <w:r>
        <w:rPr>
          <w:rFonts w:ascii="Arial" w:cs="Arial" w:eastAsia="Arial" w:hAnsi="Arial"/>
          <w:sz w:val="21"/>
          <w:szCs w:val="21"/>
          <w:u w:val="single" w:color="auto"/>
          <w:color w:val="0F0F0F"/>
        </w:rPr>
        <w:t>Covenants by Employee Not to Compete With Company or Parent.</w:t>
      </w:r>
    </w:p>
    <w:p>
      <w:pPr>
        <w:spacing w:after="0" w:line="231" w:lineRule="exact"/>
        <w:rPr>
          <w:rFonts w:ascii="Arial" w:cs="Arial" w:eastAsia="Arial" w:hAnsi="Arial"/>
          <w:sz w:val="21"/>
          <w:szCs w:val="21"/>
          <w:color w:val="0F0F0F"/>
        </w:rPr>
      </w:pPr>
    </w:p>
    <w:p>
      <w:pPr>
        <w:ind w:left="-643" w:right="320" w:firstLine="1294"/>
        <w:spacing w:after="0" w:line="256" w:lineRule="auto"/>
        <w:tabs>
          <w:tab w:leader="none" w:pos="1136" w:val="left"/>
        </w:tabs>
        <w:numPr>
          <w:ilvl w:val="1"/>
          <w:numId w:val="45"/>
        </w:numPr>
        <w:rPr>
          <w:rFonts w:ascii="Arial" w:cs="Arial" w:eastAsia="Arial" w:hAnsi="Arial"/>
          <w:sz w:val="21"/>
          <w:szCs w:val="21"/>
          <w:color w:val="0F0F0F"/>
        </w:rPr>
      </w:pPr>
      <w:r>
        <w:rPr>
          <w:rFonts w:ascii="Arial" w:cs="Arial" w:eastAsia="Arial" w:hAnsi="Arial"/>
          <w:sz w:val="21"/>
          <w:szCs w:val="21"/>
          <w:color w:val="0F0F0F"/>
        </w:rPr>
        <w:t xml:space="preserve">Upon the date of termination of </w:t>
      </w:r>
      <w:r>
        <w:rPr>
          <w:rFonts w:ascii="Arial" w:cs="Arial" w:eastAsia="Arial" w:hAnsi="Arial"/>
          <w:sz w:val="21"/>
          <w:szCs w:val="21"/>
          <w:color w:val="232323"/>
        </w:rPr>
        <w:t>Employee's</w:t>
      </w:r>
      <w:r>
        <w:rPr>
          <w:rFonts w:ascii="Arial" w:cs="Arial" w:eastAsia="Arial" w:hAnsi="Arial"/>
          <w:sz w:val="21"/>
          <w:szCs w:val="21"/>
          <w:color w:val="0F0F0F"/>
        </w:rPr>
        <w:t xml:space="preserve"> employment with Company for any reason</w:t>
      </w:r>
      <w:r>
        <w:rPr>
          <w:rFonts w:ascii="Arial" w:cs="Arial" w:eastAsia="Arial" w:hAnsi="Arial"/>
          <w:sz w:val="21"/>
          <w:szCs w:val="21"/>
          <w:color w:val="363636"/>
        </w:rPr>
        <w:t>,</w:t>
      </w:r>
      <w:r>
        <w:rPr>
          <w:rFonts w:ascii="Arial" w:cs="Arial" w:eastAsia="Arial" w:hAnsi="Arial"/>
          <w:sz w:val="21"/>
          <w:szCs w:val="21"/>
          <w:color w:val="0F0F0F"/>
        </w:rPr>
        <w:t xml:space="preserve"> Employee covenants and agrees that Employee will not at any time during the period of two (2) years from and after such date of termination directly or indirectly in any manner or under any circumstances or conditions whatsoever be or become interested, as an individual, partner, principal, agent, clerk, employee,-stockholder, officer, director, trustee</w:t>
      </w:r>
      <w:r>
        <w:rPr>
          <w:rFonts w:ascii="Arial" w:cs="Arial" w:eastAsia="Arial" w:hAnsi="Arial"/>
          <w:sz w:val="21"/>
          <w:szCs w:val="21"/>
          <w:color w:val="363636"/>
        </w:rPr>
        <w:t>,</w:t>
      </w:r>
      <w:r>
        <w:rPr>
          <w:rFonts w:ascii="Arial" w:cs="Arial" w:eastAsia="Arial" w:hAnsi="Arial"/>
          <w:sz w:val="21"/>
          <w:szCs w:val="21"/>
          <w:color w:val="0F0F0F"/>
        </w:rPr>
        <w:t xml:space="preserve"> or in any other capacity whatsoever, except as a nominal owner of stock of a public corporation</w:t>
      </w:r>
      <w:r>
        <w:rPr>
          <w:rFonts w:ascii="Arial" w:cs="Arial" w:eastAsia="Arial" w:hAnsi="Arial"/>
          <w:sz w:val="21"/>
          <w:szCs w:val="21"/>
          <w:color w:val="363636"/>
        </w:rPr>
        <w:t>,</w:t>
      </w:r>
      <w:r>
        <w:rPr>
          <w:rFonts w:ascii="Arial" w:cs="Arial" w:eastAsia="Arial" w:hAnsi="Arial"/>
          <w:sz w:val="21"/>
          <w:szCs w:val="21"/>
          <w:color w:val="0F0F0F"/>
        </w:rPr>
        <w:t xml:space="preserve"> in any other business which, at the date of Employee's termination, is a Competitor (as defined</w:t>
      </w:r>
    </w:p>
    <w:p>
      <w:pPr>
        <w:sectPr>
          <w:pgSz w:w="11900" w:h="16838" w:orient="portrait"/>
          <w:cols w:equalWidth="0" w:num="1">
            <w:col w:w="10157"/>
          </w:cols>
          <w:pgMar w:left="1123" w:top="1440" w:right="619" w:bottom="1440" w:gutter="0" w:footer="0" w:header="0"/>
        </w:sectPr>
      </w:pPr>
    </w:p>
    <w:bookmarkStart w:id="104" w:name="page105"/>
    <w:bookmarkEnd w:id="104"/>
    <w:p>
      <w:pPr>
        <w:spacing w:after="0" w:line="307" w:lineRule="exact"/>
        <w:rPr>
          <w:sz w:val="20"/>
          <w:szCs w:val="20"/>
          <w:color w:val="auto"/>
        </w:rPr>
      </w:pPr>
    </w:p>
    <w:p>
      <w:pPr>
        <w:ind w:firstLine="2"/>
        <w:spacing w:after="0" w:line="282" w:lineRule="auto"/>
        <w:rPr>
          <w:sz w:val="20"/>
          <w:szCs w:val="20"/>
          <w:color w:val="auto"/>
        </w:rPr>
      </w:pPr>
      <w:r>
        <w:rPr>
          <w:rFonts w:ascii="Arial" w:cs="Arial" w:eastAsia="Arial" w:hAnsi="Arial"/>
          <w:sz w:val="19"/>
          <w:szCs w:val="19"/>
          <w:color w:val="0F0F0F"/>
        </w:rPr>
        <w:t>herein), either directly or indirectly, with Company or Parent, or engage or participate in, directly or indirectly (whether as an officer, director, employee, partner, consultant, holder of an equity or debt investment, lender or in any other manner or capacity), or lend Employee's name (or any part or variant thereof) to, any business which, at the date of Employee's termination, is a Competitor, either directly or indirectly, with Company or Parent</w:t>
      </w:r>
      <w:r>
        <w:rPr>
          <w:rFonts w:ascii="Arial" w:cs="Arial" w:eastAsia="Arial" w:hAnsi="Arial"/>
          <w:sz w:val="19"/>
          <w:szCs w:val="19"/>
          <w:color w:val="343434"/>
        </w:rPr>
        <w:t>,</w:t>
      </w:r>
      <w:r>
        <w:rPr>
          <w:rFonts w:ascii="Arial" w:cs="Arial" w:eastAsia="Arial" w:hAnsi="Arial"/>
          <w:sz w:val="19"/>
          <w:szCs w:val="19"/>
          <w:color w:val="0F0F0F"/>
        </w:rPr>
        <w:t xml:space="preserve"> or as a result of Employee's engagement or participation would become, a Competitor, either directly or indirectly, with any aspect of the business of Company or Parent as it exists at the time of Employee's termination, or solicit any officer, director, employee or agent of Company or Parent or any subsidiary or affiliate of Company or Parent to become an officer, director, employee or agent of Employee, Employee's respective affiliates or anyone else. Ownership, in the aggregate, of less than one percent (1 %) of the outstanding shares of capital stock of any corporation with one or more classes of its capital stock listed on a national securities exchange or publicly traded in the over the-counter market shall not constitute a violation of the foregoing provision. For the purposes of this Agreement, a Competitor is any business which is similar to the business of Company or Parent or in any way in competition with the business of Company or Parent within any of the then-existing water utility service areas of Company.</w:t>
      </w:r>
    </w:p>
    <w:p>
      <w:pPr>
        <w:spacing w:after="0" w:line="186" w:lineRule="exact"/>
        <w:rPr>
          <w:sz w:val="20"/>
          <w:szCs w:val="20"/>
          <w:color w:val="auto"/>
        </w:rPr>
      </w:pPr>
    </w:p>
    <w:p>
      <w:pPr>
        <w:ind w:left="1940" w:hanging="643"/>
        <w:spacing w:after="0"/>
        <w:tabs>
          <w:tab w:leader="none" w:pos="1940" w:val="left"/>
        </w:tabs>
        <w:numPr>
          <w:ilvl w:val="0"/>
          <w:numId w:val="46"/>
        </w:numPr>
        <w:rPr>
          <w:rFonts w:ascii="Arial" w:cs="Arial" w:eastAsia="Arial" w:hAnsi="Arial"/>
          <w:sz w:val="21"/>
          <w:szCs w:val="21"/>
          <w:color w:val="0F0F0F"/>
        </w:rPr>
      </w:pPr>
      <w:r>
        <w:rPr>
          <w:rFonts w:ascii="Arial" w:cs="Arial" w:eastAsia="Arial" w:hAnsi="Arial"/>
          <w:sz w:val="21"/>
          <w:szCs w:val="21"/>
          <w:color w:val="0F0F0F"/>
        </w:rPr>
        <w:t>Employee hereby acknowledges that Employee's services are unique and</w:t>
      </w:r>
    </w:p>
    <w:p>
      <w:pPr>
        <w:spacing w:after="0" w:line="6" w:lineRule="exact"/>
        <w:rPr>
          <w:sz w:val="20"/>
          <w:szCs w:val="20"/>
          <w:color w:val="auto"/>
        </w:rPr>
      </w:pPr>
    </w:p>
    <w:p>
      <w:pPr>
        <w:ind w:right="200" w:hanging="41"/>
        <w:spacing w:after="0" w:line="268" w:lineRule="auto"/>
        <w:rPr>
          <w:sz w:val="20"/>
          <w:szCs w:val="20"/>
          <w:color w:val="auto"/>
        </w:rPr>
      </w:pPr>
      <w:r>
        <w:rPr>
          <w:rFonts w:ascii="Arial" w:cs="Arial" w:eastAsia="Arial" w:hAnsi="Arial"/>
          <w:sz w:val="20"/>
          <w:szCs w:val="20"/>
          <w:color w:val="757575"/>
        </w:rPr>
        <w:t>.</w:t>
      </w:r>
      <w:r>
        <w:rPr>
          <w:rFonts w:ascii="Arial" w:cs="Arial" w:eastAsia="Arial" w:hAnsi="Arial"/>
          <w:sz w:val="20"/>
          <w:szCs w:val="20"/>
          <w:color w:val="0F0F0F"/>
        </w:rPr>
        <w:t>extraordinary, and are not readily replaceable, and hereby expressly agrees that Company and Parent, in enforcing the covenants</w:t>
      </w:r>
      <w:r>
        <w:rPr>
          <w:rFonts w:ascii="Arial" w:cs="Arial" w:eastAsia="Arial" w:hAnsi="Arial"/>
          <w:sz w:val="20"/>
          <w:szCs w:val="20"/>
          <w:color w:val="757575"/>
        </w:rPr>
        <w:t xml:space="preserve"> </w:t>
      </w:r>
      <w:r>
        <w:rPr>
          <w:rFonts w:ascii="Arial" w:cs="Arial" w:eastAsia="Arial" w:hAnsi="Arial"/>
          <w:sz w:val="20"/>
          <w:szCs w:val="20"/>
          <w:color w:val="0F0F0F"/>
        </w:rPr>
        <w:t>contained in Paragraphs 8 and 9 herein, in addition to any</w:t>
      </w:r>
      <w:r>
        <w:rPr>
          <w:rFonts w:ascii="Arial" w:cs="Arial" w:eastAsia="Arial" w:hAnsi="Arial"/>
          <w:sz w:val="20"/>
          <w:szCs w:val="20"/>
          <w:color w:val="AEAEAE"/>
        </w:rPr>
        <w:t>.</w:t>
      </w:r>
      <w:r>
        <w:rPr>
          <w:rFonts w:ascii="Arial" w:cs="Arial" w:eastAsia="Arial" w:hAnsi="Arial"/>
          <w:sz w:val="20"/>
          <w:szCs w:val="20"/>
          <w:color w:val="0F0F0F"/>
        </w:rPr>
        <w:t xml:space="preserve"> other remedies provided for herein or otherwise available at law, shall be entitled in any court of equity having jurisdiction to an injunction restraining Employee in the event of a breach, actual or threatened, of the agreements and covenants contained in these Paragraphs.</w:t>
      </w:r>
    </w:p>
    <w:p>
      <w:pPr>
        <w:spacing w:after="0" w:line="210" w:lineRule="exact"/>
        <w:rPr>
          <w:sz w:val="20"/>
          <w:szCs w:val="20"/>
          <w:color w:val="auto"/>
        </w:rPr>
      </w:pPr>
    </w:p>
    <w:p>
      <w:pPr>
        <w:ind w:right="120" w:firstLine="1303"/>
        <w:spacing w:after="0" w:line="288" w:lineRule="auto"/>
        <w:tabs>
          <w:tab w:leader="none" w:pos="1799" w:val="left"/>
        </w:tabs>
        <w:numPr>
          <w:ilvl w:val="1"/>
          <w:numId w:val="47"/>
        </w:numPr>
        <w:rPr>
          <w:rFonts w:ascii="Arial" w:cs="Arial" w:eastAsia="Arial" w:hAnsi="Arial"/>
          <w:sz w:val="19"/>
          <w:szCs w:val="19"/>
          <w:color w:val="0F0F0F"/>
        </w:rPr>
      </w:pPr>
      <w:r>
        <w:rPr>
          <w:rFonts w:ascii="Arial" w:cs="Arial" w:eastAsia="Arial" w:hAnsi="Arial"/>
          <w:sz w:val="19"/>
          <w:szCs w:val="19"/>
          <w:color w:val="0F0F0F"/>
        </w:rPr>
        <w:t>The parties hereto believe that the restrictive covenants of these Paragraphs are reasonable. However, if at any time it shall be determined by any court of competent jurisdiction that these Paragraphs or any portion of them as written</w:t>
      </w:r>
      <w:r>
        <w:rPr>
          <w:rFonts w:ascii="Arial" w:cs="Arial" w:eastAsia="Arial" w:hAnsi="Arial"/>
          <w:sz w:val="19"/>
          <w:szCs w:val="19"/>
          <w:color w:val="343434"/>
        </w:rPr>
        <w:t>,</w:t>
      </w:r>
      <w:r>
        <w:rPr>
          <w:rFonts w:ascii="Arial" w:cs="Arial" w:eastAsia="Arial" w:hAnsi="Arial"/>
          <w:sz w:val="19"/>
          <w:szCs w:val="19"/>
          <w:color w:val="0F0F0F"/>
        </w:rPr>
        <w:t xml:space="preserve"> are unenforceable because the restrictions are unreasonable, the parties hereto agree that such portions as shall have been determined to be unreasonably restrictive shall thereupon be deemed so amended as to make such restrictions reasonable in the determination of such court, and the said covenants, as so modified, shall be enforceable between the parties to the same extent as if such amendments had been made prior to the date of any alleged breach of said covenants.</w:t>
      </w:r>
    </w:p>
    <w:p>
      <w:pPr>
        <w:spacing w:after="0" w:line="195" w:lineRule="exact"/>
        <w:rPr>
          <w:rFonts w:ascii="Arial" w:cs="Arial" w:eastAsia="Arial" w:hAnsi="Arial"/>
          <w:sz w:val="19"/>
          <w:szCs w:val="19"/>
          <w:color w:val="0F0F0F"/>
        </w:rPr>
      </w:pPr>
    </w:p>
    <w:p>
      <w:pPr>
        <w:ind w:right="100" w:firstLine="654"/>
        <w:spacing w:after="0" w:line="293" w:lineRule="auto"/>
        <w:tabs>
          <w:tab w:leader="none" w:pos="1150" w:val="left"/>
        </w:tabs>
        <w:numPr>
          <w:ilvl w:val="0"/>
          <w:numId w:val="48"/>
        </w:numPr>
        <w:rPr>
          <w:rFonts w:ascii="Arial" w:cs="Arial" w:eastAsia="Arial" w:hAnsi="Arial"/>
          <w:sz w:val="19"/>
          <w:szCs w:val="19"/>
          <w:color w:val="0F0F0F"/>
        </w:rPr>
      </w:pPr>
      <w:r>
        <w:rPr>
          <w:rFonts w:ascii="Arial" w:cs="Arial" w:eastAsia="Arial" w:hAnsi="Arial"/>
          <w:sz w:val="19"/>
          <w:szCs w:val="19"/>
          <w:u w:val="single" w:color="auto"/>
          <w:color w:val="0F0F0F"/>
        </w:rPr>
        <w:t>No Obligation to Mitigate.</w:t>
      </w:r>
      <w:r>
        <w:rPr>
          <w:rFonts w:ascii="Arial" w:cs="Arial" w:eastAsia="Arial" w:hAnsi="Arial"/>
          <w:sz w:val="19"/>
          <w:szCs w:val="19"/>
          <w:color w:val="0F0F0F"/>
        </w:rPr>
        <w:t xml:space="preserve"> So long as Employee shall not be in breach of any provision of Paragraph 8 or 9, Employee shall have no duty to mitigate damages in the event of a termination and if Employee voluntarily obtains other employment (including self-employment), any compensation or profits received or accrued, directly or indirectly, from such other employment shall not reduce or otherwise affect the obligations of Company </w:t>
      </w:r>
      <w:r>
        <w:rPr>
          <w:rFonts w:ascii="Arial" w:cs="Arial" w:eastAsia="Arial" w:hAnsi="Arial"/>
          <w:sz w:val="19"/>
          <w:szCs w:val="19"/>
          <w:color w:val="242424"/>
        </w:rPr>
        <w:t>and</w:t>
      </w:r>
      <w:r>
        <w:rPr>
          <w:rFonts w:ascii="Arial" w:cs="Arial" w:eastAsia="Arial" w:hAnsi="Arial"/>
          <w:sz w:val="19"/>
          <w:szCs w:val="19"/>
          <w:color w:val="0F0F0F"/>
        </w:rPr>
        <w:t xml:space="preserve"> Parent to make payments hereunder.</w:t>
      </w:r>
    </w:p>
    <w:p>
      <w:pPr>
        <w:spacing w:after="0" w:line="162" w:lineRule="exact"/>
        <w:rPr>
          <w:rFonts w:ascii="Arial" w:cs="Arial" w:eastAsia="Arial" w:hAnsi="Arial"/>
          <w:sz w:val="19"/>
          <w:szCs w:val="19"/>
          <w:color w:val="0F0F0F"/>
        </w:rPr>
      </w:pPr>
    </w:p>
    <w:p>
      <w:pPr>
        <w:ind w:left="20" w:right="520" w:firstLine="639"/>
        <w:spacing w:after="0" w:line="297" w:lineRule="auto"/>
        <w:tabs>
          <w:tab w:leader="none" w:pos="1157" w:val="left"/>
        </w:tabs>
        <w:numPr>
          <w:ilvl w:val="0"/>
          <w:numId w:val="48"/>
        </w:numPr>
        <w:rPr>
          <w:rFonts w:ascii="Arial" w:cs="Arial" w:eastAsia="Arial" w:hAnsi="Arial"/>
          <w:sz w:val="19"/>
          <w:szCs w:val="19"/>
          <w:color w:val="0F0F0F"/>
        </w:rPr>
      </w:pPr>
      <w:r>
        <w:rPr>
          <w:rFonts w:ascii="Arial" w:cs="Arial" w:eastAsia="Arial" w:hAnsi="Arial"/>
          <w:sz w:val="19"/>
          <w:szCs w:val="19"/>
          <w:u w:val="single" w:color="auto"/>
          <w:color w:val="0F0F0F"/>
        </w:rPr>
        <w:t>Resignation.</w:t>
      </w:r>
      <w:r>
        <w:rPr>
          <w:rFonts w:ascii="Arial" w:cs="Arial" w:eastAsia="Arial" w:hAnsi="Arial"/>
          <w:sz w:val="19"/>
          <w:szCs w:val="19"/>
          <w:color w:val="0F0F0F"/>
        </w:rPr>
        <w:t xml:space="preserve"> </w:t>
      </w:r>
      <w:r>
        <w:rPr>
          <w:rFonts w:ascii="Arial" w:cs="Arial" w:eastAsia="Arial" w:hAnsi="Arial"/>
          <w:sz w:val="21"/>
          <w:szCs w:val="21"/>
          <w:color w:val="0F0F0F"/>
        </w:rPr>
        <w:t>In</w:t>
      </w:r>
      <w:r>
        <w:rPr>
          <w:rFonts w:ascii="Arial" w:cs="Arial" w:eastAsia="Arial" w:hAnsi="Arial"/>
          <w:sz w:val="19"/>
          <w:szCs w:val="19"/>
          <w:color w:val="0F0F0F"/>
        </w:rPr>
        <w:t xml:space="preserve"> the event that Employee's services hereunder are terminated under any of the provisions of this Agreement (except by death)</w:t>
      </w:r>
      <w:r>
        <w:rPr>
          <w:rFonts w:ascii="Arial" w:cs="Arial" w:eastAsia="Arial" w:hAnsi="Arial"/>
          <w:sz w:val="19"/>
          <w:szCs w:val="19"/>
          <w:color w:val="343434"/>
        </w:rPr>
        <w:t>,</w:t>
      </w:r>
      <w:r>
        <w:rPr>
          <w:rFonts w:ascii="Arial" w:cs="Arial" w:eastAsia="Arial" w:hAnsi="Arial"/>
          <w:sz w:val="19"/>
          <w:szCs w:val="19"/>
          <w:color w:val="0F0F0F"/>
        </w:rPr>
        <w:t xml:space="preserve"> Employee agrees that Employee will deliver Employee's written resignation as an officer of Company or Parent, or their subsidiaries and affiliates, to the Board of Directors, such resignation to become effective immediately, or, at the option of the Board of Directors, on a later date as specified by the Board.</w:t>
      </w:r>
    </w:p>
    <w:p>
      <w:pPr>
        <w:sectPr>
          <w:pgSz w:w="11900" w:h="16838" w:orient="portrait"/>
          <w:cols w:equalWidth="0" w:num="1">
            <w:col w:w="10860"/>
          </w:cols>
          <w:pgMar w:left="460" w:top="1440" w:right="579" w:bottom="1440" w:gutter="0" w:footer="0" w:header="0"/>
        </w:sectPr>
      </w:pPr>
    </w:p>
    <w:bookmarkStart w:id="105" w:name="page106"/>
    <w:bookmarkEnd w:id="105"/>
    <w:p>
      <w:pPr>
        <w:spacing w:after="0" w:line="307" w:lineRule="exact"/>
        <w:rPr>
          <w:sz w:val="20"/>
          <w:szCs w:val="20"/>
          <w:color w:val="auto"/>
        </w:rPr>
      </w:pPr>
    </w:p>
    <w:p>
      <w:pPr>
        <w:ind w:left="3" w:right="260" w:firstLine="637"/>
        <w:spacing w:after="0" w:line="258" w:lineRule="auto"/>
        <w:tabs>
          <w:tab w:leader="none" w:pos="1164" w:val="left"/>
        </w:tabs>
        <w:numPr>
          <w:ilvl w:val="1"/>
          <w:numId w:val="49"/>
        </w:numPr>
        <w:rPr>
          <w:rFonts w:ascii="Arial" w:cs="Arial" w:eastAsia="Arial" w:hAnsi="Arial"/>
          <w:sz w:val="21"/>
          <w:szCs w:val="21"/>
          <w:color w:val="0F0F0F"/>
        </w:rPr>
      </w:pPr>
      <w:r>
        <w:rPr>
          <w:rFonts w:ascii="Arial" w:cs="Arial" w:eastAsia="Arial" w:hAnsi="Arial"/>
          <w:sz w:val="21"/>
          <w:szCs w:val="21"/>
          <w:u w:val="single" w:color="auto"/>
          <w:color w:val="0F0F0F"/>
        </w:rPr>
        <w:t>Insurance.</w:t>
      </w:r>
      <w:r>
        <w:rPr>
          <w:rFonts w:ascii="Arial" w:cs="Arial" w:eastAsia="Arial" w:hAnsi="Arial"/>
          <w:sz w:val="21"/>
          <w:szCs w:val="21"/>
          <w:color w:val="0F0F0F"/>
        </w:rPr>
        <w:t xml:space="preserve"> Company shall have the right at its own cost and expense to apply for and to secure in its own name, or otherwise, life, health or accident insurance or any or all of them covering Employee, and Employee agrees to submit to the usual and customary medical examination and otherwise to cooperate with Company in connection with the procurement of any such insurance, and any claims thereunder.</w:t>
      </w:r>
    </w:p>
    <w:p>
      <w:pPr>
        <w:spacing w:after="0" w:line="217" w:lineRule="exact"/>
        <w:rPr>
          <w:rFonts w:ascii="Arial" w:cs="Arial" w:eastAsia="Arial" w:hAnsi="Arial"/>
          <w:sz w:val="21"/>
          <w:szCs w:val="21"/>
          <w:color w:val="0F0F0F"/>
        </w:rPr>
      </w:pPr>
    </w:p>
    <w:p>
      <w:pPr>
        <w:ind w:left="3" w:right="280" w:firstLine="646"/>
        <w:spacing w:after="0" w:line="295" w:lineRule="auto"/>
        <w:tabs>
          <w:tab w:leader="none" w:pos="1167" w:val="left"/>
        </w:tabs>
        <w:numPr>
          <w:ilvl w:val="1"/>
          <w:numId w:val="49"/>
        </w:numPr>
        <w:rPr>
          <w:rFonts w:ascii="Arial" w:cs="Arial" w:eastAsia="Arial" w:hAnsi="Arial"/>
          <w:sz w:val="18"/>
          <w:szCs w:val="18"/>
          <w:color w:val="0F0F0F"/>
        </w:rPr>
      </w:pPr>
      <w:r>
        <w:rPr>
          <w:rFonts w:ascii="Arial" w:cs="Arial" w:eastAsia="Arial" w:hAnsi="Arial"/>
          <w:sz w:val="18"/>
          <w:szCs w:val="18"/>
          <w:u w:val="single" w:color="auto"/>
          <w:color w:val="0F0F0F"/>
        </w:rPr>
        <w:t>Release.</w:t>
      </w:r>
      <w:r>
        <w:rPr>
          <w:rFonts w:ascii="Arial" w:cs="Arial" w:eastAsia="Arial" w:hAnsi="Arial"/>
          <w:sz w:val="18"/>
          <w:szCs w:val="18"/>
          <w:color w:val="0F0F0F"/>
        </w:rPr>
        <w:t xml:space="preserve"> As a condition of receiving payments or benefits provided for in this Agreement, at the request of Company or Parent, Employee shall execute and deliver for the benefit of Company and Parent, and any subsidiary or affiliate of Company or Parent, a general release in the form set forth in Attachment A, and such release shall become effective in accordance with its terms. The failure or refusal of Employee to sign such a release or the revocation of such a release shall cause the termination of any and all obligations of Company and Parent to make payments or provide benefits hereunder, and the forfeiture of the right of Employee to receive any such payments and benefits. Any amounts otherwise payable on account of Employee's termination of employment under this Agreement which (i) are conditioned in any part on a release of claims and</w:t>
      </w:r>
    </w:p>
    <w:p>
      <w:pPr>
        <w:spacing w:after="0" w:line="5" w:lineRule="exact"/>
        <w:rPr>
          <w:rFonts w:ascii="Arial" w:cs="Arial" w:eastAsia="Arial" w:hAnsi="Arial"/>
          <w:sz w:val="18"/>
          <w:szCs w:val="18"/>
          <w:color w:val="0F0F0F"/>
        </w:rPr>
      </w:pPr>
    </w:p>
    <w:p>
      <w:pPr>
        <w:ind w:left="3" w:right="300" w:hanging="3"/>
        <w:spacing w:after="0" w:line="253" w:lineRule="auto"/>
        <w:tabs>
          <w:tab w:leader="none" w:pos="308" w:val="left"/>
        </w:tabs>
        <w:numPr>
          <w:ilvl w:val="0"/>
          <w:numId w:val="50"/>
        </w:numPr>
        <w:rPr>
          <w:rFonts w:ascii="Arial" w:cs="Arial" w:eastAsia="Arial" w:hAnsi="Arial"/>
          <w:sz w:val="21"/>
          <w:szCs w:val="21"/>
          <w:color w:val="0F0F0F"/>
        </w:rPr>
      </w:pPr>
      <w:r>
        <w:rPr>
          <w:rFonts w:ascii="Arial" w:cs="Arial" w:eastAsia="Arial" w:hAnsi="Arial"/>
          <w:sz w:val="21"/>
          <w:szCs w:val="21"/>
          <w:color w:val="0F0F0F"/>
        </w:rPr>
        <w:t>would otherwise be paid (assuming the release is given) prior to the last day on which the release could become irrevocable assuming Employee's latest possible execution and delivery of the release (such last day, the "Release Deadline") shall be paid, if ever, only on the Release Deadline, even if Employee's release becomes irrevocable before that date. The Company may elect to make such payment up to thirty (30) days prior to the Release Deadline, however. Employee acknowledges that Company and Parent have advised Employee to consult with an attorney prior to signing this Agreement and that Employee has had an opportunity to do so.</w:t>
      </w:r>
    </w:p>
    <w:p>
      <w:pPr>
        <w:spacing w:after="0" w:line="331" w:lineRule="exact"/>
        <w:rPr>
          <w:sz w:val="20"/>
          <w:szCs w:val="20"/>
          <w:color w:val="auto"/>
        </w:rPr>
      </w:pPr>
    </w:p>
    <w:p>
      <w:pPr>
        <w:ind w:left="663"/>
        <w:spacing w:after="0"/>
        <w:rPr>
          <w:sz w:val="20"/>
          <w:szCs w:val="20"/>
          <w:color w:val="auto"/>
        </w:rPr>
      </w:pPr>
      <w:r>
        <w:rPr>
          <w:rFonts w:ascii="Arial" w:cs="Arial" w:eastAsia="Arial" w:hAnsi="Arial"/>
          <w:sz w:val="21"/>
          <w:szCs w:val="21"/>
          <w:color w:val="0F0F0F"/>
        </w:rPr>
        <w:t>13A. Limitation on Payments. In the event that:</w:t>
      </w:r>
    </w:p>
    <w:p>
      <w:pPr>
        <w:spacing w:after="0" w:line="110" w:lineRule="exact"/>
        <w:rPr>
          <w:sz w:val="20"/>
          <w:szCs w:val="20"/>
          <w:color w:val="auto"/>
        </w:rPr>
      </w:pPr>
    </w:p>
    <w:p>
      <w:pPr>
        <w:ind w:left="3" w:right="400" w:firstLine="653"/>
        <w:spacing w:after="0" w:line="257" w:lineRule="auto"/>
        <w:tabs>
          <w:tab w:leader="none" w:pos="1151" w:val="left"/>
        </w:tabs>
        <w:numPr>
          <w:ilvl w:val="0"/>
          <w:numId w:val="51"/>
        </w:numPr>
        <w:rPr>
          <w:rFonts w:ascii="Arial" w:cs="Arial" w:eastAsia="Arial" w:hAnsi="Arial"/>
          <w:sz w:val="21"/>
          <w:szCs w:val="21"/>
          <w:color w:val="0F0F0F"/>
        </w:rPr>
      </w:pPr>
      <w:r>
        <w:rPr>
          <w:rFonts w:ascii="Arial" w:cs="Arial" w:eastAsia="Arial" w:hAnsi="Arial"/>
          <w:sz w:val="21"/>
          <w:szCs w:val="21"/>
          <w:color w:val="0F0F0F"/>
        </w:rPr>
        <w:t xml:space="preserve">the aggregate payments or benefits to be made to Employee pursuant to this Agreement, together with other payments and benefits which Employee has a right to receive from the Parent, the Company and any affiliated entities, which are deemed to be parachute payments as defined in Section 280G of the Internal Revenue Code of 1986 and regulations issued thereunder (the </w:t>
      </w:r>
      <w:r>
        <w:rPr>
          <w:rFonts w:ascii="Arial" w:cs="Arial" w:eastAsia="Arial" w:hAnsi="Arial"/>
          <w:sz w:val="21"/>
          <w:szCs w:val="21"/>
          <w:color w:val="232323"/>
        </w:rPr>
        <w:t>"Termination</w:t>
      </w:r>
      <w:r>
        <w:rPr>
          <w:rFonts w:ascii="Arial" w:cs="Arial" w:eastAsia="Arial" w:hAnsi="Arial"/>
          <w:sz w:val="21"/>
          <w:szCs w:val="21"/>
          <w:color w:val="0F0F0F"/>
        </w:rPr>
        <w:t xml:space="preserve"> Benefits"), would be deemed to include an </w:t>
      </w:r>
      <w:r>
        <w:rPr>
          <w:rFonts w:ascii="Arial" w:cs="Arial" w:eastAsia="Arial" w:hAnsi="Arial"/>
          <w:sz w:val="21"/>
          <w:szCs w:val="21"/>
          <w:color w:val="232323"/>
        </w:rPr>
        <w:t>"excess</w:t>
      </w:r>
      <w:r>
        <w:rPr>
          <w:rFonts w:ascii="Arial" w:cs="Arial" w:eastAsia="Arial" w:hAnsi="Arial"/>
          <w:sz w:val="21"/>
          <w:szCs w:val="21"/>
          <w:color w:val="0F0F0F"/>
        </w:rPr>
        <w:t xml:space="preserve"> parachute payment" under Section 280G of said Code; and</w:t>
      </w:r>
    </w:p>
    <w:p>
      <w:pPr>
        <w:spacing w:after="0" w:line="219" w:lineRule="exact"/>
        <w:rPr>
          <w:rFonts w:ascii="Arial" w:cs="Arial" w:eastAsia="Arial" w:hAnsi="Arial"/>
          <w:sz w:val="21"/>
          <w:szCs w:val="21"/>
          <w:color w:val="0F0F0F"/>
        </w:rPr>
      </w:pPr>
    </w:p>
    <w:p>
      <w:pPr>
        <w:ind w:left="3" w:firstLine="657"/>
        <w:spacing w:after="0" w:line="288" w:lineRule="auto"/>
        <w:tabs>
          <w:tab w:leader="none" w:pos="1150" w:val="left"/>
        </w:tabs>
        <w:numPr>
          <w:ilvl w:val="0"/>
          <w:numId w:val="51"/>
        </w:numPr>
        <w:rPr>
          <w:rFonts w:ascii="Arial" w:cs="Arial" w:eastAsia="Arial" w:hAnsi="Arial"/>
          <w:sz w:val="19"/>
          <w:szCs w:val="19"/>
          <w:color w:val="0F0F0F"/>
        </w:rPr>
      </w:pPr>
      <w:r>
        <w:rPr>
          <w:rFonts w:ascii="Arial" w:cs="Arial" w:eastAsia="Arial" w:hAnsi="Arial"/>
          <w:sz w:val="19"/>
          <w:szCs w:val="19"/>
          <w:color w:val="0F0F0F"/>
        </w:rPr>
        <w:t xml:space="preserve">if such Termination Benefits were reduced to an amount (the </w:t>
      </w:r>
      <w:r>
        <w:rPr>
          <w:rFonts w:ascii="Arial" w:cs="Arial" w:eastAsia="Arial" w:hAnsi="Arial"/>
          <w:sz w:val="19"/>
          <w:szCs w:val="19"/>
          <w:color w:val="232323"/>
        </w:rPr>
        <w:t>"Non-Triggering</w:t>
      </w:r>
      <w:r>
        <w:rPr>
          <w:rFonts w:ascii="Arial" w:cs="Arial" w:eastAsia="Arial" w:hAnsi="Arial"/>
          <w:sz w:val="19"/>
          <w:szCs w:val="19"/>
          <w:color w:val="0F0F0F"/>
        </w:rPr>
        <w:t xml:space="preserve"> Amount"), the value of which is one dollar ($1.00) less than an amount equal to three times the Employee's </w:t>
      </w:r>
      <w:r>
        <w:rPr>
          <w:rFonts w:ascii="Arial" w:cs="Arial" w:eastAsia="Arial" w:hAnsi="Arial"/>
          <w:sz w:val="19"/>
          <w:szCs w:val="19"/>
          <w:color w:val="232323"/>
        </w:rPr>
        <w:t>"base</w:t>
      </w:r>
      <w:r>
        <w:rPr>
          <w:rFonts w:ascii="Arial" w:cs="Arial" w:eastAsia="Arial" w:hAnsi="Arial"/>
          <w:sz w:val="19"/>
          <w:szCs w:val="19"/>
          <w:color w:val="0F0F0F"/>
        </w:rPr>
        <w:t xml:space="preserve"> amount," as determined in accordance with </w:t>
      </w:r>
      <w:r>
        <w:rPr>
          <w:rFonts w:ascii="Arial" w:cs="Arial" w:eastAsia="Arial" w:hAnsi="Arial"/>
          <w:sz w:val="19"/>
          <w:szCs w:val="19"/>
          <w:color w:val="232323"/>
        </w:rPr>
        <w:t>said</w:t>
      </w:r>
      <w:r>
        <w:rPr>
          <w:rFonts w:ascii="Arial" w:cs="Arial" w:eastAsia="Arial" w:hAnsi="Arial"/>
          <w:sz w:val="19"/>
          <w:szCs w:val="19"/>
          <w:color w:val="0F0F0F"/>
        </w:rPr>
        <w:t xml:space="preserve"> Section 280G of the Code, and the Non-Triggering Amount, less the product of the marginal rate of any applicable state and federal income tax and the Non-Triggering Amount, would be greater than the aggregate value of the Termination Benefits (without such reduction) minus (A) the amount of tax required to be paid by the Employee by Section 4999 of the Code and further minus (B) the product of the Termination Benefits and the marginal rate of any applicable state and federal income tax,</w:t>
      </w:r>
    </w:p>
    <w:p>
      <w:pPr>
        <w:spacing w:after="0" w:line="182" w:lineRule="exact"/>
        <w:rPr>
          <w:sz w:val="20"/>
          <w:szCs w:val="20"/>
          <w:color w:val="auto"/>
        </w:rPr>
      </w:pPr>
    </w:p>
    <w:p>
      <w:pPr>
        <w:ind w:left="663"/>
        <w:spacing w:after="0"/>
        <w:rPr>
          <w:sz w:val="20"/>
          <w:szCs w:val="20"/>
          <w:color w:val="auto"/>
        </w:rPr>
      </w:pPr>
      <w:r>
        <w:rPr>
          <w:rFonts w:ascii="Arial" w:cs="Arial" w:eastAsia="Arial" w:hAnsi="Arial"/>
          <w:sz w:val="20"/>
          <w:szCs w:val="20"/>
          <w:color w:val="0F0F0F"/>
        </w:rPr>
        <w:t>then the Termination Benefits shall be reduced to the Non-Triggering Amount. The determination of whether such a</w:t>
      </w:r>
    </w:p>
    <w:p>
      <w:pPr>
        <w:spacing w:after="0" w:line="4" w:lineRule="exact"/>
        <w:rPr>
          <w:sz w:val="20"/>
          <w:szCs w:val="20"/>
          <w:color w:val="auto"/>
        </w:rPr>
      </w:pPr>
    </w:p>
    <w:p>
      <w:pPr>
        <w:ind w:left="23" w:right="860"/>
        <w:spacing w:after="0" w:line="219" w:lineRule="auto"/>
        <w:rPr>
          <w:sz w:val="20"/>
          <w:szCs w:val="20"/>
          <w:color w:val="auto"/>
        </w:rPr>
      </w:pPr>
      <w:r>
        <w:rPr>
          <w:rFonts w:ascii="Arial" w:cs="Arial" w:eastAsia="Arial" w:hAnsi="Arial"/>
          <w:sz w:val="21"/>
          <w:szCs w:val="21"/>
          <w:color w:val="0F0F0F"/>
        </w:rPr>
        <w:t xml:space="preserve">reduction is required will be made at the expense of the Company by the Company's independent accountants or benefits consultant. </w:t>
      </w:r>
      <w:r>
        <w:rPr>
          <w:rFonts w:ascii="Arial" w:cs="Arial" w:eastAsia="Arial" w:hAnsi="Arial"/>
          <w:sz w:val="22"/>
          <w:szCs w:val="22"/>
          <w:color w:val="0F0F0F"/>
        </w:rPr>
        <w:t>If</w:t>
      </w:r>
      <w:r>
        <w:rPr>
          <w:rFonts w:ascii="Arial" w:cs="Arial" w:eastAsia="Arial" w:hAnsi="Arial"/>
          <w:sz w:val="21"/>
          <w:szCs w:val="21"/>
          <w:color w:val="0F0F0F"/>
        </w:rPr>
        <w:t xml:space="preserve"> a reduction is</w:t>
      </w:r>
    </w:p>
    <w:p>
      <w:pPr>
        <w:sectPr>
          <w:pgSz w:w="11900" w:h="16838" w:orient="portrait"/>
          <w:cols w:equalWidth="0" w:num="1">
            <w:col w:w="10883"/>
          </w:cols>
          <w:pgMar w:left="457" w:top="1440" w:right="559" w:bottom="1440" w:gutter="0" w:footer="0" w:header="0"/>
        </w:sectPr>
      </w:pPr>
    </w:p>
    <w:bookmarkStart w:id="106" w:name="page107"/>
    <w:bookmarkEnd w:id="106"/>
    <w:p>
      <w:pPr>
        <w:spacing w:after="0" w:line="64" w:lineRule="exact"/>
        <w:rPr>
          <w:sz w:val="20"/>
          <w:szCs w:val="20"/>
          <w:color w:val="auto"/>
        </w:rPr>
      </w:pPr>
    </w:p>
    <w:p>
      <w:pPr>
        <w:ind w:hanging="2"/>
        <w:spacing w:after="0" w:line="264" w:lineRule="auto"/>
        <w:rPr>
          <w:sz w:val="20"/>
          <w:szCs w:val="20"/>
          <w:color w:val="auto"/>
        </w:rPr>
      </w:pPr>
      <w:r>
        <w:rPr>
          <w:rFonts w:ascii="Arial" w:cs="Arial" w:eastAsia="Arial" w:hAnsi="Arial"/>
          <w:sz w:val="21"/>
          <w:szCs w:val="21"/>
          <w:color w:val="0F0F0F"/>
        </w:rPr>
        <w:t>required, the Company shall determine how the reduction among the Termination Benefits shall be allocated until the reduction is fully accomplished.</w:t>
      </w:r>
    </w:p>
    <w:p>
      <w:pPr>
        <w:sectPr>
          <w:pgSz w:w="11900" w:h="16838" w:orient="portrait"/>
          <w:cols w:equalWidth="0" w:num="1">
            <w:col w:w="10740"/>
          </w:cols>
          <w:pgMar w:left="460" w:top="1440" w:right="699" w:bottom="1440" w:gutter="0" w:footer="0" w:header="0"/>
        </w:sectPr>
      </w:pPr>
    </w:p>
    <w:bookmarkStart w:id="107" w:name="page108"/>
    <w:bookmarkEnd w:id="107"/>
    <w:tbl>
      <w:tblPr>
        <w:tblLayout w:type="fixed"/>
        <w:tblInd w:w="620" w:type="dxa"/>
        <w:tblCellMar>
          <w:top w:w="0" w:type="dxa"/>
          <w:left w:w="0" w:type="dxa"/>
          <w:bottom w:w="0" w:type="dxa"/>
          <w:right w:w="0" w:type="dxa"/>
        </w:tblCellMar>
      </w:tblPr>
      <w:tr>
        <w:trPr>
          <w:trHeight w:val="241"/>
        </w:trPr>
        <w:tc>
          <w:tcPr>
            <w:tcW w:w="380" w:type="dxa"/>
            <w:vAlign w:val="bottom"/>
            <w:vMerge w:val="restart"/>
          </w:tcPr>
          <w:p>
            <w:pPr>
              <w:spacing w:after="0"/>
              <w:rPr>
                <w:sz w:val="20"/>
                <w:szCs w:val="20"/>
                <w:color w:val="auto"/>
              </w:rPr>
            </w:pPr>
            <w:r>
              <w:rPr>
                <w:rFonts w:ascii="Arial" w:cs="Arial" w:eastAsia="Arial" w:hAnsi="Arial"/>
                <w:sz w:val="21"/>
                <w:szCs w:val="21"/>
                <w:color w:val="0F0F0F"/>
              </w:rPr>
              <w:t>(c)</w:t>
            </w:r>
          </w:p>
        </w:tc>
        <w:tc>
          <w:tcPr>
            <w:tcW w:w="2780" w:type="dxa"/>
            <w:vAlign w:val="bottom"/>
            <w:vMerge w:val="restart"/>
          </w:tcPr>
          <w:p>
            <w:pPr>
              <w:ind w:left="140"/>
              <w:spacing w:after="0"/>
              <w:rPr>
                <w:sz w:val="20"/>
                <w:szCs w:val="20"/>
                <w:color w:val="auto"/>
              </w:rPr>
            </w:pPr>
            <w:r>
              <w:rPr>
                <w:rFonts w:ascii="Arial" w:cs="Arial" w:eastAsia="Arial" w:hAnsi="Arial"/>
                <w:sz w:val="21"/>
                <w:szCs w:val="21"/>
                <w:color w:val="0F0F0F"/>
              </w:rPr>
              <w:t>approach.</w:t>
            </w:r>
          </w:p>
        </w:tc>
        <w:tc>
          <w:tcPr>
            <w:tcW w:w="6960" w:type="dxa"/>
            <w:vAlign w:val="bottom"/>
          </w:tcPr>
          <w:p>
            <w:pPr>
              <w:ind w:left="1860"/>
              <w:spacing w:after="0"/>
              <w:rPr>
                <w:sz w:val="20"/>
                <w:szCs w:val="20"/>
                <w:color w:val="auto"/>
              </w:rPr>
            </w:pPr>
            <w:r>
              <w:rPr>
                <w:rFonts w:ascii="Arial" w:cs="Arial" w:eastAsia="Arial" w:hAnsi="Arial"/>
                <w:sz w:val="21"/>
                <w:szCs w:val="21"/>
                <w:color w:val="0F0F0F"/>
                <w:w w:val="91"/>
              </w:rPr>
              <w:t>This provision is intended to follow the "best of net" or "best-</w:t>
            </w:r>
          </w:p>
        </w:tc>
        <w:tc>
          <w:tcPr>
            <w:tcW w:w="0" w:type="dxa"/>
            <w:vAlign w:val="bottom"/>
          </w:tcPr>
          <w:p>
            <w:pPr>
              <w:spacing w:after="0"/>
              <w:rPr>
                <w:sz w:val="1"/>
                <w:szCs w:val="1"/>
                <w:color w:val="auto"/>
              </w:rPr>
            </w:pPr>
          </w:p>
        </w:tc>
      </w:tr>
      <w:tr>
        <w:trPr>
          <w:trHeight w:val="156"/>
        </w:trPr>
        <w:tc>
          <w:tcPr>
            <w:tcW w:w="380" w:type="dxa"/>
            <w:vAlign w:val="bottom"/>
            <w:vMerge w:val="continue"/>
          </w:tcPr>
          <w:p>
            <w:pPr>
              <w:spacing w:after="0"/>
              <w:rPr>
                <w:sz w:val="13"/>
                <w:szCs w:val="13"/>
                <w:color w:val="auto"/>
              </w:rPr>
            </w:pPr>
          </w:p>
        </w:tc>
        <w:tc>
          <w:tcPr>
            <w:tcW w:w="2780" w:type="dxa"/>
            <w:vAlign w:val="bottom"/>
            <w:vMerge w:val="continue"/>
          </w:tcPr>
          <w:p>
            <w:pPr>
              <w:spacing w:after="0"/>
              <w:rPr>
                <w:sz w:val="13"/>
                <w:szCs w:val="13"/>
                <w:color w:val="auto"/>
              </w:rPr>
            </w:pPr>
          </w:p>
        </w:tc>
        <w:tc>
          <w:tcPr>
            <w:tcW w:w="6960" w:type="dxa"/>
            <w:vAlign w:val="bottom"/>
            <w:vMerge w:val="restart"/>
          </w:tcPr>
          <w:p>
            <w:pPr>
              <w:ind w:left="1860"/>
              <w:spacing w:after="0"/>
              <w:rPr>
                <w:sz w:val="20"/>
                <w:szCs w:val="20"/>
                <w:color w:val="auto"/>
              </w:rPr>
            </w:pPr>
            <w:r>
              <w:rPr>
                <w:rFonts w:ascii="Arial" w:cs="Arial" w:eastAsia="Arial" w:hAnsi="Arial"/>
                <w:sz w:val="21"/>
                <w:szCs w:val="21"/>
                <w:color w:val="0F0F0F"/>
              </w:rPr>
              <w:t>net cutback"</w:t>
            </w:r>
          </w:p>
        </w:tc>
        <w:tc>
          <w:tcPr>
            <w:tcW w:w="0" w:type="dxa"/>
            <w:vAlign w:val="bottom"/>
          </w:tcPr>
          <w:p>
            <w:pPr>
              <w:spacing w:after="0"/>
              <w:rPr>
                <w:sz w:val="1"/>
                <w:szCs w:val="1"/>
                <w:color w:val="auto"/>
              </w:rPr>
            </w:pPr>
          </w:p>
        </w:tc>
      </w:tr>
      <w:tr>
        <w:trPr>
          <w:trHeight w:val="108"/>
        </w:trPr>
        <w:tc>
          <w:tcPr>
            <w:tcW w:w="3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6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 w:right="180" w:firstLine="642"/>
        <w:spacing w:after="0" w:line="273" w:lineRule="auto"/>
        <w:tabs>
          <w:tab w:leader="none" w:pos="1144" w:val="left"/>
        </w:tabs>
        <w:numPr>
          <w:ilvl w:val="0"/>
          <w:numId w:val="52"/>
        </w:numPr>
        <w:rPr>
          <w:rFonts w:ascii="Arial" w:cs="Arial" w:eastAsia="Arial" w:hAnsi="Arial"/>
          <w:sz w:val="20"/>
          <w:szCs w:val="20"/>
          <w:color w:val="0F0F0F"/>
        </w:rPr>
      </w:pPr>
      <w:r>
        <w:rPr>
          <w:rFonts w:ascii="Arial" w:cs="Arial" w:eastAsia="Arial" w:hAnsi="Arial"/>
          <w:sz w:val="20"/>
          <w:szCs w:val="20"/>
          <w:u w:val="single" w:color="auto"/>
          <w:color w:val="0F0F0F"/>
        </w:rPr>
        <w:t>Notices.</w:t>
      </w:r>
      <w:r>
        <w:rPr>
          <w:rFonts w:ascii="Arial" w:cs="Arial" w:eastAsia="Arial" w:hAnsi="Arial"/>
          <w:sz w:val="20"/>
          <w:szCs w:val="20"/>
          <w:color w:val="0F0F0F"/>
        </w:rPr>
        <w:t xml:space="preserve"> All notices under this Agreement shall be in writing and shall be deemed effective when delivered in person to Employee or to the Secretary of Company and Parent, or if mailed, postage prepaid, registered or certified mail, addressed</w:t>
      </w:r>
      <w:r>
        <w:rPr>
          <w:rFonts w:ascii="Arial" w:cs="Arial" w:eastAsia="Arial" w:hAnsi="Arial"/>
          <w:sz w:val="20"/>
          <w:szCs w:val="20"/>
          <w:color w:val="6B6B6B"/>
        </w:rPr>
        <w:t>·</w:t>
      </w:r>
      <w:r>
        <w:rPr>
          <w:rFonts w:ascii="Arial" w:cs="Arial" w:eastAsia="Arial" w:hAnsi="Arial"/>
          <w:sz w:val="20"/>
          <w:szCs w:val="20"/>
          <w:color w:val="0F0F0F"/>
        </w:rPr>
        <w:t>, in the case of Employee, to Employee's last known address as carried on the personnel records of Company, and, in the case of Company arid Parent, to the corporate headquarters, attention of the Secretary, or to such other address as the party to be notified may specify by notice to the other party.</w:t>
      </w:r>
    </w:p>
    <w:p>
      <w:pPr>
        <w:spacing w:after="0" w:line="190" w:lineRule="exact"/>
        <w:rPr>
          <w:rFonts w:ascii="Arial" w:cs="Arial" w:eastAsia="Arial" w:hAnsi="Arial"/>
          <w:sz w:val="20"/>
          <w:szCs w:val="20"/>
          <w:color w:val="0F0F0F"/>
        </w:rPr>
      </w:pPr>
    </w:p>
    <w:p>
      <w:pPr>
        <w:ind w:left="1260" w:hanging="639"/>
        <w:spacing w:after="0"/>
        <w:tabs>
          <w:tab w:leader="none" w:pos="1260" w:val="left"/>
        </w:tabs>
        <w:numPr>
          <w:ilvl w:val="0"/>
          <w:numId w:val="52"/>
        </w:numPr>
        <w:rPr>
          <w:rFonts w:ascii="Arial" w:cs="Arial" w:eastAsia="Arial" w:hAnsi="Arial"/>
          <w:sz w:val="21"/>
          <w:szCs w:val="21"/>
          <w:color w:val="0F0F0F"/>
        </w:rPr>
      </w:pPr>
      <w:r>
        <w:rPr>
          <w:rFonts w:ascii="Arial" w:cs="Arial" w:eastAsia="Arial" w:hAnsi="Arial"/>
          <w:sz w:val="21"/>
          <w:szCs w:val="21"/>
          <w:u w:val="single" w:color="auto"/>
          <w:color w:val="0F0F0F"/>
        </w:rPr>
        <w:t>Successors and Binding Agreement.</w:t>
      </w:r>
    </w:p>
    <w:p>
      <w:pPr>
        <w:spacing w:after="0" w:line="231" w:lineRule="exact"/>
        <w:rPr>
          <w:rFonts w:ascii="Arial" w:cs="Arial" w:eastAsia="Arial" w:hAnsi="Arial"/>
          <w:sz w:val="21"/>
          <w:szCs w:val="21"/>
          <w:color w:val="0F0F0F"/>
        </w:rPr>
      </w:pPr>
    </w:p>
    <w:p>
      <w:pPr>
        <w:ind w:left="-20" w:right="60" w:firstLine="1289"/>
        <w:spacing w:after="0" w:line="280" w:lineRule="auto"/>
        <w:tabs>
          <w:tab w:leader="none" w:pos="1789" w:val="left"/>
        </w:tabs>
        <w:numPr>
          <w:ilvl w:val="2"/>
          <w:numId w:val="52"/>
        </w:numPr>
        <w:rPr>
          <w:rFonts w:ascii="Arial" w:cs="Arial" w:eastAsia="Arial" w:hAnsi="Arial"/>
          <w:sz w:val="19"/>
          <w:szCs w:val="19"/>
          <w:color w:val="0F0F0F"/>
        </w:rPr>
      </w:pPr>
      <w:r>
        <w:rPr>
          <w:rFonts w:ascii="Arial" w:cs="Arial" w:eastAsia="Arial" w:hAnsi="Arial"/>
          <w:sz w:val="19"/>
          <w:szCs w:val="19"/>
          <w:color w:val="0F0F0F"/>
        </w:rPr>
        <w:t>Company and Parent will require any successor, whether direct or indirect, by purchase, merger, consolidation or otherwise to all or substantially all of the business and/or assets of Company and/or Parent, as the case may be, expressly to assume and agree to perform this Agreement in the same manner and to the same extent that Company and Parent are required to perform it. Failure of Company and Parent to obtain such assumption and agreement prior to the effectiveness of any such succession shall be a breach of this Agreement. As used in this Agreement, "Company" and "Parent'' shall include any successor to Company's and/or Parent's, as the case may be, business and/or assets as aforesaid which assumes and agrees to perform this Agreement by operation of law, or otherwise.</w:t>
      </w:r>
    </w:p>
    <w:p>
      <w:pPr>
        <w:spacing w:after="0" w:line="200" w:lineRule="exact"/>
        <w:rPr>
          <w:rFonts w:ascii="Arial" w:cs="Arial" w:eastAsia="Arial" w:hAnsi="Arial"/>
          <w:sz w:val="19"/>
          <w:szCs w:val="19"/>
          <w:color w:val="0F0F0F"/>
        </w:rPr>
      </w:pPr>
    </w:p>
    <w:p>
      <w:pPr>
        <w:ind w:left="-20" w:right="620" w:firstLine="1294"/>
        <w:spacing w:after="0" w:line="293" w:lineRule="auto"/>
        <w:tabs>
          <w:tab w:leader="none" w:pos="1788" w:val="left"/>
        </w:tabs>
        <w:numPr>
          <w:ilvl w:val="2"/>
          <w:numId w:val="52"/>
        </w:numPr>
        <w:rPr>
          <w:rFonts w:ascii="Arial" w:cs="Arial" w:eastAsia="Arial" w:hAnsi="Arial"/>
          <w:sz w:val="19"/>
          <w:szCs w:val="19"/>
          <w:color w:val="0F0F0F"/>
        </w:rPr>
      </w:pPr>
      <w:r>
        <w:rPr>
          <w:rFonts w:ascii="Arial" w:cs="Arial" w:eastAsia="Arial" w:hAnsi="Arial"/>
          <w:sz w:val="19"/>
          <w:szCs w:val="19"/>
          <w:color w:val="0F0F0F"/>
        </w:rPr>
        <w:t>This Agreement shall inure to the benefit of, and be enforceable by, Employee's personal or legal representatives, executors, administrators, successors, heirs, distributees, devisees and legatees. If Employee dies while any amount is still payable hereunder, all such amounts shall be paid in accordance with the terms of this Agreement to Employee's devisee, legatee or other designee or, if there is no such designee, to Employee's estate.</w:t>
      </w:r>
    </w:p>
    <w:p>
      <w:pPr>
        <w:spacing w:after="0" w:line="188" w:lineRule="exact"/>
        <w:rPr>
          <w:rFonts w:ascii="Arial" w:cs="Arial" w:eastAsia="Arial" w:hAnsi="Arial"/>
          <w:sz w:val="19"/>
          <w:szCs w:val="19"/>
          <w:color w:val="0F0F0F"/>
        </w:rPr>
      </w:pPr>
    </w:p>
    <w:p>
      <w:pPr>
        <w:ind w:left="-20" w:firstLine="650"/>
        <w:spacing w:after="0" w:line="258" w:lineRule="auto"/>
        <w:tabs>
          <w:tab w:leader="none" w:pos="1131" w:val="left"/>
        </w:tabs>
        <w:numPr>
          <w:ilvl w:val="1"/>
          <w:numId w:val="52"/>
        </w:numPr>
        <w:rPr>
          <w:rFonts w:ascii="Arial" w:cs="Arial" w:eastAsia="Arial" w:hAnsi="Arial"/>
          <w:sz w:val="21"/>
          <w:szCs w:val="21"/>
          <w:color w:val="0F0F0F"/>
        </w:rPr>
      </w:pPr>
      <w:r>
        <w:rPr>
          <w:rFonts w:ascii="Arial" w:cs="Arial" w:eastAsia="Arial" w:hAnsi="Arial"/>
          <w:sz w:val="21"/>
          <w:szCs w:val="21"/>
          <w:u w:val="single" w:color="auto"/>
          <w:color w:val="0F0F0F"/>
        </w:rPr>
        <w:t>Arbitration.</w:t>
      </w:r>
      <w:r>
        <w:rPr>
          <w:rFonts w:ascii="Arial" w:cs="Arial" w:eastAsia="Arial" w:hAnsi="Arial"/>
          <w:sz w:val="21"/>
          <w:szCs w:val="21"/>
          <w:color w:val="0F0F0F"/>
        </w:rPr>
        <w:t xml:space="preserve"> Any dispute which may arise between the parties hereto may, if both parties agree, be submitted to binding arbitration in the State of Connecticut in accordance with the Rules of the American Arbitration Association; provided that any such dispute shall first be submitted to Company's Board of Directors in an effort to resolve such dispute without resort to arbitration.</w:t>
      </w:r>
    </w:p>
    <w:p>
      <w:pPr>
        <w:spacing w:after="0" w:line="230" w:lineRule="exact"/>
        <w:rPr>
          <w:rFonts w:ascii="Arial" w:cs="Arial" w:eastAsia="Arial" w:hAnsi="Arial"/>
          <w:sz w:val="21"/>
          <w:szCs w:val="21"/>
          <w:color w:val="0F0F0F"/>
        </w:rPr>
      </w:pPr>
    </w:p>
    <w:p>
      <w:pPr>
        <w:ind w:left="-20" w:right="280" w:firstLine="654"/>
        <w:spacing w:after="0" w:line="299" w:lineRule="auto"/>
        <w:tabs>
          <w:tab w:leader="none" w:pos="1130" w:val="left"/>
        </w:tabs>
        <w:numPr>
          <w:ilvl w:val="1"/>
          <w:numId w:val="52"/>
        </w:numPr>
        <w:rPr>
          <w:rFonts w:ascii="Arial" w:cs="Arial" w:eastAsia="Arial" w:hAnsi="Arial"/>
          <w:sz w:val="19"/>
          <w:szCs w:val="19"/>
          <w:color w:val="0F0F0F"/>
        </w:rPr>
      </w:pPr>
      <w:r>
        <w:rPr>
          <w:rFonts w:ascii="Arial" w:cs="Arial" w:eastAsia="Arial" w:hAnsi="Arial"/>
          <w:sz w:val="19"/>
          <w:szCs w:val="19"/>
          <w:u w:val="single" w:color="auto"/>
          <w:color w:val="0F0F0F"/>
        </w:rPr>
        <w:t>Severability.</w:t>
      </w:r>
      <w:r>
        <w:rPr>
          <w:rFonts w:ascii="Arial" w:cs="Arial" w:eastAsia="Arial" w:hAnsi="Arial"/>
          <w:sz w:val="19"/>
          <w:szCs w:val="19"/>
          <w:color w:val="0F0F0F"/>
        </w:rPr>
        <w:t xml:space="preserve"> If any of the terms or conditions of this Agreement shall be declared void or unenforceable by any court or administrative body of competent jurisdiction, such term or condition shall be deemed severable from the remainder of this Agreement, and the other terms and conditions of this Agreement shall continue to be valid and enforceable.</w:t>
      </w:r>
    </w:p>
    <w:p>
      <w:pPr>
        <w:spacing w:after="0" w:line="182" w:lineRule="exact"/>
        <w:rPr>
          <w:rFonts w:ascii="Arial" w:cs="Arial" w:eastAsia="Arial" w:hAnsi="Arial"/>
          <w:sz w:val="19"/>
          <w:szCs w:val="19"/>
          <w:color w:val="0F0F0F"/>
        </w:rPr>
      </w:pPr>
    </w:p>
    <w:p>
      <w:pPr>
        <w:ind w:left="1140" w:hanging="501"/>
        <w:spacing w:after="0"/>
        <w:tabs>
          <w:tab w:leader="none" w:pos="1140" w:val="left"/>
        </w:tabs>
        <w:numPr>
          <w:ilvl w:val="1"/>
          <w:numId w:val="52"/>
        </w:numPr>
        <w:rPr>
          <w:rFonts w:ascii="Arial" w:cs="Arial" w:eastAsia="Arial" w:hAnsi="Arial"/>
          <w:sz w:val="21"/>
          <w:szCs w:val="21"/>
          <w:color w:val="0F0F0F"/>
        </w:rPr>
      </w:pPr>
      <w:r>
        <w:rPr>
          <w:rFonts w:ascii="Arial" w:cs="Arial" w:eastAsia="Arial" w:hAnsi="Arial"/>
          <w:sz w:val="21"/>
          <w:szCs w:val="21"/>
          <w:u w:val="single" w:color="auto"/>
          <w:color w:val="0F0F0F"/>
        </w:rPr>
        <w:t>Amendment.</w:t>
      </w:r>
      <w:r>
        <w:rPr>
          <w:rFonts w:ascii="Arial" w:cs="Arial" w:eastAsia="Arial" w:hAnsi="Arial"/>
          <w:sz w:val="21"/>
          <w:szCs w:val="21"/>
          <w:color w:val="0F0F0F"/>
        </w:rPr>
        <w:t xml:space="preserve"> This Agreement may be modified or amended only by an instrument in writing executed by</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0F0F0F"/>
        </w:rPr>
        <w:t>the parties hereto.</w:t>
      </w:r>
    </w:p>
    <w:p>
      <w:pPr>
        <w:sectPr>
          <w:pgSz w:w="11900" w:h="16838" w:orient="portrait"/>
          <w:cols w:equalWidth="0" w:num="1">
            <w:col w:w="10820"/>
          </w:cols>
          <w:pgMar w:left="480" w:top="1356" w:right="599" w:bottom="1440" w:gutter="0" w:footer="0" w:header="0"/>
        </w:sectPr>
      </w:pPr>
    </w:p>
    <w:bookmarkStart w:id="108" w:name="page109"/>
    <w:bookmarkEnd w:id="108"/>
    <w:p>
      <w:pPr>
        <w:spacing w:after="0" w:line="77" w:lineRule="exact"/>
        <w:rPr>
          <w:sz w:val="20"/>
          <w:szCs w:val="20"/>
          <w:color w:val="auto"/>
        </w:rPr>
      </w:pPr>
    </w:p>
    <w:p>
      <w:pPr>
        <w:ind w:left="-320" w:right="60" w:firstLine="657"/>
        <w:spacing w:after="0" w:line="319" w:lineRule="auto"/>
        <w:tabs>
          <w:tab w:leader="none" w:pos="848" w:val="left"/>
        </w:tabs>
        <w:numPr>
          <w:ilvl w:val="0"/>
          <w:numId w:val="53"/>
        </w:numPr>
        <w:rPr>
          <w:rFonts w:ascii="Arial" w:cs="Arial" w:eastAsia="Arial" w:hAnsi="Arial"/>
          <w:sz w:val="18"/>
          <w:szCs w:val="18"/>
          <w:color w:val="0E0E0E"/>
        </w:rPr>
      </w:pPr>
      <w:r>
        <w:rPr>
          <w:rFonts w:ascii="Arial" w:cs="Arial" w:eastAsia="Arial" w:hAnsi="Arial"/>
          <w:sz w:val="18"/>
          <w:szCs w:val="18"/>
          <w:u w:val="single" w:color="auto"/>
          <w:color w:val="0E0E0E"/>
        </w:rPr>
        <w:t>Construction.</w:t>
      </w:r>
      <w:r>
        <w:rPr>
          <w:rFonts w:ascii="Arial" w:cs="Arial" w:eastAsia="Arial" w:hAnsi="Arial"/>
          <w:sz w:val="18"/>
          <w:szCs w:val="18"/>
          <w:color w:val="0E0E0E"/>
        </w:rPr>
        <w:t xml:space="preserve"> This Agreement shall supersede and replace all prior agreements and understandings between the parties hereto on the subject matter covered hereby. This Agreement shall be governed and construed under the laws of the State of Connecticut. Words of the masculine gender mean and include correlative words of the feminine gender. Paragraph headings are for convenience only and shall not be considered a part of the terms and provisions of the Agreement.</w:t>
      </w:r>
    </w:p>
    <w:p>
      <w:pPr>
        <w:spacing w:after="0" w:line="168" w:lineRule="exact"/>
        <w:rPr>
          <w:rFonts w:ascii="Arial" w:cs="Arial" w:eastAsia="Arial" w:hAnsi="Arial"/>
          <w:sz w:val="18"/>
          <w:szCs w:val="18"/>
          <w:color w:val="0E0E0E"/>
        </w:rPr>
      </w:pPr>
    </w:p>
    <w:p>
      <w:pPr>
        <w:ind w:left="-300" w:right="680" w:firstLine="639"/>
        <w:spacing w:after="0" w:line="303" w:lineRule="auto"/>
        <w:tabs>
          <w:tab w:leader="none" w:pos="863" w:val="left"/>
        </w:tabs>
        <w:numPr>
          <w:ilvl w:val="0"/>
          <w:numId w:val="53"/>
        </w:numPr>
        <w:rPr>
          <w:rFonts w:ascii="Arial" w:cs="Arial" w:eastAsia="Arial" w:hAnsi="Arial"/>
          <w:sz w:val="20"/>
          <w:szCs w:val="20"/>
          <w:color w:val="0E0E0E"/>
        </w:rPr>
      </w:pPr>
      <w:r>
        <w:rPr>
          <w:rFonts w:ascii="Arial" w:cs="Arial" w:eastAsia="Arial" w:hAnsi="Arial"/>
          <w:sz w:val="20"/>
          <w:szCs w:val="20"/>
          <w:u w:val="single" w:color="auto"/>
          <w:color w:val="0E0E0E"/>
        </w:rPr>
        <w:t>Deferred Compensation.</w:t>
      </w:r>
      <w:r>
        <w:rPr>
          <w:rFonts w:ascii="Arial" w:cs="Arial" w:eastAsia="Arial" w:hAnsi="Arial"/>
          <w:sz w:val="20"/>
          <w:szCs w:val="20"/>
          <w:color w:val="0E0E0E"/>
        </w:rPr>
        <w:t xml:space="preserve"> This Agreement has been prepared with reference to Section 409A of the Internal Revenue Code and shall be interpreted and administered in a manner consistent with Section 409A.</w:t>
      </w:r>
    </w:p>
    <w:p>
      <w:pPr>
        <w:spacing w:after="0" w:line="161" w:lineRule="exact"/>
        <w:rPr>
          <w:rFonts w:ascii="Arial" w:cs="Arial" w:eastAsia="Arial" w:hAnsi="Arial"/>
          <w:sz w:val="20"/>
          <w:szCs w:val="20"/>
          <w:color w:val="0E0E0E"/>
        </w:rPr>
      </w:pPr>
    </w:p>
    <w:p>
      <w:pPr>
        <w:ind w:left="-300" w:firstLine="645"/>
        <w:spacing w:after="0" w:line="257" w:lineRule="auto"/>
        <w:tabs>
          <w:tab w:leader="none" w:pos="867" w:val="left"/>
        </w:tabs>
        <w:numPr>
          <w:ilvl w:val="0"/>
          <w:numId w:val="53"/>
        </w:numPr>
        <w:rPr>
          <w:rFonts w:ascii="Arial" w:cs="Arial" w:eastAsia="Arial" w:hAnsi="Arial"/>
          <w:sz w:val="21"/>
          <w:szCs w:val="21"/>
          <w:color w:val="0E0E0E"/>
        </w:rPr>
      </w:pPr>
      <w:r>
        <w:rPr>
          <w:rFonts w:ascii="Arial" w:cs="Arial" w:eastAsia="Arial" w:hAnsi="Arial"/>
          <w:sz w:val="21"/>
          <w:szCs w:val="21"/>
          <w:u w:val="single" w:color="auto"/>
          <w:color w:val="0E0E0E"/>
        </w:rPr>
        <w:t>Assignment Prohibited.</w:t>
      </w:r>
      <w:r>
        <w:rPr>
          <w:rFonts w:ascii="Arial" w:cs="Arial" w:eastAsia="Arial" w:hAnsi="Arial"/>
          <w:sz w:val="21"/>
          <w:szCs w:val="21"/>
          <w:color w:val="0E0E0E"/>
        </w:rPr>
        <w:t xml:space="preserve"> Benefits hereunder shall not be subject in any manner to anticipation, alienation, sale, transfer, assignment, pledge, encumbrance, attachment or garnishment by creditors of the Employee, the Employee's beneficiary, or estate, and any attempt to anticipate, alienate, transfer, assign or attach the same shall be void. The Employee, the Employee's beneficiary or estate shall only have a contractual right to benefits hereunder and shall have the status of general unsecured creditors.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9"/>
          <w:szCs w:val="29"/>
          <w:color w:val="0E0E0E"/>
        </w:rPr>
        <w:t>******</w:t>
      </w:r>
    </w:p>
    <w:p>
      <w:pPr>
        <w:sectPr>
          <w:pgSz w:w="11900" w:h="16838" w:orient="portrait"/>
          <w:cols w:equalWidth="0" w:num="1">
            <w:col w:w="10360"/>
          </w:cols>
          <w:pgMar w:left="760" w:top="1440" w:right="779" w:bottom="1440" w:gutter="0" w:footer="0" w:header="0"/>
        </w:sectPr>
      </w:pPr>
    </w:p>
    <w:bookmarkStart w:id="109" w:name="page110"/>
    <w:bookmarkEnd w:id="109"/>
    <w:p>
      <w:pPr>
        <w:spacing w:after="0" w:line="4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0E0E0E"/>
        </w:rPr>
        <w:t>IN WITNESS WHEREOF, Company and Parent have caused this Agreement to be executed by an authorized officer, and Employee has hereunto set Employee's hand.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5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680" w:type="dxa"/>
            <w:vAlign w:val="bottom"/>
            <w:gridSpan w:val="2"/>
          </w:tcPr>
          <w:p>
            <w:pPr>
              <w:ind w:left="60"/>
              <w:spacing w:after="0"/>
              <w:rPr>
                <w:sz w:val="20"/>
                <w:szCs w:val="20"/>
                <w:color w:val="auto"/>
              </w:rPr>
            </w:pPr>
            <w:r>
              <w:rPr>
                <w:rFonts w:ascii="Arial" w:cs="Arial" w:eastAsia="Arial" w:hAnsi="Arial"/>
                <w:sz w:val="22"/>
                <w:szCs w:val="22"/>
                <w:color w:val="0E0E0E"/>
              </w:rPr>
              <w:t>The Connecticut Water Company</w:t>
            </w:r>
          </w:p>
        </w:tc>
        <w:tc>
          <w:tcPr>
            <w:tcW w:w="0" w:type="dxa"/>
            <w:vAlign w:val="bottom"/>
          </w:tcPr>
          <w:p>
            <w:pPr>
              <w:spacing w:after="0"/>
              <w:rPr>
                <w:sz w:val="1"/>
                <w:szCs w:val="1"/>
                <w:color w:val="auto"/>
              </w:rPr>
            </w:pPr>
          </w:p>
        </w:tc>
      </w:tr>
      <w:tr>
        <w:trPr>
          <w:trHeight w:val="418"/>
        </w:trPr>
        <w:tc>
          <w:tcPr>
            <w:tcW w:w="1500" w:type="dxa"/>
            <w:vAlign w:val="bottom"/>
          </w:tcPr>
          <w:p>
            <w:pPr>
              <w:ind w:left="80"/>
              <w:spacing w:after="0"/>
              <w:rPr>
                <w:sz w:val="20"/>
                <w:szCs w:val="20"/>
                <w:color w:val="auto"/>
              </w:rPr>
            </w:pPr>
            <w:r>
              <w:rPr>
                <w:rFonts w:ascii="Arial" w:cs="Arial" w:eastAsia="Arial" w:hAnsi="Arial"/>
                <w:sz w:val="22"/>
                <w:szCs w:val="22"/>
                <w:color w:val="auto"/>
              </w:rPr>
              <w:t>April 1, 2014</w:t>
            </w:r>
          </w:p>
        </w:tc>
        <w:tc>
          <w:tcPr>
            <w:tcW w:w="2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ind w:left="60"/>
              <w:spacing w:after="0"/>
              <w:rPr>
                <w:sz w:val="20"/>
                <w:szCs w:val="20"/>
                <w:color w:val="auto"/>
              </w:rPr>
            </w:pPr>
            <w:r>
              <w:rPr>
                <w:rFonts w:ascii="Arial" w:cs="Arial" w:eastAsia="Arial" w:hAnsi="Arial"/>
                <w:sz w:val="22"/>
                <w:szCs w:val="22"/>
                <w:color w:val="auto"/>
              </w:rPr>
              <w:t>By</w:t>
            </w:r>
          </w:p>
        </w:tc>
        <w:tc>
          <w:tcPr>
            <w:tcW w:w="4800" w:type="dxa"/>
            <w:vAlign w:val="bottom"/>
          </w:tcPr>
          <w:p>
            <w:pPr>
              <w:ind w:left="60"/>
              <w:spacing w:after="0"/>
              <w:rPr>
                <w:sz w:val="20"/>
                <w:szCs w:val="20"/>
                <w:color w:val="auto"/>
              </w:rPr>
            </w:pPr>
            <w:r>
              <w:rPr>
                <w:rFonts w:ascii="Arial" w:cs="Arial" w:eastAsia="Arial" w:hAnsi="Arial"/>
                <w:sz w:val="22"/>
                <w:szCs w:val="22"/>
                <w:color w:val="auto"/>
              </w:rPr>
              <w:t>/s/ Kristen A. Johnson</w:t>
            </w:r>
          </w:p>
        </w:tc>
        <w:tc>
          <w:tcPr>
            <w:tcW w:w="0" w:type="dxa"/>
            <w:vAlign w:val="bottom"/>
          </w:tcPr>
          <w:p>
            <w:pPr>
              <w:spacing w:after="0"/>
              <w:rPr>
                <w:sz w:val="1"/>
                <w:szCs w:val="1"/>
                <w:color w:val="auto"/>
              </w:rPr>
            </w:pPr>
          </w:p>
        </w:tc>
      </w:tr>
      <w:tr>
        <w:trPr>
          <w:trHeight w:val="58"/>
        </w:trPr>
        <w:tc>
          <w:tcPr>
            <w:tcW w:w="1500" w:type="dxa"/>
            <w:vAlign w:val="bottom"/>
            <w:tcBorders>
              <w:bottom w:val="single" w:sz="8" w:color="auto"/>
            </w:tcBorders>
          </w:tcPr>
          <w:p>
            <w:pPr>
              <w:spacing w:after="0"/>
              <w:rPr>
                <w:sz w:val="5"/>
                <w:szCs w:val="5"/>
                <w:color w:val="auto"/>
              </w:rPr>
            </w:pPr>
          </w:p>
        </w:tc>
        <w:tc>
          <w:tcPr>
            <w:tcW w:w="2500" w:type="dxa"/>
            <w:vAlign w:val="bottom"/>
            <w:tcBorders>
              <w:bottom w:val="single" w:sz="8" w:color="auto"/>
            </w:tcBorders>
          </w:tcPr>
          <w:p>
            <w:pPr>
              <w:spacing w:after="0"/>
              <w:rPr>
                <w:sz w:val="5"/>
                <w:szCs w:val="5"/>
                <w:color w:val="auto"/>
              </w:rPr>
            </w:pPr>
          </w:p>
        </w:tc>
        <w:tc>
          <w:tcPr>
            <w:tcW w:w="1680" w:type="dxa"/>
            <w:vAlign w:val="bottom"/>
            <w:gridSpan w:val="2"/>
          </w:tcPr>
          <w:p>
            <w:pPr>
              <w:spacing w:after="0"/>
              <w:rPr>
                <w:sz w:val="5"/>
                <w:szCs w:val="5"/>
                <w:color w:val="auto"/>
              </w:rPr>
            </w:pPr>
          </w:p>
        </w:tc>
        <w:tc>
          <w:tcPr>
            <w:tcW w:w="4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54"/>
        </w:trPr>
        <w:tc>
          <w:tcPr>
            <w:tcW w:w="1500" w:type="dxa"/>
            <w:vAlign w:val="bottom"/>
          </w:tcPr>
          <w:p>
            <w:pPr>
              <w:spacing w:after="0"/>
              <w:rPr>
                <w:sz w:val="24"/>
                <w:szCs w:val="24"/>
                <w:color w:val="auto"/>
              </w:rPr>
            </w:pPr>
          </w:p>
        </w:tc>
        <w:tc>
          <w:tcPr>
            <w:tcW w:w="4180" w:type="dxa"/>
            <w:vAlign w:val="bottom"/>
            <w:gridSpan w:val="3"/>
          </w:tcPr>
          <w:p>
            <w:pPr>
              <w:ind w:left="300"/>
              <w:spacing w:after="0"/>
              <w:rPr>
                <w:sz w:val="20"/>
                <w:szCs w:val="20"/>
                <w:color w:val="auto"/>
              </w:rPr>
            </w:pPr>
            <w:r>
              <w:rPr>
                <w:rFonts w:ascii="Arial" w:cs="Arial" w:eastAsia="Arial" w:hAnsi="Arial"/>
                <w:sz w:val="22"/>
                <w:szCs w:val="22"/>
                <w:color w:val="auto"/>
              </w:rPr>
              <w:t>Date</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5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80" w:type="dxa"/>
            <w:vAlign w:val="bottom"/>
            <w:gridSpan w:val="2"/>
          </w:tcPr>
          <w:p>
            <w:pPr>
              <w:ind w:left="60"/>
              <w:spacing w:after="0"/>
              <w:rPr>
                <w:sz w:val="20"/>
                <w:szCs w:val="20"/>
                <w:color w:val="auto"/>
              </w:rPr>
            </w:pPr>
            <w:r>
              <w:rPr>
                <w:rFonts w:ascii="Arial" w:cs="Arial" w:eastAsia="Arial" w:hAnsi="Arial"/>
                <w:sz w:val="22"/>
                <w:szCs w:val="22"/>
                <w:color w:val="0E0E0E"/>
              </w:rPr>
              <w:t>Connecticut Water Service, Inc.</w:t>
            </w:r>
          </w:p>
        </w:tc>
        <w:tc>
          <w:tcPr>
            <w:tcW w:w="0" w:type="dxa"/>
            <w:vAlign w:val="bottom"/>
          </w:tcPr>
          <w:p>
            <w:pPr>
              <w:spacing w:after="0"/>
              <w:rPr>
                <w:sz w:val="1"/>
                <w:szCs w:val="1"/>
                <w:color w:val="auto"/>
              </w:rPr>
            </w:pPr>
          </w:p>
        </w:tc>
      </w:tr>
      <w:tr>
        <w:trPr>
          <w:trHeight w:val="419"/>
        </w:trPr>
        <w:tc>
          <w:tcPr>
            <w:tcW w:w="1500" w:type="dxa"/>
            <w:vAlign w:val="bottom"/>
          </w:tcPr>
          <w:p>
            <w:pPr>
              <w:ind w:left="80"/>
              <w:spacing w:after="0"/>
              <w:rPr>
                <w:sz w:val="20"/>
                <w:szCs w:val="20"/>
                <w:color w:val="auto"/>
              </w:rPr>
            </w:pPr>
            <w:r>
              <w:rPr>
                <w:rFonts w:ascii="Arial" w:cs="Arial" w:eastAsia="Arial" w:hAnsi="Arial"/>
                <w:sz w:val="22"/>
                <w:szCs w:val="22"/>
                <w:color w:val="auto"/>
              </w:rPr>
              <w:t>April 1, 2014</w:t>
            </w:r>
          </w:p>
        </w:tc>
        <w:tc>
          <w:tcPr>
            <w:tcW w:w="2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ind w:left="60"/>
              <w:spacing w:after="0"/>
              <w:rPr>
                <w:sz w:val="20"/>
                <w:szCs w:val="20"/>
                <w:color w:val="auto"/>
              </w:rPr>
            </w:pPr>
            <w:r>
              <w:rPr>
                <w:rFonts w:ascii="Arial" w:cs="Arial" w:eastAsia="Arial" w:hAnsi="Arial"/>
                <w:sz w:val="22"/>
                <w:szCs w:val="22"/>
                <w:color w:val="auto"/>
              </w:rPr>
              <w:t>By</w:t>
            </w:r>
          </w:p>
        </w:tc>
        <w:tc>
          <w:tcPr>
            <w:tcW w:w="4800" w:type="dxa"/>
            <w:vAlign w:val="bottom"/>
          </w:tcPr>
          <w:p>
            <w:pPr>
              <w:ind w:left="60"/>
              <w:spacing w:after="0"/>
              <w:rPr>
                <w:sz w:val="20"/>
                <w:szCs w:val="20"/>
                <w:color w:val="auto"/>
              </w:rPr>
            </w:pPr>
            <w:r>
              <w:rPr>
                <w:rFonts w:ascii="Arial" w:cs="Arial" w:eastAsia="Arial" w:hAnsi="Arial"/>
                <w:sz w:val="22"/>
                <w:szCs w:val="22"/>
                <w:color w:val="auto"/>
              </w:rPr>
              <w:t>/s/ Kristen A. Johnson</w:t>
            </w:r>
          </w:p>
        </w:tc>
        <w:tc>
          <w:tcPr>
            <w:tcW w:w="0" w:type="dxa"/>
            <w:vAlign w:val="bottom"/>
          </w:tcPr>
          <w:p>
            <w:pPr>
              <w:spacing w:after="0"/>
              <w:rPr>
                <w:sz w:val="1"/>
                <w:szCs w:val="1"/>
                <w:color w:val="auto"/>
              </w:rPr>
            </w:pPr>
          </w:p>
        </w:tc>
      </w:tr>
      <w:tr>
        <w:trPr>
          <w:trHeight w:val="57"/>
        </w:trPr>
        <w:tc>
          <w:tcPr>
            <w:tcW w:w="1500" w:type="dxa"/>
            <w:vAlign w:val="bottom"/>
            <w:tcBorders>
              <w:bottom w:val="single" w:sz="8" w:color="auto"/>
            </w:tcBorders>
          </w:tcPr>
          <w:p>
            <w:pPr>
              <w:spacing w:after="0"/>
              <w:rPr>
                <w:sz w:val="5"/>
                <w:szCs w:val="5"/>
                <w:color w:val="auto"/>
              </w:rPr>
            </w:pPr>
          </w:p>
        </w:tc>
        <w:tc>
          <w:tcPr>
            <w:tcW w:w="2500" w:type="dxa"/>
            <w:vAlign w:val="bottom"/>
            <w:tcBorders>
              <w:bottom w:val="single" w:sz="8" w:color="auto"/>
            </w:tcBorders>
          </w:tcPr>
          <w:p>
            <w:pPr>
              <w:spacing w:after="0"/>
              <w:rPr>
                <w:sz w:val="5"/>
                <w:szCs w:val="5"/>
                <w:color w:val="auto"/>
              </w:rPr>
            </w:pPr>
          </w:p>
        </w:tc>
        <w:tc>
          <w:tcPr>
            <w:tcW w:w="1680" w:type="dxa"/>
            <w:vAlign w:val="bottom"/>
            <w:gridSpan w:val="2"/>
          </w:tcPr>
          <w:p>
            <w:pPr>
              <w:spacing w:after="0"/>
              <w:rPr>
                <w:sz w:val="5"/>
                <w:szCs w:val="5"/>
                <w:color w:val="auto"/>
              </w:rPr>
            </w:pPr>
          </w:p>
        </w:tc>
        <w:tc>
          <w:tcPr>
            <w:tcW w:w="4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1500" w:type="dxa"/>
            <w:vAlign w:val="bottom"/>
          </w:tcPr>
          <w:p>
            <w:pPr>
              <w:spacing w:after="0"/>
              <w:rPr>
                <w:sz w:val="24"/>
                <w:szCs w:val="24"/>
                <w:color w:val="auto"/>
              </w:rPr>
            </w:pPr>
          </w:p>
        </w:tc>
        <w:tc>
          <w:tcPr>
            <w:tcW w:w="4180" w:type="dxa"/>
            <w:vAlign w:val="bottom"/>
            <w:gridSpan w:val="3"/>
          </w:tcPr>
          <w:p>
            <w:pPr>
              <w:ind w:left="300"/>
              <w:spacing w:after="0"/>
              <w:rPr>
                <w:sz w:val="20"/>
                <w:szCs w:val="20"/>
                <w:color w:val="auto"/>
              </w:rPr>
            </w:pPr>
            <w:r>
              <w:rPr>
                <w:rFonts w:ascii="Arial" w:cs="Arial" w:eastAsia="Arial" w:hAnsi="Arial"/>
                <w:sz w:val="22"/>
                <w:szCs w:val="22"/>
                <w:color w:val="auto"/>
              </w:rPr>
              <w:t>Date</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5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0" w:type="dxa"/>
            <w:vAlign w:val="bottom"/>
          </w:tcPr>
          <w:p>
            <w:pPr>
              <w:ind w:left="60"/>
              <w:spacing w:after="0"/>
              <w:rPr>
                <w:sz w:val="20"/>
                <w:szCs w:val="20"/>
                <w:color w:val="auto"/>
              </w:rPr>
            </w:pPr>
            <w:r>
              <w:rPr>
                <w:rFonts w:ascii="Arial" w:cs="Arial" w:eastAsia="Arial" w:hAnsi="Arial"/>
                <w:sz w:val="22"/>
                <w:szCs w:val="22"/>
                <w:color w:val="auto"/>
              </w:rPr>
              <w:t>/s/ Craig J. Patla</w:t>
            </w:r>
          </w:p>
        </w:tc>
        <w:tc>
          <w:tcPr>
            <w:tcW w:w="0" w:type="dxa"/>
            <w:vAlign w:val="bottom"/>
          </w:tcPr>
          <w:p>
            <w:pPr>
              <w:spacing w:after="0"/>
              <w:rPr>
                <w:sz w:val="1"/>
                <w:szCs w:val="1"/>
                <w:color w:val="auto"/>
              </w:rPr>
            </w:pPr>
          </w:p>
        </w:tc>
      </w:tr>
      <w:tr>
        <w:trPr>
          <w:trHeight w:val="58"/>
        </w:trPr>
        <w:tc>
          <w:tcPr>
            <w:tcW w:w="1500" w:type="dxa"/>
            <w:vAlign w:val="bottom"/>
            <w:vMerge w:val="restart"/>
          </w:tcPr>
          <w:p>
            <w:pPr>
              <w:ind w:left="80"/>
              <w:spacing w:after="0"/>
              <w:rPr>
                <w:sz w:val="20"/>
                <w:szCs w:val="20"/>
                <w:color w:val="auto"/>
              </w:rPr>
            </w:pPr>
            <w:r>
              <w:rPr>
                <w:rFonts w:ascii="Arial" w:cs="Arial" w:eastAsia="Arial" w:hAnsi="Arial"/>
                <w:sz w:val="22"/>
                <w:szCs w:val="22"/>
                <w:color w:val="auto"/>
              </w:rPr>
              <w:t>April 1, 2014</w:t>
            </w:r>
          </w:p>
        </w:tc>
        <w:tc>
          <w:tcPr>
            <w:tcW w:w="2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4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54"/>
        </w:trPr>
        <w:tc>
          <w:tcPr>
            <w:tcW w:w="1500" w:type="dxa"/>
            <w:vAlign w:val="bottom"/>
            <w:vMerge w:val="continue"/>
          </w:tcPr>
          <w:p>
            <w:pPr>
              <w:spacing w:after="0"/>
              <w:rPr>
                <w:sz w:val="24"/>
                <w:szCs w:val="24"/>
                <w:color w:val="auto"/>
              </w:rPr>
            </w:pPr>
          </w:p>
        </w:tc>
        <w:tc>
          <w:tcPr>
            <w:tcW w:w="2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0" w:type="dxa"/>
            <w:vAlign w:val="bottom"/>
          </w:tcPr>
          <w:p>
            <w:pPr>
              <w:ind w:left="60"/>
              <w:spacing w:after="0"/>
              <w:rPr>
                <w:sz w:val="20"/>
                <w:szCs w:val="20"/>
                <w:color w:val="auto"/>
              </w:rPr>
            </w:pPr>
            <w:r>
              <w:rPr>
                <w:rFonts w:ascii="Arial" w:cs="Arial" w:eastAsia="Arial" w:hAnsi="Arial"/>
                <w:sz w:val="22"/>
                <w:szCs w:val="22"/>
                <w:color w:val="auto"/>
              </w:rPr>
              <w:t>Craig J. Patla</w:t>
            </w:r>
          </w:p>
        </w:tc>
        <w:tc>
          <w:tcPr>
            <w:tcW w:w="0" w:type="dxa"/>
            <w:vAlign w:val="bottom"/>
          </w:tcPr>
          <w:p>
            <w:pPr>
              <w:spacing w:after="0"/>
              <w:rPr>
                <w:sz w:val="1"/>
                <w:szCs w:val="1"/>
                <w:color w:val="auto"/>
              </w:rPr>
            </w:pPr>
          </w:p>
        </w:tc>
      </w:tr>
      <w:tr>
        <w:trPr>
          <w:trHeight w:val="58"/>
        </w:trPr>
        <w:tc>
          <w:tcPr>
            <w:tcW w:w="1500" w:type="dxa"/>
            <w:vAlign w:val="bottom"/>
            <w:tcBorders>
              <w:bottom w:val="single" w:sz="8" w:color="auto"/>
            </w:tcBorders>
          </w:tcPr>
          <w:p>
            <w:pPr>
              <w:spacing w:after="0"/>
              <w:rPr>
                <w:sz w:val="5"/>
                <w:szCs w:val="5"/>
                <w:color w:val="auto"/>
              </w:rPr>
            </w:pPr>
          </w:p>
        </w:tc>
        <w:tc>
          <w:tcPr>
            <w:tcW w:w="2500" w:type="dxa"/>
            <w:vAlign w:val="bottom"/>
            <w:tcBorders>
              <w:bottom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1500" w:type="dxa"/>
            <w:vAlign w:val="bottom"/>
          </w:tcPr>
          <w:p>
            <w:pPr>
              <w:spacing w:after="0"/>
              <w:rPr>
                <w:sz w:val="24"/>
                <w:szCs w:val="24"/>
                <w:color w:val="auto"/>
              </w:rPr>
            </w:pPr>
          </w:p>
        </w:tc>
        <w:tc>
          <w:tcPr>
            <w:tcW w:w="4180" w:type="dxa"/>
            <w:vAlign w:val="bottom"/>
            <w:gridSpan w:val="3"/>
          </w:tcPr>
          <w:p>
            <w:pPr>
              <w:ind w:left="300"/>
              <w:spacing w:after="0"/>
              <w:rPr>
                <w:sz w:val="20"/>
                <w:szCs w:val="20"/>
                <w:color w:val="auto"/>
              </w:rPr>
            </w:pPr>
            <w:r>
              <w:rPr>
                <w:rFonts w:ascii="Arial" w:cs="Arial" w:eastAsia="Arial" w:hAnsi="Arial"/>
                <w:sz w:val="22"/>
                <w:szCs w:val="22"/>
                <w:color w:val="auto"/>
              </w:rPr>
              <w:t>Date</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440" w:top="1440" w:right="639" w:bottom="1440" w:gutter="0" w:footer="0" w:header="0"/>
        </w:sectPr>
      </w:pPr>
    </w:p>
    <w:bookmarkStart w:id="110" w:name="page111"/>
    <w:bookmarkEnd w:id="110"/>
    <w:p>
      <w:pPr>
        <w:spacing w:after="0" w:line="272" w:lineRule="exact"/>
        <w:rPr>
          <w:sz w:val="20"/>
          <w:szCs w:val="20"/>
          <w:color w:val="auto"/>
        </w:rPr>
      </w:pPr>
    </w:p>
    <w:p>
      <w:pPr>
        <w:jc w:val="center"/>
        <w:ind w:right="-139"/>
        <w:spacing w:after="0"/>
        <w:rPr>
          <w:sz w:val="20"/>
          <w:szCs w:val="20"/>
          <w:color w:val="auto"/>
        </w:rPr>
      </w:pPr>
      <w:r>
        <w:rPr>
          <w:rFonts w:ascii="Arial" w:cs="Arial" w:eastAsia="Arial" w:hAnsi="Arial"/>
          <w:sz w:val="21"/>
          <w:szCs w:val="21"/>
          <w:color w:val="0F0F0F"/>
        </w:rPr>
        <w:t>ATTACHMENT A</w:t>
      </w:r>
    </w:p>
    <w:p>
      <w:pPr>
        <w:jc w:val="center"/>
        <w:ind w:right="-139"/>
        <w:spacing w:after="0"/>
        <w:rPr>
          <w:sz w:val="20"/>
          <w:szCs w:val="20"/>
          <w:color w:val="auto"/>
        </w:rPr>
      </w:pPr>
      <w:r>
        <w:rPr>
          <w:rFonts w:ascii="Arial" w:cs="Arial" w:eastAsia="Arial" w:hAnsi="Arial"/>
          <w:sz w:val="21"/>
          <w:szCs w:val="21"/>
          <w:u w:val="single" w:color="auto"/>
          <w:color w:val="0F0F0F"/>
        </w:rPr>
        <w:t>RELEASE</w:t>
      </w:r>
    </w:p>
    <w:p>
      <w:pPr>
        <w:spacing w:after="0" w:line="294" w:lineRule="exact"/>
        <w:rPr>
          <w:sz w:val="20"/>
          <w:szCs w:val="20"/>
          <w:color w:val="auto"/>
        </w:rPr>
      </w:pPr>
    </w:p>
    <w:p>
      <w:pPr>
        <w:ind w:right="680" w:firstLine="653"/>
        <w:spacing w:after="0" w:line="254" w:lineRule="auto"/>
        <w:rPr>
          <w:sz w:val="20"/>
          <w:szCs w:val="20"/>
          <w:color w:val="auto"/>
        </w:rPr>
      </w:pPr>
      <w:r>
        <w:rPr>
          <w:rFonts w:ascii="Arial" w:cs="Arial" w:eastAsia="Arial" w:hAnsi="Arial"/>
          <w:sz w:val="21"/>
          <w:szCs w:val="21"/>
          <w:color w:val="0F0F0F"/>
        </w:rPr>
        <w:t>We advise you to consult an attorney before you sign this Release. You have until the date which is seven (7) days after the Release is signed and returned to</w:t>
      </w:r>
    </w:p>
    <w:p>
      <w:pPr>
        <w:spacing w:after="0" w:line="2" w:lineRule="exact"/>
        <w:rPr>
          <w:sz w:val="20"/>
          <w:szCs w:val="20"/>
          <w:color w:val="auto"/>
        </w:rPr>
      </w:pPr>
    </w:p>
    <w:p>
      <w:pPr>
        <w:ind w:left="20" w:right="940" w:firstLine="203"/>
        <w:spacing w:after="0" w:line="277" w:lineRule="auto"/>
        <w:rPr>
          <w:sz w:val="20"/>
          <w:szCs w:val="20"/>
          <w:color w:val="auto"/>
        </w:rPr>
      </w:pPr>
      <w:r>
        <w:rPr>
          <w:rFonts w:ascii="Arial" w:cs="Arial" w:eastAsia="Arial" w:hAnsi="Arial"/>
          <w:sz w:val="21"/>
          <w:szCs w:val="21"/>
          <w:color w:val="0F0F0F"/>
        </w:rPr>
        <w:t>("Company") to change your mind and revoke your Release. Your Release shall not become effective or enforceable until after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-216535</wp:posOffset>
            </wp:positionV>
            <wp:extent cx="1314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25">
                      <a:extLst>
                        <a:ext uri="{28A0092B-C50C-407E-A947-70E740481C1C}"/>
                      </a:extLst>
                    </a:blip>
                    <a:srcRect/>
                    <a:stretch>
                      <a:fillRect/>
                    </a:stretch>
                  </pic:blipFill>
                  <pic:spPr bwMode="auto">
                    <a:xfrm>
                      <a:off x="0" y="0"/>
                      <a:ext cx="131445" cy="8255"/>
                    </a:xfrm>
                    <a:prstGeom prst="rect">
                      <a:avLst/>
                    </a:prstGeom>
                    <a:noFill/>
                  </pic:spPr>
                </pic:pic>
              </a:graphicData>
            </a:graphic>
          </wp:anchor>
        </w:drawing>
      </w:r>
    </w:p>
    <w:p>
      <w:pPr>
        <w:spacing w:after="0" w:line="179" w:lineRule="exact"/>
        <w:rPr>
          <w:sz w:val="20"/>
          <w:szCs w:val="20"/>
          <w:color w:val="auto"/>
        </w:rPr>
      </w:pPr>
    </w:p>
    <w:p>
      <w:pPr>
        <w:ind w:left="220" w:right="3140" w:firstLine="440"/>
        <w:spacing w:after="0" w:line="248" w:lineRule="auto"/>
        <w:rPr>
          <w:sz w:val="20"/>
          <w:szCs w:val="20"/>
          <w:color w:val="auto"/>
        </w:rPr>
      </w:pPr>
      <w:r>
        <w:rPr>
          <w:rFonts w:ascii="Arial" w:cs="Arial" w:eastAsia="Arial" w:hAnsi="Arial"/>
          <w:sz w:val="21"/>
          <w:szCs w:val="21"/>
          <w:color w:val="0F0F0F"/>
        </w:rPr>
        <w:t>In consideration for the benefits provided under your Employment Agreement dated with Company and ("Parent"),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13144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26">
                      <a:extLst>
                        <a:ext uri="{28A0092B-C50C-407E-A947-70E740481C1C}"/>
                      </a:extLst>
                    </a:blip>
                    <a:srcRect/>
                    <a:stretch>
                      <a:fillRect/>
                    </a:stretch>
                  </pic:blipFill>
                  <pic:spPr bwMode="auto">
                    <a:xfrm>
                      <a:off x="0" y="0"/>
                      <a:ext cx="131445" cy="8890"/>
                    </a:xfrm>
                    <a:prstGeom prst="rect">
                      <a:avLst/>
                    </a:prstGeom>
                    <a:noFill/>
                  </pic:spPr>
                </pic:pic>
              </a:graphicData>
            </a:graphic>
          </wp:anchor>
        </w:drawing>
      </w:r>
    </w:p>
    <w:p>
      <w:pPr>
        <w:ind w:firstLine="5"/>
        <w:spacing w:after="0" w:line="282" w:lineRule="auto"/>
        <w:rPr>
          <w:sz w:val="20"/>
          <w:szCs w:val="20"/>
          <w:color w:val="auto"/>
        </w:rPr>
      </w:pPr>
      <w:r>
        <w:rPr>
          <w:rFonts w:ascii="Arial" w:cs="Arial" w:eastAsia="Arial" w:hAnsi="Arial"/>
          <w:sz w:val="19"/>
          <w:szCs w:val="19"/>
          <w:color w:val="0F0F0F"/>
        </w:rPr>
        <w:t>more specifically enumerated in Exhibit 1 hereto, by your signature below you agree to accept such benefits and not to make any claims of any kind against Company, its past and present and future parent corporations, subsidiaries, divisions, subdivisions, affiliates and related companies or their successors and assigns, including without limitation Parent, or any and all past, present and future Directors, officers, fiduciaries or employees of any of the foregoing (all parties referred to in the foregoing are hereinafter referred to as the "Releasees") before any agency, court or other forum, and you agree to release the Releasees from all claims, known or unknown</w:t>
      </w:r>
      <w:r>
        <w:rPr>
          <w:rFonts w:ascii="Arial" w:cs="Arial" w:eastAsia="Arial" w:hAnsi="Arial"/>
          <w:sz w:val="19"/>
          <w:szCs w:val="19"/>
          <w:color w:val="363636"/>
        </w:rPr>
        <w:t>,</w:t>
      </w:r>
      <w:r>
        <w:rPr>
          <w:rFonts w:ascii="Arial" w:cs="Arial" w:eastAsia="Arial" w:hAnsi="Arial"/>
          <w:sz w:val="19"/>
          <w:szCs w:val="19"/>
          <w:color w:val="0F0F0F"/>
        </w:rPr>
        <w:t xml:space="preserve"> arising in any way from any actions taken by the Releasees up to the date of this Release, including, without limiting the foregoing, any claim for wrongful discharge or breach of contract or any claims arising under the Age Discrimination in Employment Act of 1967, Title VII of the Civil Rights Act of 1964, the Americans with Disabilities Act of 1990, the Employee Retirement Income Security Act of 1974, Connecticut's Fair Employment Practices Act or any other federal, state or local statute or regulation and any claim for attorneys</w:t>
      </w:r>
      <w:r>
        <w:rPr>
          <w:rFonts w:ascii="Arial" w:cs="Arial" w:eastAsia="Arial" w:hAnsi="Arial"/>
          <w:sz w:val="8"/>
          <w:szCs w:val="8"/>
          <w:color w:val="0F0F0F"/>
        </w:rPr>
        <w:t>1</w:t>
      </w:r>
      <w:r>
        <w:rPr>
          <w:rFonts w:ascii="Arial" w:cs="Arial" w:eastAsia="Arial" w:hAnsi="Arial"/>
          <w:sz w:val="19"/>
          <w:szCs w:val="19"/>
          <w:color w:val="0F0F0F"/>
        </w:rPr>
        <w:t xml:space="preserve"> fees, expenses or costs of litigation.</w:t>
      </w:r>
    </w:p>
    <w:p>
      <w:pPr>
        <w:spacing w:after="0" w:line="200" w:lineRule="exact"/>
        <w:rPr>
          <w:sz w:val="20"/>
          <w:szCs w:val="20"/>
          <w:color w:val="auto"/>
        </w:rPr>
      </w:pPr>
    </w:p>
    <w:p>
      <w:pPr>
        <w:jc w:val="both"/>
        <w:ind w:right="40" w:firstLine="650"/>
        <w:spacing w:after="0" w:line="259" w:lineRule="auto"/>
        <w:rPr>
          <w:sz w:val="20"/>
          <w:szCs w:val="20"/>
          <w:color w:val="auto"/>
        </w:rPr>
      </w:pPr>
      <w:r>
        <w:rPr>
          <w:rFonts w:ascii="Arial" w:cs="Arial" w:eastAsia="Arial" w:hAnsi="Arial"/>
          <w:sz w:val="21"/>
          <w:szCs w:val="21"/>
          <w:color w:val="0F0F0F"/>
        </w:rPr>
        <w:t>THE PRECEDING PARAGRAPH MEANS THAT BY SIGNING THIS RELEASE YOU WILL HAVE WAIVED ANY RIGHT YOU MAY HAVE TO BRING A LAWSUIT OR MAKE ANY LEGAL CLAIM AGAINST THE RELEASEES BASED ON ANY ACTIONS TAKEN BY THE RELEASEES UP TO THE DATE OF THIS RELEASE.</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1"/>
          <w:szCs w:val="21"/>
          <w:color w:val="0F0F0F"/>
        </w:rPr>
        <w:t>By signing this Release, you further agree as follows:</w:t>
      </w:r>
    </w:p>
    <w:p>
      <w:pPr>
        <w:spacing w:after="0" w:line="218" w:lineRule="exact"/>
        <w:rPr>
          <w:sz w:val="20"/>
          <w:szCs w:val="20"/>
          <w:color w:val="auto"/>
        </w:rPr>
      </w:pPr>
    </w:p>
    <w:p>
      <w:pPr>
        <w:ind w:left="1320" w:hanging="660"/>
        <w:spacing w:after="0"/>
        <w:tabs>
          <w:tab w:leader="none" w:pos="1320" w:val="left"/>
        </w:tabs>
        <w:numPr>
          <w:ilvl w:val="0"/>
          <w:numId w:val="54"/>
        </w:numPr>
        <w:rPr>
          <w:rFonts w:ascii="Arial" w:cs="Arial" w:eastAsia="Arial" w:hAnsi="Arial"/>
          <w:sz w:val="21"/>
          <w:szCs w:val="21"/>
          <w:color w:val="0F0F0F"/>
        </w:rPr>
      </w:pPr>
      <w:r>
        <w:rPr>
          <w:rFonts w:ascii="Arial" w:cs="Arial" w:eastAsia="Arial" w:hAnsi="Arial"/>
          <w:sz w:val="21"/>
          <w:szCs w:val="21"/>
          <w:color w:val="0F0F0F"/>
        </w:rPr>
        <w:t>You have read this Release carefully and fully understand its terms;</w:t>
      </w:r>
    </w:p>
    <w:p>
      <w:pPr>
        <w:spacing w:after="0" w:line="217" w:lineRule="exact"/>
        <w:rPr>
          <w:rFonts w:ascii="Arial" w:cs="Arial" w:eastAsia="Arial" w:hAnsi="Arial"/>
          <w:sz w:val="21"/>
          <w:szCs w:val="21"/>
          <w:color w:val="0F0F0F"/>
        </w:rPr>
      </w:pPr>
    </w:p>
    <w:p>
      <w:pPr>
        <w:ind w:left="1300" w:hanging="642"/>
        <w:spacing w:after="0"/>
        <w:tabs>
          <w:tab w:leader="none" w:pos="1300" w:val="left"/>
        </w:tabs>
        <w:numPr>
          <w:ilvl w:val="0"/>
          <w:numId w:val="54"/>
        </w:numPr>
        <w:rPr>
          <w:rFonts w:ascii="Arial" w:cs="Arial" w:eastAsia="Arial" w:hAnsi="Arial"/>
          <w:sz w:val="21"/>
          <w:szCs w:val="21"/>
          <w:color w:val="0F0F0F"/>
        </w:rPr>
      </w:pPr>
      <w:r>
        <w:rPr>
          <w:rFonts w:ascii="Arial" w:cs="Arial" w:eastAsia="Arial" w:hAnsi="Arial"/>
          <w:sz w:val="21"/>
          <w:szCs w:val="21"/>
          <w:color w:val="0F0F0F"/>
        </w:rPr>
        <w:t>You have had at least twenty-one (21) days to consider the terms of the Release;</w:t>
      </w:r>
    </w:p>
    <w:p>
      <w:pPr>
        <w:spacing w:after="0" w:line="217" w:lineRule="exact"/>
        <w:rPr>
          <w:rFonts w:ascii="Arial" w:cs="Arial" w:eastAsia="Arial" w:hAnsi="Arial"/>
          <w:sz w:val="21"/>
          <w:szCs w:val="21"/>
          <w:color w:val="0F0F0F"/>
        </w:rPr>
      </w:pPr>
    </w:p>
    <w:p>
      <w:pPr>
        <w:ind w:left="20" w:right="420" w:firstLine="639"/>
        <w:spacing w:after="0" w:line="277" w:lineRule="auto"/>
        <w:tabs>
          <w:tab w:leader="none" w:pos="1147" w:val="left"/>
        </w:tabs>
        <w:numPr>
          <w:ilvl w:val="0"/>
          <w:numId w:val="54"/>
        </w:numPr>
        <w:rPr>
          <w:rFonts w:ascii="Arial" w:cs="Arial" w:eastAsia="Arial" w:hAnsi="Arial"/>
          <w:sz w:val="21"/>
          <w:szCs w:val="21"/>
          <w:color w:val="0F0F0F"/>
        </w:rPr>
      </w:pPr>
      <w:r>
        <w:rPr>
          <w:rFonts w:ascii="Arial" w:cs="Arial" w:eastAsia="Arial" w:hAnsi="Arial"/>
          <w:sz w:val="21"/>
          <w:szCs w:val="21"/>
          <w:color w:val="0F0F0F"/>
        </w:rPr>
        <w:t>You have seven (7) days from the date you sign this Release to revoke it by written notification to Company. After this seven (7) day period, this Release is final and binding and may not be revoked;</w:t>
      </w:r>
    </w:p>
    <w:p>
      <w:pPr>
        <w:spacing w:after="0" w:line="198" w:lineRule="exact"/>
        <w:rPr>
          <w:rFonts w:ascii="Arial" w:cs="Arial" w:eastAsia="Arial" w:hAnsi="Arial"/>
          <w:sz w:val="21"/>
          <w:szCs w:val="21"/>
          <w:color w:val="0F0F0F"/>
        </w:rPr>
      </w:pPr>
    </w:p>
    <w:p>
      <w:pPr>
        <w:ind w:left="1140" w:hanging="481"/>
        <w:spacing w:after="0"/>
        <w:tabs>
          <w:tab w:leader="none" w:pos="1140" w:val="left"/>
        </w:tabs>
        <w:numPr>
          <w:ilvl w:val="0"/>
          <w:numId w:val="54"/>
        </w:numPr>
        <w:rPr>
          <w:rFonts w:ascii="Arial" w:cs="Arial" w:eastAsia="Arial" w:hAnsi="Arial"/>
          <w:sz w:val="21"/>
          <w:szCs w:val="21"/>
          <w:color w:val="0F0F0F"/>
        </w:rPr>
      </w:pPr>
      <w:r>
        <w:rPr>
          <w:rFonts w:ascii="Arial" w:cs="Arial" w:eastAsia="Arial" w:hAnsi="Arial"/>
          <w:sz w:val="21"/>
          <w:szCs w:val="21"/>
          <w:color w:val="0F0F0F"/>
        </w:rPr>
        <w:t>You have been advised to seek legal counsel and have had an opportunity to do so;</w:t>
      </w:r>
    </w:p>
    <w:p>
      <w:pPr>
        <w:sectPr>
          <w:pgSz w:w="11900" w:h="16838" w:orient="portrait"/>
          <w:cols w:equalWidth="0" w:num="1">
            <w:col w:w="10780"/>
          </w:cols>
          <w:pgMar w:left="480" w:top="1440" w:right="639" w:bottom="1440" w:gutter="0" w:footer="0" w:header="0"/>
        </w:sectPr>
      </w:pPr>
    </w:p>
    <w:bookmarkStart w:id="111" w:name="page112"/>
    <w:bookmarkEnd w:id="111"/>
    <w:p>
      <w:pPr>
        <w:spacing w:after="0" w:line="280" w:lineRule="exact"/>
        <w:rPr>
          <w:sz w:val="20"/>
          <w:szCs w:val="20"/>
          <w:color w:val="auto"/>
        </w:rPr>
      </w:pPr>
    </w:p>
    <w:p>
      <w:pPr>
        <w:ind w:left="120" w:firstLine="652"/>
        <w:spacing w:after="0" w:line="259" w:lineRule="auto"/>
        <w:tabs>
          <w:tab w:leader="none" w:pos="1275" w:val="left"/>
        </w:tabs>
        <w:numPr>
          <w:ilvl w:val="0"/>
          <w:numId w:val="55"/>
        </w:numPr>
        <w:rPr>
          <w:rFonts w:ascii="Arial" w:cs="Arial" w:eastAsia="Arial" w:hAnsi="Arial"/>
          <w:sz w:val="21"/>
          <w:szCs w:val="21"/>
          <w:color w:val="0E0E0E"/>
        </w:rPr>
      </w:pPr>
      <w:r>
        <w:rPr>
          <w:rFonts w:ascii="Arial" w:cs="Arial" w:eastAsia="Arial" w:hAnsi="Arial"/>
          <w:sz w:val="21"/>
          <w:szCs w:val="21"/>
          <w:color w:val="0E0E0E"/>
        </w:rPr>
        <w:t>You would not otherwise be entitled to the benefits provided under your Employment Agreement with Company and Parent had you not agr</w:t>
      </w:r>
      <w:r>
        <w:rPr>
          <w:rFonts w:ascii="Arial" w:cs="Arial" w:eastAsia="Arial" w:hAnsi="Arial"/>
          <w:sz w:val="21"/>
          <w:szCs w:val="21"/>
          <w:color w:val="282828"/>
        </w:rPr>
        <w:t>e</w:t>
      </w:r>
      <w:r>
        <w:rPr>
          <w:rFonts w:ascii="Arial" w:cs="Arial" w:eastAsia="Arial" w:hAnsi="Arial"/>
          <w:sz w:val="21"/>
          <w:szCs w:val="21"/>
          <w:color w:val="0E0E0E"/>
        </w:rPr>
        <w:t>ed to waive any right you have to bring a lawsuit or legal claim against the Releasees; and</w:t>
      </w:r>
    </w:p>
    <w:p>
      <w:pPr>
        <w:spacing w:after="0" w:line="203" w:lineRule="exact"/>
        <w:rPr>
          <w:rFonts w:ascii="Arial" w:cs="Arial" w:eastAsia="Arial" w:hAnsi="Arial"/>
          <w:sz w:val="21"/>
          <w:szCs w:val="21"/>
          <w:color w:val="0E0E0E"/>
        </w:rPr>
      </w:pPr>
    </w:p>
    <w:p>
      <w:pPr>
        <w:ind w:left="1420" w:hanging="648"/>
        <w:spacing w:after="0"/>
        <w:tabs>
          <w:tab w:leader="none" w:pos="1420" w:val="left"/>
        </w:tabs>
        <w:numPr>
          <w:ilvl w:val="0"/>
          <w:numId w:val="55"/>
        </w:numPr>
        <w:rPr>
          <w:rFonts w:ascii="Arial" w:cs="Arial" w:eastAsia="Arial" w:hAnsi="Arial"/>
          <w:sz w:val="21"/>
          <w:szCs w:val="21"/>
          <w:color w:val="0E0E0E"/>
        </w:rPr>
      </w:pPr>
      <w:r>
        <w:rPr>
          <w:rFonts w:ascii="Arial" w:cs="Arial" w:eastAsia="Arial" w:hAnsi="Arial"/>
          <w:sz w:val="21"/>
          <w:szCs w:val="21"/>
          <w:color w:val="0E0E0E"/>
        </w:rPr>
        <w:t>Your agreement to the terms set forth above is voluntary</w:t>
      </w:r>
      <w:r>
        <w:rPr>
          <w:rFonts w:ascii="Arial" w:cs="Arial" w:eastAsia="Arial" w:hAnsi="Arial"/>
          <w:sz w:val="21"/>
          <w:szCs w:val="21"/>
          <w:color w:val="282828"/>
        </w:rPr>
        <w: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color w:val="auto"/>
        </w:rPr>
        <w:t>Name: _____________________________________</w:t>
      </w:r>
    </w:p>
    <w:p>
      <w:pPr>
        <w:sectPr>
          <w:pgSz w:w="11900" w:h="16838" w:orient="portrait"/>
          <w:cols w:equalWidth="0" w:num="1">
            <w:col w:w="10400"/>
          </w:cols>
          <w:pgMar w:left="340" w:top="1440" w:right="1159" w:bottom="1440" w:gutter="0" w:footer="0" w:header="0"/>
        </w:sect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Signature: __________________________________</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Date: ______________________</w:t>
      </w:r>
    </w:p>
    <w:p>
      <w:pPr>
        <w:spacing w:after="0" w:line="200" w:lineRule="exact"/>
        <w:rPr>
          <w:sz w:val="20"/>
          <w:szCs w:val="20"/>
          <w:color w:val="auto"/>
        </w:rPr>
      </w:pPr>
    </w:p>
    <w:p>
      <w:pPr>
        <w:sectPr>
          <w:pgSz w:w="11900" w:h="16838" w:orient="portrait"/>
          <w:cols w:equalWidth="0" w:num="2">
            <w:col w:w="4220" w:space="400"/>
            <w:col w:w="5780"/>
          </w:cols>
          <w:pgMar w:left="340" w:top="1440" w:right="11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Received by: ________________________________</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Date: ______________________</w:t>
      </w:r>
    </w:p>
    <w:p>
      <w:pPr>
        <w:sectPr>
          <w:pgSz w:w="11900" w:h="16838" w:orient="portrait"/>
          <w:cols w:equalWidth="0" w:num="2">
            <w:col w:w="4240" w:space="400"/>
            <w:col w:w="5760"/>
          </w:cols>
          <w:pgMar w:left="340" w:top="1440" w:right="1159" w:bottom="1440" w:gutter="0" w:footer="0" w:header="0"/>
          <w:type w:val="continuous"/>
        </w:sectPr>
      </w:pPr>
    </w:p>
    <w:bookmarkStart w:id="112" w:name="page113"/>
    <w:bookmarkEnd w:id="112"/>
    <w:p>
      <w:pPr>
        <w:spacing w:after="0" w:line="280" w:lineRule="exact"/>
        <w:rPr>
          <w:sz w:val="20"/>
          <w:szCs w:val="20"/>
          <w:color w:val="auto"/>
        </w:rPr>
      </w:pPr>
    </w:p>
    <w:p>
      <w:pPr>
        <w:jc w:val="right"/>
        <w:spacing w:after="0"/>
        <w:rPr>
          <w:sz w:val="20"/>
          <w:szCs w:val="20"/>
          <w:color w:val="auto"/>
        </w:rPr>
      </w:pPr>
      <w:r>
        <w:rPr>
          <w:rFonts w:ascii="Arial" w:cs="Arial" w:eastAsia="Arial" w:hAnsi="Arial"/>
          <w:sz w:val="21"/>
          <w:szCs w:val="21"/>
          <w:color w:val="080808"/>
        </w:rPr>
        <w:t>EXHIBIT 1</w:t>
      </w:r>
    </w:p>
    <w:p>
      <w:pPr>
        <w:spacing w:after="0" w:line="299" w:lineRule="exact"/>
        <w:rPr>
          <w:sz w:val="20"/>
          <w:szCs w:val="20"/>
          <w:color w:val="auto"/>
        </w:rPr>
      </w:pPr>
    </w:p>
    <w:p>
      <w:pPr>
        <w:ind w:left="60"/>
        <w:spacing w:after="0"/>
        <w:rPr>
          <w:sz w:val="20"/>
          <w:szCs w:val="20"/>
          <w:color w:val="auto"/>
        </w:rPr>
      </w:pPr>
      <w:r>
        <w:rPr>
          <w:rFonts w:ascii="Arial" w:cs="Arial" w:eastAsia="Arial" w:hAnsi="Arial"/>
          <w:sz w:val="21"/>
          <w:szCs w:val="21"/>
          <w:color w:val="080808"/>
        </w:rPr>
        <w:t>1.</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23"/>
          <w:szCs w:val="23"/>
          <w:color w:val="080808"/>
        </w:rPr>
        <w:t>2.</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23"/>
          <w:szCs w:val="23"/>
          <w:color w:val="080808"/>
        </w:rPr>
        <w:t>3</w:t>
      </w:r>
      <w:r>
        <w:rPr>
          <w:rFonts w:ascii="Arial" w:cs="Arial" w:eastAsia="Arial" w:hAnsi="Arial"/>
          <w:sz w:val="23"/>
          <w:szCs w:val="23"/>
          <w:color w:val="212121"/>
        </w:rPr>
        <w:t>.</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23"/>
          <w:szCs w:val="23"/>
          <w:color w:val="080808"/>
        </w:rPr>
        <w:t>4.</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23"/>
          <w:szCs w:val="23"/>
          <w:color w:val="080808"/>
        </w:rPr>
        <w:t>5</w:t>
      </w:r>
      <w:r>
        <w:rPr>
          <w:rFonts w:ascii="Arial" w:cs="Arial" w:eastAsia="Arial" w:hAnsi="Arial"/>
          <w:sz w:val="23"/>
          <w:szCs w:val="23"/>
          <w:color w:val="212121"/>
        </w:rPr>
        <w:t>.</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21"/>
          <w:szCs w:val="21"/>
          <w:color w:val="080808"/>
        </w:rPr>
        <w:t>etc.</w:t>
      </w:r>
    </w:p>
    <w:p>
      <w:pPr>
        <w:spacing w:after="0" w:line="231" w:lineRule="exact"/>
        <w:rPr>
          <w:sz w:val="20"/>
          <w:szCs w:val="20"/>
          <w:color w:val="auto"/>
        </w:rPr>
      </w:pPr>
    </w:p>
    <w:p>
      <w:pPr>
        <w:ind w:left="60" w:right="380" w:firstLine="4"/>
        <w:spacing w:after="0" w:line="277" w:lineRule="auto"/>
        <w:rPr>
          <w:sz w:val="20"/>
          <w:szCs w:val="20"/>
          <w:color w:val="auto"/>
        </w:rPr>
      </w:pPr>
      <w:r>
        <w:rPr>
          <w:rFonts w:ascii="Arial" w:cs="Arial" w:eastAsia="Arial" w:hAnsi="Arial"/>
          <w:sz w:val="21"/>
          <w:szCs w:val="21"/>
          <w:color w:val="080808"/>
        </w:rPr>
        <w:t>NOTE</w:t>
      </w:r>
      <w:r>
        <w:rPr>
          <w:rFonts w:ascii="Arial" w:cs="Arial" w:eastAsia="Arial" w:hAnsi="Arial"/>
          <w:sz w:val="21"/>
          <w:szCs w:val="21"/>
          <w:color w:val="212121"/>
        </w:rPr>
        <w:t>:</w:t>
      </w:r>
      <w:r>
        <w:rPr>
          <w:rFonts w:ascii="Arial" w:cs="Arial" w:eastAsia="Arial" w:hAnsi="Arial"/>
          <w:sz w:val="21"/>
          <w:szCs w:val="21"/>
          <w:color w:val="080808"/>
        </w:rPr>
        <w:t xml:space="preserve"> THIS EXHIBIT IS TO BE COMPLETED AT THE TIME OF TERMINATION TO REFLECT ALL BENEFITS AND PAYMENTS MADE UNDER THE EMPLOYMENT AGREEMENT.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21"/>
          <w:szCs w:val="21"/>
          <w:color w:val="080808"/>
        </w:rPr>
        <w:t>Acknowledged and Agreed</w:t>
      </w:r>
      <w:r>
        <w:rPr>
          <w:rFonts w:ascii="Arial" w:cs="Arial" w:eastAsia="Arial" w:hAnsi="Arial"/>
          <w:sz w:val="21"/>
          <w:szCs w:val="21"/>
          <w:color w:val="212121"/>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5980" w:val="left"/>
        </w:tabs>
        <w:rPr>
          <w:sz w:val="20"/>
          <w:szCs w:val="20"/>
          <w:color w:val="auto"/>
        </w:rPr>
      </w:pPr>
      <w:r>
        <w:rPr>
          <w:rFonts w:ascii="Arial" w:cs="Arial" w:eastAsia="Arial" w:hAnsi="Arial"/>
          <w:sz w:val="22"/>
          <w:szCs w:val="22"/>
          <w:color w:val="0E0E0E"/>
        </w:rPr>
        <w:t>THE CONNECTICUT WATER COMPANY</w:t>
      </w:r>
      <w:r>
        <w:rPr>
          <w:sz w:val="20"/>
          <w:szCs w:val="20"/>
          <w:color w:val="auto"/>
        </w:rPr>
        <w:tab/>
      </w:r>
      <w:r>
        <w:rPr>
          <w:rFonts w:ascii="Arial" w:cs="Arial" w:eastAsia="Arial" w:hAnsi="Arial"/>
          <w:sz w:val="21"/>
          <w:szCs w:val="21"/>
          <w:color w:val="0E0E0E"/>
        </w:rPr>
        <w:t>EMPLOYEE</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50165</wp:posOffset>
            </wp:positionV>
            <wp:extent cx="629221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27">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163" w:lineRule="exact"/>
        <w:rPr>
          <w:sz w:val="20"/>
          <w:szCs w:val="20"/>
          <w:color w:val="auto"/>
        </w:rPr>
      </w:pPr>
    </w:p>
    <w:p>
      <w:pPr>
        <w:ind w:left="820"/>
        <w:spacing w:after="0"/>
        <w:rPr>
          <w:sz w:val="20"/>
          <w:szCs w:val="20"/>
          <w:color w:val="auto"/>
        </w:rPr>
      </w:pPr>
      <w:r>
        <w:rPr>
          <w:rFonts w:ascii="Arial" w:cs="Arial" w:eastAsia="Arial" w:hAnsi="Arial"/>
          <w:sz w:val="20"/>
          <w:szCs w:val="20"/>
          <w:color w:val="auto"/>
        </w:rPr>
        <w:t>Its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0E0E0E"/>
        </w:rPr>
        <w:t>CONNECTICUT WATER SERVICE</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50165</wp:posOffset>
            </wp:positionV>
            <wp:extent cx="30689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28">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163" w:lineRule="exact"/>
        <w:rPr>
          <w:sz w:val="20"/>
          <w:szCs w:val="20"/>
          <w:color w:val="auto"/>
        </w:rPr>
      </w:pPr>
    </w:p>
    <w:p>
      <w:pPr>
        <w:ind w:left="820"/>
        <w:spacing w:after="0"/>
        <w:rPr>
          <w:sz w:val="20"/>
          <w:szCs w:val="20"/>
          <w:color w:val="auto"/>
        </w:rPr>
      </w:pPr>
      <w:r>
        <w:rPr>
          <w:rFonts w:ascii="Arial" w:cs="Arial" w:eastAsia="Arial" w:hAnsi="Arial"/>
          <w:sz w:val="20"/>
          <w:szCs w:val="20"/>
          <w:color w:val="auto"/>
        </w:rPr>
        <w:t>Its</w:t>
      </w:r>
    </w:p>
    <w:p>
      <w:pPr>
        <w:sectPr>
          <w:pgSz w:w="11900" w:h="16838" w:orient="portrait"/>
          <w:cols w:equalWidth="0" w:num="1">
            <w:col w:w="10960"/>
          </w:cols>
          <w:pgMar w:left="400" w:top="1440" w:right="5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color w:val="auto"/>
        </w:rPr>
        <w:t>EXHIBIT 10.86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FIRST AMENDMENT TO EMPLOYMENT</w:t>
      </w:r>
    </w:p>
    <w:p>
      <w:pPr>
        <w:jc w:val="center"/>
        <w:ind w:right="180"/>
        <w:spacing w:after="0"/>
        <w:rPr>
          <w:sz w:val="20"/>
          <w:szCs w:val="20"/>
          <w:color w:val="auto"/>
        </w:rPr>
      </w:pPr>
      <w:r>
        <w:rPr>
          <w:rFonts w:ascii="Arial" w:cs="Arial" w:eastAsia="Arial" w:hAnsi="Arial"/>
          <w:sz w:val="22"/>
          <w:szCs w:val="22"/>
          <w:b w:val="1"/>
          <w:bCs w:val="1"/>
          <w:color w:val="auto"/>
        </w:rPr>
        <w:t>AGREEMENT</w:t>
      </w:r>
    </w:p>
    <w:p>
      <w:pPr>
        <w:spacing w:after="0" w:line="377" w:lineRule="exact"/>
        <w:rPr>
          <w:sz w:val="20"/>
          <w:szCs w:val="20"/>
          <w:color w:val="auto"/>
        </w:rPr>
      </w:pPr>
    </w:p>
    <w:p>
      <w:pPr>
        <w:ind w:right="440" w:firstLine="647"/>
        <w:spacing w:after="0" w:line="257" w:lineRule="auto"/>
        <w:rPr>
          <w:sz w:val="20"/>
          <w:szCs w:val="20"/>
          <w:color w:val="auto"/>
        </w:rPr>
      </w:pPr>
      <w:r>
        <w:rPr>
          <w:rFonts w:ascii="Arial" w:cs="Arial" w:eastAsia="Arial" w:hAnsi="Arial"/>
          <w:sz w:val="19"/>
          <w:szCs w:val="19"/>
          <w:color w:val="auto"/>
        </w:rPr>
        <w:t>THIS FIRST AMENDMENT (the “Amendment”), effective as of January 28, 2020, is made by and between The Connecticut Water Company, a Connecticut corporation having its principal place of business in Clinton, Connecticut (“Company”), Connecticut Water Service, Inc., a Connecticut corporation and holder of all of the outstanding capital stock of Company (“Parent”), and Craig J. Patla, a resident of Madison, Connecticut (“Employee”).</w:t>
      </w:r>
    </w:p>
    <w:p>
      <w:pPr>
        <w:spacing w:after="0" w:line="171"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WITNESSETH:</w:t>
      </w:r>
    </w:p>
    <w:p>
      <w:pPr>
        <w:spacing w:after="0" w:line="220" w:lineRule="exact"/>
        <w:rPr>
          <w:sz w:val="20"/>
          <w:szCs w:val="20"/>
          <w:color w:val="auto"/>
        </w:rPr>
      </w:pPr>
    </w:p>
    <w:p>
      <w:pPr>
        <w:ind w:right="820" w:firstLine="647"/>
        <w:spacing w:after="0" w:line="232" w:lineRule="auto"/>
        <w:rPr>
          <w:sz w:val="20"/>
          <w:szCs w:val="20"/>
          <w:color w:val="auto"/>
        </w:rPr>
      </w:pPr>
      <w:r>
        <w:rPr>
          <w:rFonts w:ascii="Arial" w:cs="Arial" w:eastAsia="Arial" w:hAnsi="Arial"/>
          <w:sz w:val="22"/>
          <w:szCs w:val="22"/>
          <w:color w:val="auto"/>
        </w:rPr>
        <w:t>WHEREAS, Employee, Company and Parent entered into an Employment Agreement dated April 1, 2014 (the “Agreement”); and</w:t>
      </w:r>
    </w:p>
    <w:p>
      <w:pPr>
        <w:spacing w:after="0" w:line="199" w:lineRule="exact"/>
        <w:rPr>
          <w:sz w:val="20"/>
          <w:szCs w:val="20"/>
          <w:color w:val="auto"/>
        </w:rPr>
      </w:pPr>
    </w:p>
    <w:p>
      <w:pPr>
        <w:jc w:val="both"/>
        <w:ind w:right="1260" w:firstLine="647"/>
        <w:spacing w:after="0" w:line="223" w:lineRule="auto"/>
        <w:rPr>
          <w:sz w:val="20"/>
          <w:szCs w:val="20"/>
          <w:color w:val="auto"/>
        </w:rPr>
      </w:pPr>
      <w:r>
        <w:rPr>
          <w:rFonts w:ascii="Arial" w:cs="Arial" w:eastAsia="Arial" w:hAnsi="Arial"/>
          <w:sz w:val="22"/>
          <w:szCs w:val="22"/>
          <w:color w:val="auto"/>
        </w:rPr>
        <w:t>WHEREAS, SJW Group (“SJW”) acquired Parent pursuant to that certain Second Amended and Restated Agreement and Plan of Merger, dated as of August 5, 2018, by and among SJW, Hydro Sub, Inc. and Parent (the “Merger”); and</w:t>
      </w:r>
    </w:p>
    <w:p>
      <w:pPr>
        <w:spacing w:after="0" w:line="186" w:lineRule="exact"/>
        <w:rPr>
          <w:sz w:val="20"/>
          <w:szCs w:val="20"/>
          <w:color w:val="auto"/>
        </w:rPr>
      </w:pPr>
    </w:p>
    <w:p>
      <w:pPr>
        <w:ind w:right="520" w:firstLine="647"/>
        <w:spacing w:after="0" w:line="232" w:lineRule="auto"/>
        <w:rPr>
          <w:sz w:val="20"/>
          <w:szCs w:val="20"/>
          <w:color w:val="auto"/>
        </w:rPr>
      </w:pPr>
      <w:r>
        <w:rPr>
          <w:rFonts w:ascii="Arial" w:cs="Arial" w:eastAsia="Arial" w:hAnsi="Arial"/>
          <w:sz w:val="22"/>
          <w:szCs w:val="22"/>
          <w:color w:val="auto"/>
        </w:rPr>
        <w:t>WHEREAS, Company wishes to continue to employ Employee and Employee wishes to continue in employment, following the Merger, upon the terms set forth in the Agreement and this Amendment;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Company, Parent and Employee agree as follows:</w:t>
      </w:r>
    </w:p>
    <w:p>
      <w:pPr>
        <w:spacing w:after="0" w:line="220" w:lineRule="exact"/>
        <w:rPr>
          <w:sz w:val="20"/>
          <w:szCs w:val="20"/>
          <w:color w:val="auto"/>
        </w:rPr>
      </w:pPr>
    </w:p>
    <w:p>
      <w:pPr>
        <w:ind w:right="960" w:firstLine="655"/>
        <w:spacing w:after="0" w:line="232" w:lineRule="auto"/>
        <w:tabs>
          <w:tab w:leader="none" w:pos="1106"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definition of “Cause” in subparagraph (a) of Paragraph 1 of the Agreement entitled “Definitions” is hereby replaced with the following:</w:t>
      </w:r>
    </w:p>
    <w:p>
      <w:pPr>
        <w:spacing w:after="0" w:line="199" w:lineRule="exact"/>
        <w:rPr>
          <w:rFonts w:ascii="Arial" w:cs="Arial" w:eastAsia="Arial" w:hAnsi="Arial"/>
          <w:sz w:val="22"/>
          <w:szCs w:val="22"/>
          <w:color w:val="auto"/>
        </w:rPr>
      </w:pPr>
    </w:p>
    <w:p>
      <w:pPr>
        <w:ind w:right="460" w:firstLine="1303"/>
        <w:spacing w:after="0" w:line="252" w:lineRule="auto"/>
        <w:tabs>
          <w:tab w:leader="none" w:pos="1764" w:val="left"/>
        </w:tabs>
        <w:numPr>
          <w:ilvl w:val="1"/>
          <w:numId w:val="56"/>
        </w:numPr>
        <w:rPr>
          <w:rFonts w:ascii="Arial" w:cs="Arial" w:eastAsia="Arial" w:hAnsi="Arial"/>
          <w:sz w:val="19"/>
          <w:szCs w:val="19"/>
          <w:color w:val="auto"/>
        </w:rPr>
      </w:pPr>
      <w:r>
        <w:rPr>
          <w:rFonts w:ascii="Arial" w:cs="Arial" w:eastAsia="Arial" w:hAnsi="Arial"/>
          <w:sz w:val="19"/>
          <w:szCs w:val="19"/>
          <w:color w:val="auto"/>
        </w:rPr>
        <w:t>“Cause” shall mean (as reasonably determined by the Board of Directors of Parent in its good faith discretion) Employee’s serious, willful misconduct in respect of Employee’s duties under this Agreement, including conviction for a felony or perpetration by Employee of a common law fraud upon any member of the Group, which has resulted or is likely to result in material economic damage to any member of the Group, as determined by a vote of at least seventy-five percent (75%) of all of the directors (excluding Employee) of the Board of Directors of Parent.</w:t>
      </w:r>
    </w:p>
    <w:p>
      <w:pPr>
        <w:spacing w:after="0" w:line="156" w:lineRule="exact"/>
        <w:rPr>
          <w:rFonts w:ascii="Arial" w:cs="Arial" w:eastAsia="Arial" w:hAnsi="Arial"/>
          <w:sz w:val="19"/>
          <w:szCs w:val="19"/>
          <w:color w:val="auto"/>
        </w:rPr>
      </w:pPr>
    </w:p>
    <w:p>
      <w:pPr>
        <w:ind w:left="1120" w:hanging="465"/>
        <w:spacing w:after="0"/>
        <w:tabs>
          <w:tab w:leader="none" w:pos="112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definition of “Good Reason” in subparagraph (e) of Paragraph 1 of the Agreement entitled</w:t>
      </w:r>
    </w:p>
    <w:p>
      <w:pPr>
        <w:spacing w:after="0"/>
        <w:rPr>
          <w:sz w:val="20"/>
          <w:szCs w:val="20"/>
          <w:color w:val="auto"/>
        </w:rPr>
      </w:pPr>
      <w:r>
        <w:rPr>
          <w:rFonts w:ascii="Arial" w:cs="Arial" w:eastAsia="Arial" w:hAnsi="Arial"/>
          <w:sz w:val="22"/>
          <w:szCs w:val="22"/>
          <w:color w:val="auto"/>
        </w:rPr>
        <w:t>“Definitions” is hereby replaced with the following:</w:t>
      </w:r>
    </w:p>
    <w:p>
      <w:pPr>
        <w:spacing w:after="0" w:line="202" w:lineRule="exact"/>
        <w:rPr>
          <w:sz w:val="20"/>
          <w:szCs w:val="20"/>
          <w:color w:val="auto"/>
        </w:rPr>
      </w:pPr>
    </w:p>
    <w:p>
      <w:pPr>
        <w:ind w:right="340" w:firstLine="1303"/>
        <w:spacing w:after="0" w:line="244" w:lineRule="auto"/>
        <w:tabs>
          <w:tab w:leader="none" w:pos="1751" w:val="left"/>
        </w:tabs>
        <w:numPr>
          <w:ilvl w:val="0"/>
          <w:numId w:val="57"/>
        </w:numPr>
        <w:rPr>
          <w:rFonts w:ascii="Arial" w:cs="Arial" w:eastAsia="Arial" w:hAnsi="Arial"/>
          <w:sz w:val="19"/>
          <w:szCs w:val="19"/>
          <w:color w:val="auto"/>
        </w:rPr>
      </w:pPr>
      <w:r>
        <w:rPr>
          <w:rFonts w:ascii="Arial" w:cs="Arial" w:eastAsia="Arial" w:hAnsi="Arial"/>
          <w:sz w:val="19"/>
          <w:szCs w:val="19"/>
          <w:color w:val="auto"/>
        </w:rPr>
        <w:t>“Good Reason” shall mean the occurrence of any action, after the Amendment Date (as defined below), which (i) removes Employee as an officer of Parent (other than by reason of the elimination of Parent as part of a restructuring to achieve tax, regulatory, administrative, or other efficiency reasons), or if Parent is eliminated as part of a restructuring to achieve tax, regulatory, administrative, or other efficiency reasons, the Company, (ii) materially reduces Employee’s job responsibilities (other than by reason of the elimination of Parent as part of a restructuring to achieve tax, regulatory, administrative, or other efficiency reasons) or Base Salary, (iii) results in a significant worsening of Employee’s work conditions, or (iv) moves Employee’s place of employment to a location that increases Employee’s commute by more than thirty (30) miles over the length of Employee’s commute from Employee’s place of principal residence at the time the move is requested. In order to constitute Good Reason, (i) Employee must provide written notice identifying the event constituting Good Reason to Parent within sixty (60) days after the</w:t>
      </w:r>
    </w:p>
    <w:p>
      <w:pPr>
        <w:sectPr>
          <w:pgSz w:w="11900" w:h="16838" w:orient="portrait"/>
          <w:cols w:equalWidth="0" w:num="1">
            <w:col w:w="11060"/>
          </w:cols>
          <w:pgMar w:left="500" w:top="125" w:right="339" w:bottom="1440" w:gutter="0" w:footer="0" w:header="0"/>
        </w:sectPr>
      </w:pPr>
    </w:p>
    <w:bookmarkStart w:id="114" w:name="page115"/>
    <w:bookmarkEnd w:id="114"/>
    <w:p>
      <w:pPr>
        <w:jc w:val="both"/>
        <w:ind w:right="80"/>
        <w:spacing w:after="0" w:line="218" w:lineRule="auto"/>
        <w:rPr>
          <w:sz w:val="20"/>
          <w:szCs w:val="20"/>
          <w:color w:val="auto"/>
        </w:rPr>
      </w:pPr>
      <w:r>
        <w:rPr>
          <w:rFonts w:ascii="Arial" w:cs="Arial" w:eastAsia="Arial" w:hAnsi="Arial"/>
          <w:sz w:val="22"/>
          <w:szCs w:val="22"/>
          <w:color w:val="auto"/>
        </w:rPr>
        <w:t>event constituting Good Reason, (ii) Parent shall have a period of sixty (60) days in which it may correct the act or failure to act that constitutes the grounds for Good Reason as set forth in Employee’s notice of termination, and (iii) if Parent does not correct the act or failure to act, Employee’s employment shall terminate for Good Reason on the first business day following Parent’s sixty (60)-day cure period.</w:t>
      </w:r>
    </w:p>
    <w:p>
      <w:pPr>
        <w:spacing w:after="0" w:line="201" w:lineRule="exact"/>
        <w:rPr>
          <w:sz w:val="20"/>
          <w:szCs w:val="20"/>
          <w:color w:val="auto"/>
        </w:rPr>
      </w:pPr>
    </w:p>
    <w:p>
      <w:pPr>
        <w:ind w:left="1120" w:hanging="465"/>
        <w:spacing w:after="0"/>
        <w:tabs>
          <w:tab w:leader="none" w:pos="1120" w:val="left"/>
        </w:tabs>
        <w:numPr>
          <w:ilvl w:val="0"/>
          <w:numId w:val="58"/>
        </w:numPr>
        <w:rPr>
          <w:rFonts w:ascii="Arial" w:cs="Arial" w:eastAsia="Arial" w:hAnsi="Arial"/>
          <w:sz w:val="19"/>
          <w:szCs w:val="19"/>
          <w:color w:val="auto"/>
        </w:rPr>
      </w:pPr>
      <w:r>
        <w:rPr>
          <w:rFonts w:ascii="Arial" w:cs="Arial" w:eastAsia="Arial" w:hAnsi="Arial"/>
          <w:sz w:val="19"/>
          <w:szCs w:val="19"/>
          <w:color w:val="auto"/>
        </w:rPr>
        <w:t>Paragraph 1 of the Agreement entitled “Definitions” is hereby amended to add a new subsection (g) to read as</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follows:</w:t>
      </w:r>
    </w:p>
    <w:p>
      <w:pPr>
        <w:spacing w:after="0" w:line="188" w:lineRule="exact"/>
        <w:rPr>
          <w:rFonts w:ascii="Arial" w:cs="Arial" w:eastAsia="Arial" w:hAnsi="Arial"/>
          <w:sz w:val="19"/>
          <w:szCs w:val="19"/>
          <w:color w:val="auto"/>
        </w:rPr>
      </w:pPr>
    </w:p>
    <w:p>
      <w:pPr>
        <w:ind w:left="1780" w:hanging="477"/>
        <w:spacing w:after="0"/>
        <w:tabs>
          <w:tab w:leader="none" w:pos="1780" w:val="left"/>
        </w:tabs>
        <w:numPr>
          <w:ilvl w:val="1"/>
          <w:numId w:val="58"/>
        </w:numPr>
        <w:rPr>
          <w:rFonts w:ascii="Arial" w:cs="Arial" w:eastAsia="Arial" w:hAnsi="Arial"/>
          <w:sz w:val="19"/>
          <w:szCs w:val="19"/>
          <w:color w:val="auto"/>
        </w:rPr>
      </w:pPr>
      <w:r>
        <w:rPr>
          <w:rFonts w:ascii="Arial" w:cs="Arial" w:eastAsia="Arial" w:hAnsi="Arial"/>
          <w:sz w:val="19"/>
          <w:szCs w:val="19"/>
          <w:color w:val="auto"/>
        </w:rPr>
        <w:t>“Group” shall mean Parent, its direct and indirect subsidiaries and parents, and their direct and indirect</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subsidiaries.</w:t>
      </w:r>
    </w:p>
    <w:p>
      <w:pPr>
        <w:spacing w:after="0" w:line="201" w:lineRule="exact"/>
        <w:rPr>
          <w:rFonts w:ascii="Arial" w:cs="Arial" w:eastAsia="Arial" w:hAnsi="Arial"/>
          <w:sz w:val="19"/>
          <w:szCs w:val="19"/>
          <w:color w:val="auto"/>
        </w:rPr>
      </w:pPr>
    </w:p>
    <w:p>
      <w:pPr>
        <w:ind w:left="1120" w:hanging="465"/>
        <w:spacing w:after="0"/>
        <w:tabs>
          <w:tab w:leader="none" w:pos="1120" w:val="left"/>
        </w:tabs>
        <w:numPr>
          <w:ilvl w:val="0"/>
          <w:numId w:val="58"/>
        </w:numPr>
        <w:rPr>
          <w:rFonts w:ascii="Arial" w:cs="Arial" w:eastAsia="Arial" w:hAnsi="Arial"/>
          <w:sz w:val="21"/>
          <w:szCs w:val="21"/>
          <w:color w:val="auto"/>
        </w:rPr>
      </w:pPr>
      <w:r>
        <w:rPr>
          <w:rFonts w:ascii="Arial" w:cs="Arial" w:eastAsia="Arial" w:hAnsi="Arial"/>
          <w:sz w:val="21"/>
          <w:szCs w:val="21"/>
          <w:color w:val="auto"/>
        </w:rPr>
        <w:t>Paragraph 3 of the Agreement entitled “Duties of Employment” is hereby replaced with the following:</w:t>
      </w:r>
    </w:p>
    <w:p>
      <w:pPr>
        <w:spacing w:after="0" w:line="231" w:lineRule="exact"/>
        <w:rPr>
          <w:sz w:val="20"/>
          <w:szCs w:val="20"/>
          <w:color w:val="auto"/>
        </w:rPr>
      </w:pPr>
    </w:p>
    <w:p>
      <w:pPr>
        <w:ind w:left="1960" w:hanging="657"/>
        <w:spacing w:after="0"/>
        <w:tabs>
          <w:tab w:leader="none" w:pos="1960" w:val="left"/>
        </w:tabs>
        <w:numPr>
          <w:ilvl w:val="1"/>
          <w:numId w:val="59"/>
        </w:numPr>
        <w:rPr>
          <w:rFonts w:ascii="Arial" w:cs="Arial" w:eastAsia="Arial" w:hAnsi="Arial"/>
          <w:sz w:val="22"/>
          <w:szCs w:val="22"/>
          <w:color w:val="auto"/>
        </w:rPr>
      </w:pPr>
      <w:r>
        <w:rPr>
          <w:rFonts w:ascii="Arial" w:cs="Arial" w:eastAsia="Arial" w:hAnsi="Arial"/>
          <w:sz w:val="22"/>
          <w:szCs w:val="22"/>
          <w:u w:val="single" w:color="auto"/>
          <w:color w:val="auto"/>
        </w:rPr>
        <w:t>Duties of Employment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240" w:firstLine="1951"/>
        <w:spacing w:after="0" w:line="257" w:lineRule="auto"/>
        <w:tabs>
          <w:tab w:leader="none" w:pos="2412" w:val="left"/>
        </w:tabs>
        <w:numPr>
          <w:ilvl w:val="2"/>
          <w:numId w:val="59"/>
        </w:numPr>
        <w:rPr>
          <w:rFonts w:ascii="Arial" w:cs="Arial" w:eastAsia="Arial" w:hAnsi="Arial"/>
          <w:sz w:val="19"/>
          <w:szCs w:val="19"/>
          <w:color w:val="auto"/>
        </w:rPr>
      </w:pPr>
      <w:r>
        <w:rPr>
          <w:rFonts w:ascii="Arial" w:cs="Arial" w:eastAsia="Arial" w:hAnsi="Arial"/>
          <w:sz w:val="19"/>
          <w:szCs w:val="19"/>
          <w:color w:val="auto"/>
        </w:rPr>
        <w:t>Effective as of January 28, 2020 (the “Amendment Date”), Employee shall serve as the Vice President, Service Delivery of Parent and the Company. Employee shall report to the President of the Company. Employee understands and agrees that Employee’s principal place of employment shall be in Company’s principal offices and that Employee will be required to travel for business in the course of performing his duties.</w:t>
      </w:r>
    </w:p>
    <w:p>
      <w:pPr>
        <w:spacing w:after="0" w:line="184" w:lineRule="exact"/>
        <w:rPr>
          <w:rFonts w:ascii="Arial" w:cs="Arial" w:eastAsia="Arial" w:hAnsi="Arial"/>
          <w:sz w:val="19"/>
          <w:szCs w:val="19"/>
          <w:color w:val="auto"/>
        </w:rPr>
      </w:pPr>
    </w:p>
    <w:p>
      <w:pPr>
        <w:ind w:firstLine="1951"/>
        <w:spacing w:after="0" w:line="246" w:lineRule="auto"/>
        <w:tabs>
          <w:tab w:leader="none" w:pos="2411" w:val="left"/>
        </w:tabs>
        <w:numPr>
          <w:ilvl w:val="2"/>
          <w:numId w:val="59"/>
        </w:numPr>
        <w:rPr>
          <w:rFonts w:ascii="Arial" w:cs="Arial" w:eastAsia="Arial" w:hAnsi="Arial"/>
          <w:sz w:val="19"/>
          <w:szCs w:val="19"/>
          <w:color w:val="auto"/>
        </w:rPr>
      </w:pPr>
      <w:r>
        <w:rPr>
          <w:rFonts w:ascii="Arial" w:cs="Arial" w:eastAsia="Arial" w:hAnsi="Arial"/>
          <w:sz w:val="19"/>
          <w:szCs w:val="19"/>
          <w:color w:val="auto"/>
        </w:rPr>
        <w:t xml:space="preserve">During the Term, Employee will serve Company faithfully, diligently and competently and will devote full-time to Employee’s employment and will hold, in addition to the offices held on the Amendment Date, such other offices of any member of the Group to which Employee may be elected, appointed or assigned by the Board of Directors of Parent from time to time and will discharge such Employee duties in connection therewith. Nothing in this Agreement shall preclude Employee, with the prior approval of the Board of Directors of Parent, from devoting reasonable periods of time required for (i) serving as a director or member of a committee of any organization involving no conflict of interest with any member of the Group, or (ii) engaging in charitable, religious and community activities, </w:t>
      </w:r>
      <w:r>
        <w:rPr>
          <w:rFonts w:ascii="Arial" w:cs="Arial" w:eastAsia="Arial" w:hAnsi="Arial"/>
          <w:sz w:val="19"/>
          <w:szCs w:val="19"/>
          <w:u w:val="single" w:color="auto"/>
          <w:color w:val="auto"/>
        </w:rPr>
        <w:t>provided</w:t>
      </w:r>
      <w:r>
        <w:rPr>
          <w:rFonts w:ascii="Arial" w:cs="Arial" w:eastAsia="Arial" w:hAnsi="Arial"/>
          <w:sz w:val="19"/>
          <w:szCs w:val="19"/>
          <w:color w:val="auto"/>
        </w:rPr>
        <w:t>, that such directorships, memberships or activities do not materially interfere with the performance of Employee’s duties hereunder.</w:t>
      </w:r>
    </w:p>
    <w:p>
      <w:pPr>
        <w:spacing w:after="0" w:line="179" w:lineRule="exact"/>
        <w:rPr>
          <w:rFonts w:ascii="Arial" w:cs="Arial" w:eastAsia="Arial" w:hAnsi="Arial"/>
          <w:sz w:val="19"/>
          <w:szCs w:val="19"/>
          <w:color w:val="auto"/>
        </w:rPr>
      </w:pPr>
    </w:p>
    <w:p>
      <w:pPr>
        <w:ind w:left="1120" w:hanging="465"/>
        <w:spacing w:after="0"/>
        <w:tabs>
          <w:tab w:leader="none" w:pos="1120" w:val="left"/>
        </w:tabs>
        <w:numPr>
          <w:ilvl w:val="0"/>
          <w:numId w:val="60"/>
        </w:numPr>
        <w:rPr>
          <w:rFonts w:ascii="Arial" w:cs="Arial" w:eastAsia="Arial" w:hAnsi="Arial"/>
          <w:sz w:val="22"/>
          <w:szCs w:val="22"/>
          <w:color w:val="auto"/>
        </w:rPr>
      </w:pPr>
      <w:r>
        <w:rPr>
          <w:rFonts w:ascii="Arial" w:cs="Arial" w:eastAsia="Arial" w:hAnsi="Arial"/>
          <w:sz w:val="22"/>
          <w:szCs w:val="22"/>
          <w:color w:val="auto"/>
        </w:rPr>
        <w:t>Paragraph 4 of the Agreement entitled “Compensation” is hereby replaced with the following:</w:t>
      </w:r>
    </w:p>
    <w:p>
      <w:pPr>
        <w:spacing w:after="0" w:line="287" w:lineRule="exact"/>
        <w:rPr>
          <w:rFonts w:ascii="Arial" w:cs="Arial" w:eastAsia="Arial" w:hAnsi="Arial"/>
          <w:sz w:val="22"/>
          <w:szCs w:val="22"/>
          <w:color w:val="auto"/>
        </w:rPr>
      </w:pPr>
    </w:p>
    <w:p>
      <w:pPr>
        <w:ind w:left="1760" w:hanging="457"/>
        <w:spacing w:after="0"/>
        <w:tabs>
          <w:tab w:leader="none" w:pos="1760" w:val="left"/>
        </w:tabs>
        <w:numPr>
          <w:ilvl w:val="1"/>
          <w:numId w:val="60"/>
        </w:numPr>
        <w:rPr>
          <w:rFonts w:ascii="Arial" w:cs="Arial" w:eastAsia="Arial" w:hAnsi="Arial"/>
          <w:sz w:val="19"/>
          <w:szCs w:val="19"/>
          <w:color w:val="auto"/>
        </w:rPr>
      </w:pPr>
      <w:r>
        <w:rPr>
          <w:rFonts w:ascii="Arial" w:cs="Arial" w:eastAsia="Arial" w:hAnsi="Arial"/>
          <w:sz w:val="19"/>
          <w:szCs w:val="19"/>
          <w:u w:val="single" w:color="auto"/>
          <w:color w:val="auto"/>
        </w:rPr>
        <w:t>Compensation</w:t>
      </w:r>
      <w:r>
        <w:rPr>
          <w:rFonts w:ascii="Arial" w:cs="Arial" w:eastAsia="Arial" w:hAnsi="Arial"/>
          <w:sz w:val="19"/>
          <w:szCs w:val="19"/>
          <w:color w:val="auto"/>
        </w:rPr>
        <w:t>. During the Term, Company shall pay to Employee as compensation for the services</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to be rendered by Employee hereunder the following:</w:t>
      </w:r>
    </w:p>
    <w:p>
      <w:pPr>
        <w:spacing w:after="0" w:line="202" w:lineRule="exact"/>
        <w:rPr>
          <w:sz w:val="20"/>
          <w:szCs w:val="20"/>
          <w:color w:val="auto"/>
        </w:rPr>
      </w:pPr>
    </w:p>
    <w:p>
      <w:pPr>
        <w:ind w:right="80" w:firstLine="1951"/>
        <w:spacing w:after="0" w:line="268" w:lineRule="auto"/>
        <w:tabs>
          <w:tab w:leader="none" w:pos="2412"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Commencing as of the Amendment Date, Company shall pay Employee a base salary (“Base Salary”) at the annual rate of $231,851.36. Such compensation shall be payable in accordance with the normal payroll practices of Company. Commencing with the 2021 calendar year, Employee shall receive an annual increase in base</w:t>
      </w:r>
    </w:p>
    <w:p>
      <w:pPr>
        <w:sectPr>
          <w:pgSz w:w="11900" w:h="16838" w:orient="portrait"/>
          <w:cols w:equalWidth="0" w:num="1">
            <w:col w:w="10840"/>
          </w:cols>
          <w:pgMar w:left="500" w:top="1401" w:right="559" w:bottom="1440" w:gutter="0" w:footer="0" w:header="0"/>
        </w:sectPr>
      </w:pPr>
    </w:p>
    <w:bookmarkStart w:id="115" w:name="page116"/>
    <w:bookmarkEnd w:id="115"/>
    <w:p>
      <w:pPr>
        <w:spacing w:after="0" w:line="272" w:lineRule="exact"/>
        <w:rPr>
          <w:sz w:val="20"/>
          <w:szCs w:val="20"/>
          <w:color w:val="auto"/>
        </w:rPr>
      </w:pPr>
    </w:p>
    <w:p>
      <w:pPr>
        <w:ind w:right="320"/>
        <w:spacing w:after="0" w:line="223" w:lineRule="auto"/>
        <w:rPr>
          <w:sz w:val="20"/>
          <w:szCs w:val="20"/>
          <w:color w:val="auto"/>
        </w:rPr>
      </w:pPr>
      <w:r>
        <w:rPr>
          <w:rFonts w:ascii="Arial" w:cs="Arial" w:eastAsia="Arial" w:hAnsi="Arial"/>
          <w:sz w:val="22"/>
          <w:szCs w:val="22"/>
          <w:color w:val="auto"/>
        </w:rPr>
        <w:t>salary in connection with an annual performance review, of not less than the percentage increase in the cost-of-living since Employee’s last pay adjustment, as measured by the Consumer Price Index-All Urban Consumers of the U.S. Bureau of Labor Statistics.</w:t>
      </w:r>
    </w:p>
    <w:p>
      <w:pPr>
        <w:spacing w:after="0" w:line="199" w:lineRule="exact"/>
        <w:rPr>
          <w:sz w:val="20"/>
          <w:szCs w:val="20"/>
          <w:color w:val="auto"/>
        </w:rPr>
      </w:pPr>
    </w:p>
    <w:p>
      <w:pPr>
        <w:ind w:right="80" w:firstLine="1951"/>
        <w:spacing w:after="0" w:line="241" w:lineRule="auto"/>
        <w:tabs>
          <w:tab w:leader="none" w:pos="2411"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Annual Bonus</w:t>
      </w:r>
      <w:r>
        <w:rPr>
          <w:rFonts w:ascii="Arial" w:cs="Arial" w:eastAsia="Arial" w:hAnsi="Arial"/>
          <w:sz w:val="19"/>
          <w:szCs w:val="19"/>
          <w:color w:val="auto"/>
        </w:rPr>
        <w:t>. Employee shall be eligible to receive an annual bonus (“Annual Bonus”) for each calendar year during the Term, commencing with the 2020 calendar year, based on the attainment of individual and corporate performance goals and targets established by the Board of Directors of Parent. The target amount of Employee’s Annual Bonus (the “Target Annual Bonus”) for 2020 shall be at least $71,820 and, commencing with the 2021 calendar year, shall be at least 30% of Employee’s Base Salary for the applicable year, with the actual Annual Bonus ranging from 0-150% of the Target Annual Bonus based on the level of achievement of the applicable performance goals, as determined by the Board of Directors of Parent. Up to an additional 50% of the Target Annual Bonus may also be awarded to Employee for exceptional individual performance, as determined by the Board of Directors of Parent in its discretion. Any Annual Bonus shall be paid after the end of the calendar year to which it relates, at the same time and under the same terms and conditions as the bonuses for other executive officers of Parent (other than the Parent Chief Executive Officer); provided that in no event shall Employee’s Annual Bonus be paid later than two and a half months after the last day of the fiscal year to which the Annual Bonus relates. The Annual Bonus shall be subject to the terms of the annual bonus plan or program that is applicable to other executive officers of Parent (other than the Parent Chief Executive Officer), including requirements as to continued employment, subject to the provisions of Paragraph 7 below.</w:t>
      </w:r>
    </w:p>
    <w:p>
      <w:pPr>
        <w:spacing w:after="0" w:line="208" w:lineRule="exact"/>
        <w:rPr>
          <w:rFonts w:ascii="Arial" w:cs="Arial" w:eastAsia="Arial" w:hAnsi="Arial"/>
          <w:sz w:val="19"/>
          <w:szCs w:val="19"/>
          <w:color w:val="auto"/>
        </w:rPr>
      </w:pPr>
    </w:p>
    <w:p>
      <w:pPr>
        <w:ind w:firstLine="1951"/>
        <w:spacing w:after="0"/>
        <w:tabs>
          <w:tab w:leader="none" w:pos="2412"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Equity Compensation</w:t>
      </w:r>
      <w:r>
        <w:rPr>
          <w:rFonts w:ascii="Arial" w:cs="Arial" w:eastAsia="Arial" w:hAnsi="Arial"/>
          <w:sz w:val="19"/>
          <w:szCs w:val="19"/>
          <w:color w:val="auto"/>
        </w:rPr>
        <w:t>. Commencing with the 2020 calendar year and contingent on Employee’s continued employment through the grant date, Employee shall be eligible to receive an annual award of restricted stock units (“RSUs”) covering a number of shares of SJW common stock with a value equal to $71,820 at the target level of performance, and a value of $107,730 at the maximum level of performance, calculated by dividing such value by the Share Price (as defined below) on the date of grant, rounded to the nearest whole number (the “RSU Award”). The RSU Award shall be granted at the same time as annual equity awards for the applicable year are granted to executive officers of SJW (other than the SJW Chief Executive Officer). The RSU Award shall be granted in the form of a time-based RSU award that vests based on Employee’s continued service with Company over a specified service period (the “Time-Based RSU Award”) and/or a performance-based RSU award that vests based on the achievement of performance goals (as measured over the applicable performance period specified for the award) as determined by the Executive Compensation Committee of the Board of Directors of SJW (the “ECC”), subject to Employee’s continued employment with Company through the respective vesting dates (the “Performance-Based RSU Award”). The allocation between a Time-Based RSU Award and Performance-Based RSU Award shall be determined by the ECC. The terms of the Time-Based RSU Award and Performance-Based RSU Award, including the applicable performance goals, shall be as set forth in the SJW Long-Term Incentive Plan, as may be amended, and the applicable form Restricted Stock Unit Issuance Agreement provided by SJW for the applicable year, with such form consistent with the form used for other executive officers of SJW for the applicable year (other than the SJW Chief Executive Officer). Dividend equivalent rights will not accrue with respect to the RSU Award. “Share Price” shall mean the closing price per share of SJW common stock at the close of regular hours trading on the New York Stock Exchange on the relevant date.</w:t>
      </w:r>
    </w:p>
    <w:p>
      <w:pPr>
        <w:sectPr>
          <w:pgSz w:w="11900" w:h="16838" w:orient="portrait"/>
          <w:cols w:equalWidth="0" w:num="1">
            <w:col w:w="10920"/>
          </w:cols>
          <w:pgMar w:left="500" w:top="1440" w:right="479" w:bottom="1440" w:gutter="0" w:footer="0" w:header="0"/>
        </w:sectPr>
      </w:pPr>
    </w:p>
    <w:bookmarkStart w:id="116" w:name="page117"/>
    <w:bookmarkEnd w:id="116"/>
    <w:p>
      <w:pPr>
        <w:spacing w:after="0" w:line="27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w:t>
      </w:r>
    </w:p>
    <w:p>
      <w:pPr>
        <w:spacing w:after="0" w:line="206" w:lineRule="exact"/>
        <w:rPr>
          <w:sz w:val="20"/>
          <w:szCs w:val="20"/>
          <w:color w:val="auto"/>
        </w:rPr>
      </w:pPr>
    </w:p>
    <w:p>
      <w:pPr>
        <w:jc w:val="right"/>
        <w:ind w:right="60"/>
        <w:spacing w:after="0"/>
        <w:rPr>
          <w:sz w:val="20"/>
          <w:szCs w:val="20"/>
          <w:color w:val="auto"/>
        </w:rPr>
      </w:pPr>
      <w:r>
        <w:rPr>
          <w:rFonts w:ascii="Arial" w:cs="Arial" w:eastAsia="Arial" w:hAnsi="Arial"/>
          <w:sz w:val="19"/>
          <w:szCs w:val="19"/>
          <w:color w:val="auto"/>
        </w:rPr>
        <w:t>benefits:</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Paragraph 5 of the Agreement entitled “Benefits” is hereby replaced with the following:</w:t>
      </w:r>
    </w:p>
    <w:p>
      <w:pPr>
        <w:ind w:left="5260"/>
        <w:spacing w:after="0" w:line="237" w:lineRule="auto"/>
        <w:rPr>
          <w:sz w:val="20"/>
          <w:szCs w:val="20"/>
          <w:color w:val="auto"/>
        </w:rPr>
      </w:pPr>
      <w:r>
        <w:rPr>
          <w:rFonts w:ascii="Arial" w:cs="Arial" w:eastAsia="Arial" w:hAnsi="Arial"/>
          <w:sz w:val="19"/>
          <w:szCs w:val="19"/>
          <w:u w:val="single" w:color="auto"/>
          <w:color w:val="auto"/>
        </w:rPr>
        <w:t>Benefits</w:t>
      </w:r>
      <w:r>
        <w:rPr>
          <w:rFonts w:ascii="Arial" w:cs="Arial" w:eastAsia="Arial" w:hAnsi="Arial"/>
          <w:sz w:val="19"/>
          <w:szCs w:val="19"/>
          <w:color w:val="auto"/>
        </w:rPr>
        <w:t>. During the Term, Employee shall be</w:t>
      </w:r>
    </w:p>
    <w:p>
      <w:pPr>
        <w:ind w:left="5260"/>
        <w:spacing w:after="0"/>
        <w:rPr>
          <w:sz w:val="20"/>
          <w:szCs w:val="20"/>
          <w:color w:val="auto"/>
        </w:rPr>
      </w:pPr>
      <w:r>
        <w:rPr>
          <w:rFonts w:ascii="Arial" w:cs="Arial" w:eastAsia="Arial" w:hAnsi="Arial"/>
          <w:sz w:val="22"/>
          <w:szCs w:val="22"/>
          <w:color w:val="auto"/>
        </w:rPr>
        <w:t>entitled to the following</w:t>
      </w:r>
    </w:p>
    <w:p>
      <w:pPr>
        <w:spacing w:after="0" w:line="382" w:lineRule="exact"/>
        <w:rPr>
          <w:sz w:val="20"/>
          <w:szCs w:val="20"/>
          <w:color w:val="auto"/>
        </w:rPr>
      </w:pPr>
    </w:p>
    <w:p>
      <w:pPr>
        <w:sectPr>
          <w:pgSz w:w="11900" w:h="16838" w:orient="portrait"/>
          <w:cols w:equalWidth="0" w:num="2">
            <w:col w:w="820" w:space="300"/>
            <w:col w:w="9600"/>
          </w:cols>
          <w:pgMar w:left="500" w:top="1440" w:right="679" w:bottom="1440" w:gutter="0" w:footer="0" w:header="0"/>
        </w:sectPr>
      </w:pPr>
    </w:p>
    <w:p>
      <w:pPr>
        <w:ind w:left="6380"/>
        <w:spacing w:after="0"/>
        <w:tabs>
          <w:tab w:leader="none" w:pos="700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21"/>
          <w:szCs w:val="21"/>
          <w:u w:val="single" w:color="auto"/>
          <w:color w:val="auto"/>
        </w:rPr>
        <w:t>Retirement and Welfare Benefit Plans</w:t>
      </w:r>
      <w:r>
        <w:rPr>
          <w:rFonts w:ascii="Arial" w:cs="Arial" w:eastAsia="Arial" w:hAnsi="Arial"/>
          <w:sz w:val="21"/>
          <w:szCs w:val="21"/>
          <w:color w:val="auto"/>
        </w:rPr>
        <w:t>.</w:t>
      </w:r>
    </w:p>
    <w:p>
      <w:pPr>
        <w:ind w:left="7040"/>
        <w:spacing w:after="0" w:line="204" w:lineRule="auto"/>
        <w:rPr>
          <w:sz w:val="20"/>
          <w:szCs w:val="20"/>
          <w:color w:val="auto"/>
        </w:rPr>
      </w:pPr>
      <w:r>
        <w:rPr>
          <w:rFonts w:ascii="Arial" w:cs="Arial" w:eastAsia="Arial" w:hAnsi="Arial"/>
          <w:sz w:val="22"/>
          <w:szCs w:val="22"/>
          <w:color w:val="auto"/>
        </w:rPr>
        <w:t>During the Term,</w:t>
      </w:r>
    </w:p>
    <w:p>
      <w:pPr>
        <w:spacing w:after="0" w:line="1" w:lineRule="exact"/>
        <w:rPr>
          <w:sz w:val="20"/>
          <w:szCs w:val="20"/>
          <w:color w:val="auto"/>
        </w:rPr>
      </w:pPr>
    </w:p>
    <w:p>
      <w:pPr>
        <w:ind w:right="40"/>
        <w:spacing w:after="0" w:line="212" w:lineRule="auto"/>
        <w:rPr>
          <w:sz w:val="20"/>
          <w:szCs w:val="20"/>
          <w:color w:val="auto"/>
        </w:rPr>
      </w:pPr>
      <w:r>
        <w:rPr>
          <w:rFonts w:ascii="Arial" w:cs="Arial" w:eastAsia="Arial" w:hAnsi="Arial"/>
          <w:sz w:val="22"/>
          <w:szCs w:val="22"/>
          <w:color w:val="auto"/>
        </w:rPr>
        <w:t>Employee shall be eligible to participate in Company’s retirement, savings, health, welfare and fringe benefit plans and programs applicable to executive officers of Company (including, without limitation, medical, prescription, dental, disability, salary continuance, employee life, and group life), pursuant to their respective terms and conditions. Nothing in this Agreement shall preclude Company, or any member of the Group, from terminating or amending any employee benefit plan or program from time to time after the Effective Date.</w:t>
      </w:r>
    </w:p>
    <w:p>
      <w:pPr>
        <w:spacing w:after="0" w:line="201" w:lineRule="exact"/>
        <w:rPr>
          <w:sz w:val="20"/>
          <w:szCs w:val="20"/>
          <w:color w:val="auto"/>
        </w:rPr>
      </w:pPr>
    </w:p>
    <w:p>
      <w:pPr>
        <w:ind w:right="240" w:firstLine="1951"/>
        <w:spacing w:after="0" w:line="223" w:lineRule="auto"/>
        <w:tabs>
          <w:tab w:leader="none" w:pos="2411" w:val="left"/>
        </w:tabs>
        <w:numPr>
          <w:ilvl w:val="1"/>
          <w:numId w:val="63"/>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During the Term, Employee shall be entitled to reimbursement for all reasonable business expenses incurred by Employee in the performance of his duties hereunder in accordance with such policies and procedures as Company may adopt generally from time to time.</w:t>
      </w:r>
    </w:p>
    <w:p>
      <w:pPr>
        <w:spacing w:after="0" w:line="199" w:lineRule="exact"/>
        <w:rPr>
          <w:rFonts w:ascii="Arial" w:cs="Arial" w:eastAsia="Arial" w:hAnsi="Arial"/>
          <w:sz w:val="22"/>
          <w:szCs w:val="22"/>
          <w:color w:val="auto"/>
        </w:rPr>
      </w:pPr>
    </w:p>
    <w:p>
      <w:pPr>
        <w:ind w:right="160" w:firstLine="1951"/>
        <w:spacing w:after="0" w:line="232" w:lineRule="auto"/>
        <w:tabs>
          <w:tab w:leader="none" w:pos="2412" w:val="left"/>
        </w:tabs>
        <w:numPr>
          <w:ilvl w:val="1"/>
          <w:numId w:val="63"/>
        </w:numPr>
        <w:rPr>
          <w:rFonts w:ascii="Arial" w:cs="Arial" w:eastAsia="Arial" w:hAnsi="Arial"/>
          <w:sz w:val="22"/>
          <w:szCs w:val="22"/>
          <w:color w:val="auto"/>
        </w:rPr>
      </w:pPr>
      <w:r>
        <w:rPr>
          <w:rFonts w:ascii="Arial" w:cs="Arial" w:eastAsia="Arial" w:hAnsi="Arial"/>
          <w:sz w:val="22"/>
          <w:szCs w:val="22"/>
          <w:u w:val="single" w:color="auto"/>
          <w:color w:val="auto"/>
        </w:rPr>
        <w:t>Vacation</w:t>
      </w:r>
      <w:r>
        <w:rPr>
          <w:rFonts w:ascii="Arial" w:cs="Arial" w:eastAsia="Arial" w:hAnsi="Arial"/>
          <w:sz w:val="22"/>
          <w:szCs w:val="22"/>
          <w:color w:val="auto"/>
        </w:rPr>
        <w:t>. During the Term, Employee shall be entitled to paid vacation in accordance with the plans and programs of Company, as in effect from time to time.</w:t>
      </w:r>
    </w:p>
    <w:p>
      <w:pPr>
        <w:spacing w:after="0" w:line="185" w:lineRule="exact"/>
        <w:rPr>
          <w:rFonts w:ascii="Arial" w:cs="Arial" w:eastAsia="Arial" w:hAnsi="Arial"/>
          <w:sz w:val="22"/>
          <w:szCs w:val="22"/>
          <w:color w:val="auto"/>
        </w:rPr>
      </w:pPr>
    </w:p>
    <w:p>
      <w:pPr>
        <w:ind w:firstLine="655"/>
        <w:spacing w:after="0" w:line="232" w:lineRule="auto"/>
        <w:tabs>
          <w:tab w:leader="none" w:pos="1106" w:val="left"/>
        </w:tabs>
        <w:numPr>
          <w:ilvl w:val="0"/>
          <w:numId w:val="64"/>
        </w:numPr>
        <w:rPr>
          <w:rFonts w:ascii="Arial" w:cs="Arial" w:eastAsia="Arial" w:hAnsi="Arial"/>
          <w:sz w:val="22"/>
          <w:szCs w:val="22"/>
          <w:color w:val="auto"/>
        </w:rPr>
      </w:pPr>
      <w:r>
        <w:rPr>
          <w:rFonts w:ascii="Arial" w:cs="Arial" w:eastAsia="Arial" w:hAnsi="Arial"/>
          <w:sz w:val="22"/>
          <w:szCs w:val="22"/>
          <w:color w:val="auto"/>
        </w:rPr>
        <w:t>Subparagraph (c) of Paragraph 6 of the Agreement entitled “End of Term and Notice of Termination” is hereby amended to add the following subsection (iii) after subsection (ii):</w:t>
      </w:r>
    </w:p>
    <w:p>
      <w:pPr>
        <w:spacing w:after="0" w:line="267" w:lineRule="exact"/>
        <w:rPr>
          <w:sz w:val="20"/>
          <w:szCs w:val="20"/>
          <w:color w:val="auto"/>
        </w:rPr>
      </w:pPr>
    </w:p>
    <w:p>
      <w:pPr>
        <w:ind w:right="180" w:firstLine="1295"/>
        <w:spacing w:after="0" w:line="223" w:lineRule="auto"/>
        <w:rPr>
          <w:sz w:val="20"/>
          <w:szCs w:val="20"/>
          <w:color w:val="auto"/>
        </w:rPr>
      </w:pPr>
      <w:r>
        <w:rPr>
          <w:rFonts w:ascii="Arial" w:cs="Arial" w:eastAsia="Arial" w:hAnsi="Arial"/>
          <w:sz w:val="22"/>
          <w:szCs w:val="22"/>
          <w:color w:val="auto"/>
        </w:rPr>
        <w:t>and (iii) notwithstanding anything to the contrary in Paragraph 6(b) or this Paragraph 6(c), if Employee’s employment is terminated by Employee for Good Reason, the date of termination shall be the first business day following Parent’s sixty (60)-day cure period as set forth in Paragraph 1(e).</w:t>
      </w:r>
    </w:p>
    <w:p>
      <w:pPr>
        <w:spacing w:after="0" w:line="199" w:lineRule="exact"/>
        <w:rPr>
          <w:sz w:val="20"/>
          <w:szCs w:val="20"/>
          <w:color w:val="auto"/>
        </w:rPr>
      </w:pPr>
    </w:p>
    <w:p>
      <w:pPr>
        <w:ind w:right="720" w:firstLine="655"/>
        <w:spacing w:after="0" w:line="232" w:lineRule="auto"/>
        <w:tabs>
          <w:tab w:leader="none" w:pos="1106" w:val="left"/>
        </w:tabs>
        <w:numPr>
          <w:ilvl w:val="0"/>
          <w:numId w:val="65"/>
        </w:numPr>
        <w:rPr>
          <w:rFonts w:ascii="Arial" w:cs="Arial" w:eastAsia="Arial" w:hAnsi="Arial"/>
          <w:sz w:val="22"/>
          <w:szCs w:val="22"/>
          <w:color w:val="auto"/>
        </w:rPr>
      </w:pPr>
      <w:r>
        <w:rPr>
          <w:rFonts w:ascii="Arial" w:cs="Arial" w:eastAsia="Arial" w:hAnsi="Arial"/>
          <w:sz w:val="22"/>
          <w:szCs w:val="22"/>
          <w:color w:val="auto"/>
        </w:rPr>
        <w:t>Subparagraph (e)(vi) of Paragraph 7 of the Agreement entitled “Payment Upon Termination” is hereby replaced with the following:</w:t>
      </w:r>
    </w:p>
    <w:p>
      <w:pPr>
        <w:spacing w:after="0" w:line="199" w:lineRule="exact"/>
        <w:rPr>
          <w:rFonts w:ascii="Arial" w:cs="Arial" w:eastAsia="Arial" w:hAnsi="Arial"/>
          <w:sz w:val="22"/>
          <w:szCs w:val="22"/>
          <w:color w:val="auto"/>
        </w:rPr>
      </w:pPr>
    </w:p>
    <w:p>
      <w:pPr>
        <w:jc w:val="both"/>
        <w:ind w:right="460" w:firstLine="1303"/>
        <w:spacing w:after="0" w:line="268" w:lineRule="auto"/>
        <w:tabs>
          <w:tab w:leader="none" w:pos="1823" w:val="left"/>
        </w:tabs>
        <w:numPr>
          <w:ilvl w:val="1"/>
          <w:numId w:val="65"/>
        </w:numPr>
        <w:rPr>
          <w:rFonts w:ascii="Arial" w:cs="Arial" w:eastAsia="Arial" w:hAnsi="Arial"/>
          <w:sz w:val="19"/>
          <w:szCs w:val="19"/>
          <w:color w:val="auto"/>
        </w:rPr>
      </w:pPr>
      <w:r>
        <w:rPr>
          <w:rFonts w:ascii="Arial" w:cs="Arial" w:eastAsia="Arial" w:hAnsi="Arial"/>
          <w:sz w:val="19"/>
          <w:szCs w:val="19"/>
          <w:color w:val="auto"/>
        </w:rPr>
        <w:t>Employee shall vest in full in all Parent incentive awards assumed by SJW in connection with the Merger that remain unvested on the date of such termination, which shall be payable in accordance with the terms and conditions (including any deferral election) set forth in the applicable plan document and award agreement.</w:t>
      </w:r>
    </w:p>
    <w:p>
      <w:pPr>
        <w:spacing w:after="0" w:line="159" w:lineRule="exact"/>
        <w:rPr>
          <w:rFonts w:ascii="Arial" w:cs="Arial" w:eastAsia="Arial" w:hAnsi="Arial"/>
          <w:sz w:val="19"/>
          <w:szCs w:val="19"/>
          <w:color w:val="auto"/>
        </w:rPr>
      </w:pPr>
    </w:p>
    <w:p>
      <w:pPr>
        <w:ind w:left="1120" w:hanging="465"/>
        <w:spacing w:after="0"/>
        <w:tabs>
          <w:tab w:leader="none" w:pos="1120" w:val="left"/>
        </w:tabs>
        <w:numPr>
          <w:ilvl w:val="0"/>
          <w:numId w:val="65"/>
        </w:numPr>
        <w:rPr>
          <w:rFonts w:ascii="Arial" w:cs="Arial" w:eastAsia="Arial" w:hAnsi="Arial"/>
          <w:sz w:val="21"/>
          <w:szCs w:val="21"/>
          <w:color w:val="auto"/>
        </w:rPr>
      </w:pPr>
      <w:r>
        <w:rPr>
          <w:rFonts w:ascii="Arial" w:cs="Arial" w:eastAsia="Arial" w:hAnsi="Arial"/>
          <w:sz w:val="21"/>
          <w:szCs w:val="21"/>
          <w:color w:val="auto"/>
        </w:rPr>
        <w:t>Paragraph 8 of the Agreement entitled “Confidential Information” is hereby replaced with the following:</w:t>
      </w:r>
    </w:p>
    <w:p>
      <w:pPr>
        <w:spacing w:after="0" w:line="231" w:lineRule="exact"/>
        <w:rPr>
          <w:sz w:val="20"/>
          <w:szCs w:val="20"/>
          <w:color w:val="auto"/>
        </w:rPr>
      </w:pPr>
    </w:p>
    <w:p>
      <w:pPr>
        <w:ind w:left="1960" w:hanging="657"/>
        <w:spacing w:after="0"/>
        <w:tabs>
          <w:tab w:leader="none" w:pos="196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40" w:firstLine="1747"/>
        <w:spacing w:after="0" w:line="257" w:lineRule="auto"/>
        <w:tabs>
          <w:tab w:leader="none" w:pos="2402" w:val="left"/>
        </w:tabs>
        <w:numPr>
          <w:ilvl w:val="1"/>
          <w:numId w:val="66"/>
        </w:numPr>
        <w:rPr>
          <w:rFonts w:ascii="Arial" w:cs="Arial" w:eastAsia="Arial" w:hAnsi="Arial"/>
          <w:sz w:val="19"/>
          <w:szCs w:val="19"/>
          <w:color w:val="auto"/>
        </w:rPr>
      </w:pPr>
      <w:r>
        <w:rPr>
          <w:rFonts w:ascii="Arial" w:cs="Arial" w:eastAsia="Arial" w:hAnsi="Arial"/>
          <w:sz w:val="19"/>
          <w:szCs w:val="19"/>
          <w:color w:val="auto"/>
        </w:rPr>
        <w:t>Employee reaffirms and agrees to observe and abide by any and all existing contractual terms regarding protection of Company’s confidential or proprietary information, specifically including any provisions therein regarding nondisclosure of Company’s trade secrets and confidential and proprietary information, regardless of whether the underlyingagreement containing said terms is otherwise superseded by this Agreement.</w:t>
      </w:r>
    </w:p>
    <w:p>
      <w:pPr>
        <w:sectPr>
          <w:pgSz w:w="11900" w:h="16838" w:orient="portrait"/>
          <w:cols w:equalWidth="0" w:num="1">
            <w:col w:w="10720"/>
          </w:cols>
          <w:pgMar w:left="500" w:top="1440" w:right="679" w:bottom="1440" w:gutter="0" w:footer="0" w:header="0"/>
          <w:type w:val="continuous"/>
        </w:sectPr>
      </w:pPr>
    </w:p>
    <w:bookmarkStart w:id="117" w:name="page118"/>
    <w:bookmarkEnd w:id="117"/>
    <w:p>
      <w:pPr>
        <w:spacing w:after="0" w:line="242" w:lineRule="auto"/>
        <w:rPr>
          <w:sz w:val="20"/>
          <w:szCs w:val="20"/>
          <w:color w:val="auto"/>
        </w:rPr>
      </w:pPr>
      <w:r>
        <w:rPr>
          <w:rFonts w:ascii="Arial" w:cs="Arial" w:eastAsia="Arial" w:hAnsi="Arial"/>
          <w:sz w:val="19"/>
          <w:szCs w:val="19"/>
          <w:color w:val="auto"/>
        </w:rPr>
        <w:t>Employee understands that in the course of Employee’s further employment by Company, Employee will continue to receive or have access to Confidential Information concerning the business or purposes of the members of the Group, and which the Group desires to protect. Employee understands that for purposes of this Agreement, “Confidential Information” means any Company and/or Group proprietary information, technical data, trade secrets or know-how, including, but not be limited to, customer lists and information, employee lists, including, if known, confidential personnel information and data of the members of the Group, as well as research, product plans, products, services, customer lists and customers, markets, software, developments, inventions, processes, formulas, technology, designs, drawings, engineering, hardware configuration information, marketing, finances, or other business information. Notwithstanding the generality of the foregoing, Confidential Information does not include information that has become publicly known and made generally available through no wrongful act of Employee or others. Employee agrees that Employee will not, at any time, reveal to anyone outside of any member of the Group or use for Employee’s own benefit any such information without specific written authorization by Company. Employee further agrees not to use any such Confidential Information or trade secrets in competing with any member of the Group at any time.</w:t>
      </w:r>
    </w:p>
    <w:p>
      <w:pPr>
        <w:spacing w:after="0" w:line="200" w:lineRule="exact"/>
        <w:rPr>
          <w:sz w:val="20"/>
          <w:szCs w:val="20"/>
          <w:color w:val="auto"/>
        </w:rPr>
      </w:pPr>
    </w:p>
    <w:p>
      <w:pPr>
        <w:spacing w:after="0" w:line="288" w:lineRule="exact"/>
        <w:rPr>
          <w:sz w:val="20"/>
          <w:szCs w:val="20"/>
          <w:color w:val="auto"/>
        </w:rPr>
      </w:pPr>
    </w:p>
    <w:p>
      <w:pPr>
        <w:ind w:right="80" w:firstLine="1837"/>
        <w:spacing w:after="0" w:line="238" w:lineRule="auto"/>
        <w:tabs>
          <w:tab w:leader="none" w:pos="2402" w:val="left"/>
        </w:tabs>
        <w:numPr>
          <w:ilvl w:val="2"/>
          <w:numId w:val="67"/>
        </w:numPr>
        <w:rPr>
          <w:rFonts w:ascii="Arial" w:cs="Arial" w:eastAsia="Arial" w:hAnsi="Arial"/>
          <w:sz w:val="19"/>
          <w:szCs w:val="19"/>
          <w:color w:val="auto"/>
        </w:rPr>
      </w:pPr>
      <w:r>
        <w:rPr>
          <w:rFonts w:ascii="Arial" w:cs="Arial" w:eastAsia="Arial" w:hAnsi="Arial"/>
          <w:sz w:val="19"/>
          <w:szCs w:val="19"/>
          <w:color w:val="auto"/>
        </w:rPr>
        <w:t>Nothing in this Agreement shall prohibit or restrict Employee from initiating communications directly with, responding to any inquiries from, providing testimony before, providing confidential information to, reporting possible violations of law or regulation to, or from filing a claim or assisting with an investigation directly with a self-regulatory authority or a government agency or entity, including the U.S. Equal Employment Opportunity Commission, the Department of Labor, the National Labor Relations Board, the Department of Justice, the Securities and Exchange Commission, Congress, and any agency Inspector General (collectively, the “Regulators”), or from making other disclosures that are protected under the whistleblower provisions of state or federal law or regulation. Employee does not need the prior authorization of Company to engage in such communications, respond to such inquiries, provide confidential information or documents to the Regulators, or make any such reports or disclosures to the Regulators. Employee is not required to notify Company that Employee has engaged in such communications with the Regulators. If Employee is required by law to disclose Confidential Information, other than to Regulators as described above, Employee shall give prompt written notice to Company so as to permit Company to protect its interests in confidentiality to the extent possible. Federal law provides criminal and civil immunity to federal and state claims for trade secret misappropriation to individuals who disclose a trade secret to their attorney, a court, or a government official in certain, confidential circumstances that are set forth at 18 U.S.C.</w:t>
      </w:r>
    </w:p>
    <w:p>
      <w:pPr>
        <w:spacing w:after="0" w:line="8" w:lineRule="exact"/>
        <w:rPr>
          <w:rFonts w:ascii="Arial" w:cs="Arial" w:eastAsia="Arial" w:hAnsi="Arial"/>
          <w:sz w:val="19"/>
          <w:szCs w:val="19"/>
          <w:color w:val="auto"/>
        </w:rPr>
      </w:pPr>
    </w:p>
    <w:p>
      <w:pPr>
        <w:ind w:right="340" w:firstLine="8"/>
        <w:spacing w:after="0" w:line="224" w:lineRule="auto"/>
        <w:tabs>
          <w:tab w:leader="none" w:pos="270" w:val="left"/>
        </w:tabs>
        <w:numPr>
          <w:ilvl w:val="0"/>
          <w:numId w:val="67"/>
        </w:numPr>
        <w:rPr>
          <w:rFonts w:ascii="Arial" w:cs="Arial" w:eastAsia="Arial" w:hAnsi="Arial"/>
          <w:sz w:val="22"/>
          <w:szCs w:val="22"/>
          <w:color w:val="auto"/>
        </w:rPr>
      </w:pPr>
      <w:r>
        <w:rPr>
          <w:rFonts w:ascii="Arial" w:cs="Arial" w:eastAsia="Arial" w:hAnsi="Arial"/>
          <w:sz w:val="22"/>
          <w:szCs w:val="22"/>
          <w:color w:val="auto"/>
        </w:rPr>
        <w:t>1833(b)(1) and 1833(b)(2), related to the reporting or investigation of a suspected violation of the law, or in connection with a lawsuit for retaliation for reporting a suspected violation of the law.</w:t>
      </w:r>
    </w:p>
    <w:p>
      <w:pPr>
        <w:spacing w:after="0" w:line="184" w:lineRule="exact"/>
        <w:rPr>
          <w:rFonts w:ascii="Arial" w:cs="Arial" w:eastAsia="Arial" w:hAnsi="Arial"/>
          <w:sz w:val="22"/>
          <w:szCs w:val="22"/>
          <w:color w:val="auto"/>
        </w:rPr>
      </w:pPr>
    </w:p>
    <w:p>
      <w:pPr>
        <w:ind w:right="280" w:firstLine="655"/>
        <w:spacing w:after="0" w:line="232" w:lineRule="auto"/>
        <w:tabs>
          <w:tab w:leader="none" w:pos="1106" w:val="left"/>
        </w:tabs>
        <w:numPr>
          <w:ilvl w:val="1"/>
          <w:numId w:val="68"/>
        </w:numPr>
        <w:rPr>
          <w:rFonts w:ascii="Arial" w:cs="Arial" w:eastAsia="Arial" w:hAnsi="Arial"/>
          <w:sz w:val="22"/>
          <w:szCs w:val="22"/>
          <w:color w:val="auto"/>
        </w:rPr>
      </w:pPr>
      <w:r>
        <w:rPr>
          <w:rFonts w:ascii="Arial" w:cs="Arial" w:eastAsia="Arial" w:hAnsi="Arial"/>
          <w:sz w:val="22"/>
          <w:szCs w:val="22"/>
          <w:color w:val="auto"/>
        </w:rPr>
        <w:t>Paragraph 9 of the Agreement entitled “Covenants by Employee Not to Compete With Company or Parent” is hereby replaced with the following:</w:t>
      </w:r>
    </w:p>
    <w:p>
      <w:pPr>
        <w:sectPr>
          <w:pgSz w:w="11900" w:h="16838" w:orient="portrait"/>
          <w:cols w:equalWidth="0" w:num="1">
            <w:col w:w="10900"/>
          </w:cols>
          <w:pgMar w:left="500" w:top="1401" w:right="499" w:bottom="1440" w:gutter="0" w:footer="0" w:header="0"/>
        </w:sectPr>
      </w:pPr>
    </w:p>
    <w:bookmarkStart w:id="118" w:name="page119"/>
    <w:bookmarkEnd w:id="118"/>
    <w:p>
      <w:pPr>
        <w:spacing w:after="0" w:line="272" w:lineRule="exact"/>
        <w:rPr>
          <w:sz w:val="20"/>
          <w:szCs w:val="20"/>
          <w:color w:val="auto"/>
        </w:rPr>
      </w:pPr>
    </w:p>
    <w:p>
      <w:pPr>
        <w:ind w:left="1960" w:hanging="657"/>
        <w:spacing w:after="0"/>
        <w:tabs>
          <w:tab w:leader="none" w:pos="1960"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Covenants by Employee Not to Compete With the Group</w:t>
      </w:r>
      <w:r>
        <w:rPr>
          <w:rFonts w:ascii="Arial" w:cs="Arial" w:eastAsia="Arial" w:hAnsi="Arial"/>
          <w:sz w:val="22"/>
          <w:szCs w:val="22"/>
          <w:color w:val="auto"/>
        </w:rPr>
        <w:t>.</w:t>
      </w:r>
    </w:p>
    <w:p>
      <w:pPr>
        <w:spacing w:after="0" w:line="201" w:lineRule="exact"/>
        <w:rPr>
          <w:sz w:val="20"/>
          <w:szCs w:val="20"/>
          <w:color w:val="auto"/>
        </w:rPr>
      </w:pPr>
    </w:p>
    <w:p>
      <w:pPr>
        <w:ind w:left="2580" w:hanging="628"/>
        <w:spacing w:after="0"/>
        <w:tabs>
          <w:tab w:leader="none" w:pos="2580" w:val="left"/>
        </w:tabs>
        <w:numPr>
          <w:ilvl w:val="0"/>
          <w:numId w:val="70"/>
        </w:numPr>
        <w:rPr>
          <w:rFonts w:ascii="Arial" w:cs="Arial" w:eastAsia="Arial" w:hAnsi="Arial"/>
          <w:sz w:val="22"/>
          <w:szCs w:val="22"/>
          <w:color w:val="auto"/>
        </w:rPr>
      </w:pPr>
      <w:r>
        <w:rPr>
          <w:rFonts w:ascii="Arial" w:cs="Arial" w:eastAsia="Arial" w:hAnsi="Arial"/>
          <w:sz w:val="22"/>
          <w:szCs w:val="22"/>
          <w:color w:val="auto"/>
        </w:rPr>
        <w:t>During the Term and for a period of two (2) years after the</w:t>
      </w:r>
    </w:p>
    <w:p>
      <w:pPr>
        <w:ind w:right="120"/>
        <w:spacing w:after="0" w:line="234" w:lineRule="auto"/>
        <w:rPr>
          <w:sz w:val="20"/>
          <w:szCs w:val="20"/>
          <w:color w:val="auto"/>
        </w:rPr>
      </w:pPr>
      <w:r>
        <w:rPr>
          <w:rFonts w:ascii="Arial" w:cs="Arial" w:eastAsia="Arial" w:hAnsi="Arial"/>
          <w:sz w:val="21"/>
          <w:szCs w:val="21"/>
          <w:color w:val="auto"/>
        </w:rPr>
        <w:t>termination of Employee’s employment with Company for any reason, in order to further protect the Confidential Information and other good will of Company and Group, Employee covenants and agrees that Employee will not:</w:t>
      </w:r>
    </w:p>
    <w:p>
      <w:pPr>
        <w:spacing w:after="0" w:line="200" w:lineRule="exact"/>
        <w:rPr>
          <w:sz w:val="20"/>
          <w:szCs w:val="20"/>
          <w:color w:val="auto"/>
        </w:rPr>
      </w:pPr>
    </w:p>
    <w:p>
      <w:pPr>
        <w:ind w:right="180" w:firstLine="2486"/>
        <w:spacing w:after="0" w:line="207" w:lineRule="auto"/>
        <w:tabs>
          <w:tab w:leader="none" w:pos="3051" w:val="left"/>
        </w:tabs>
        <w:numPr>
          <w:ilvl w:val="0"/>
          <w:numId w:val="71"/>
        </w:numPr>
        <w:rPr>
          <w:rFonts w:ascii="Arial" w:cs="Arial" w:eastAsia="Arial" w:hAnsi="Arial"/>
          <w:sz w:val="22"/>
          <w:szCs w:val="22"/>
          <w:color w:val="auto"/>
        </w:rPr>
      </w:pPr>
      <w:r>
        <w:rPr>
          <w:rFonts w:ascii="Arial" w:cs="Arial" w:eastAsia="Arial" w:hAnsi="Arial"/>
          <w:sz w:val="22"/>
          <w:szCs w:val="22"/>
          <w:color w:val="auto"/>
        </w:rPr>
        <w:t>directly or indirectly, in any manner or under any circumstances or conditions, whatsoever be or become interested, as an individual, partner, principal, agent, clerk, employee, stockholder, officer, director, trustee, or in any other capacity whatsoever, except as a nominal owner of stock of a public corporation, in any other business which, at the date of Employee’s termination, is a Competitor (as defined herein), either directly or indirectly, with any member of the Group, or engage or participate in, directly or indirectly (whether as an officer, director, employee, partner, consultant, holder of an equity or debt</w:t>
      </w:r>
    </w:p>
    <w:p>
      <w:pPr>
        <w:spacing w:after="0" w:line="4" w:lineRule="exact"/>
        <w:rPr>
          <w:rFonts w:ascii="Arial" w:cs="Arial" w:eastAsia="Arial" w:hAnsi="Arial"/>
          <w:sz w:val="22"/>
          <w:szCs w:val="22"/>
          <w:color w:val="auto"/>
        </w:rPr>
      </w:pPr>
    </w:p>
    <w:p>
      <w:pPr>
        <w:spacing w:after="0" w:line="251" w:lineRule="auto"/>
        <w:rPr>
          <w:rFonts w:ascii="Arial" w:cs="Arial" w:eastAsia="Arial" w:hAnsi="Arial"/>
          <w:sz w:val="22"/>
          <w:szCs w:val="22"/>
          <w:color w:val="auto"/>
        </w:rPr>
      </w:pPr>
      <w:r>
        <w:rPr>
          <w:rFonts w:ascii="Arial" w:cs="Arial" w:eastAsia="Arial" w:hAnsi="Arial"/>
          <w:sz w:val="19"/>
          <w:szCs w:val="19"/>
          <w:color w:val="auto"/>
        </w:rPr>
        <w:t>investment, lender or in any other manner or capacity), or lend Employee’s name (or any part or variant thereof) to, any business which, at the date of Employee’s termination, is a Competitor, either directly or indirectly, with any member of the Group, or as a result of Employee’s engagement or participation would become, a Competitor, either directly or indirectly, with any aspect of the business of any member of the Group as it exists at the time of Employee’s termination; or</w:t>
      </w:r>
    </w:p>
    <w:p>
      <w:pPr>
        <w:spacing w:after="0" w:line="255" w:lineRule="exact"/>
        <w:rPr>
          <w:rFonts w:ascii="Arial" w:cs="Arial" w:eastAsia="Arial" w:hAnsi="Arial"/>
          <w:sz w:val="22"/>
          <w:szCs w:val="22"/>
          <w:color w:val="auto"/>
        </w:rPr>
      </w:pPr>
    </w:p>
    <w:p>
      <w:pPr>
        <w:ind w:right="860" w:firstLine="2426"/>
        <w:spacing w:after="0" w:line="223" w:lineRule="auto"/>
        <w:tabs>
          <w:tab w:leader="none" w:pos="3051" w:val="left"/>
        </w:tabs>
        <w:numPr>
          <w:ilvl w:val="0"/>
          <w:numId w:val="71"/>
        </w:numPr>
        <w:rPr>
          <w:rFonts w:ascii="Arial" w:cs="Arial" w:eastAsia="Arial" w:hAnsi="Arial"/>
          <w:sz w:val="22"/>
          <w:szCs w:val="22"/>
          <w:color w:val="auto"/>
        </w:rPr>
      </w:pPr>
      <w:r>
        <w:rPr>
          <w:rFonts w:ascii="Arial" w:cs="Arial" w:eastAsia="Arial" w:hAnsi="Arial"/>
          <w:sz w:val="22"/>
          <w:szCs w:val="22"/>
          <w:color w:val="auto"/>
        </w:rPr>
        <w:t>solicit any officer, director, employee or agent of any member of the Group or any subsidiary or affiliate of any member of the Group to become an officer, director, employee or agent of Employee, Employee’s respective affiliates or anyone else.</w:t>
      </w:r>
    </w:p>
    <w:p>
      <w:pPr>
        <w:spacing w:after="0" w:line="267" w:lineRule="exact"/>
        <w:rPr>
          <w:sz w:val="20"/>
          <w:szCs w:val="20"/>
          <w:color w:val="auto"/>
        </w:rPr>
      </w:pPr>
    </w:p>
    <w:p>
      <w:pPr>
        <w:jc w:val="both"/>
        <w:ind w:right="300" w:firstLine="647"/>
        <w:spacing w:after="0" w:line="223" w:lineRule="auto"/>
        <w:rPr>
          <w:sz w:val="20"/>
          <w:szCs w:val="20"/>
          <w:color w:val="auto"/>
        </w:rPr>
      </w:pPr>
      <w:r>
        <w:rPr>
          <w:rFonts w:ascii="Arial" w:cs="Arial" w:eastAsia="Arial" w:hAnsi="Arial"/>
          <w:sz w:val="22"/>
          <w:szCs w:val="22"/>
          <w:color w:val="auto"/>
        </w:rPr>
        <w:t>For the purposes of this Agreement, a Competitor is any business which is similar to the business of any member of the Group or in any way in competition with the business of any member of the Group within any of the then-existing water utility service areas of Company.</w:t>
      </w:r>
    </w:p>
    <w:p>
      <w:pPr>
        <w:spacing w:after="0" w:line="186" w:lineRule="exact"/>
        <w:rPr>
          <w:sz w:val="20"/>
          <w:szCs w:val="20"/>
          <w:color w:val="auto"/>
        </w:rPr>
      </w:pPr>
    </w:p>
    <w:p>
      <w:pPr>
        <w:ind w:right="640" w:firstLine="647"/>
        <w:spacing w:after="0" w:line="234" w:lineRule="auto"/>
        <w:rPr>
          <w:sz w:val="20"/>
          <w:szCs w:val="20"/>
          <w:color w:val="auto"/>
        </w:rPr>
      </w:pPr>
      <w:r>
        <w:rPr>
          <w:rFonts w:ascii="Arial" w:cs="Arial" w:eastAsia="Arial" w:hAnsi="Arial"/>
          <w:sz w:val="21"/>
          <w:szCs w:val="21"/>
          <w:color w:val="auto"/>
        </w:rPr>
        <w:t>Ownership, in the aggregate, of less than one percent (1%) of the outstanding shares of capital stock of any corporation with one or more classes of its capital stock listed on a national securities exchange or publicly traded in the over-the-counter market shall not constitute a violation of the foregoing provision.</w:t>
      </w:r>
    </w:p>
    <w:p>
      <w:pPr>
        <w:spacing w:after="0" w:line="198" w:lineRule="exact"/>
        <w:rPr>
          <w:sz w:val="20"/>
          <w:szCs w:val="20"/>
          <w:color w:val="auto"/>
        </w:rPr>
      </w:pPr>
    </w:p>
    <w:p>
      <w:pPr>
        <w:ind w:right="140" w:firstLine="1951"/>
        <w:spacing w:after="0" w:line="221" w:lineRule="auto"/>
        <w:tabs>
          <w:tab w:leader="none" w:pos="2402" w:val="left"/>
        </w:tabs>
        <w:numPr>
          <w:ilvl w:val="0"/>
          <w:numId w:val="72"/>
        </w:numPr>
        <w:rPr>
          <w:rFonts w:ascii="Arial" w:cs="Arial" w:eastAsia="Arial" w:hAnsi="Arial"/>
          <w:sz w:val="21"/>
          <w:szCs w:val="21"/>
          <w:color w:val="auto"/>
        </w:rPr>
      </w:pPr>
      <w:r>
        <w:rPr>
          <w:rFonts w:ascii="Arial" w:cs="Arial" w:eastAsia="Arial" w:hAnsi="Arial"/>
          <w:sz w:val="21"/>
          <w:szCs w:val="21"/>
          <w:color w:val="auto"/>
        </w:rPr>
        <w:t>Employee hereby acknowledges that the nature of Company’s business is such that if Employee were to become employed by, or substantially involved in, the business of a competitor to Company, it would be difficult for Employee not to rely on or use Confidential Information, or otherwise jeopardize the good will of Company, and further acknowledges that Employee’s services are unique and extraordinary, and are not readily replaceable. Accordingly, Employee hereby expressly agrees that Company or any other member of the Group, in enforcing the covenants contained in Paragraphs 8 and 9 herein, in addition to any other remedies provided for herein or otherwise available at law, shall be entitled in any court of equity having jurisdiction to an injunction restraining Employee in the event of a breach, actual or threatened, of the agreements and covenants contained in these Paragraphs, without the requirement of posting any associated bond, and that Company or Group shall be</w:t>
      </w:r>
    </w:p>
    <w:p>
      <w:pPr>
        <w:sectPr>
          <w:pgSz w:w="11900" w:h="16838" w:orient="portrait"/>
          <w:cols w:equalWidth="0" w:num="1">
            <w:col w:w="11020"/>
          </w:cols>
          <w:pgMar w:left="500" w:top="1440" w:right="379" w:bottom="1440" w:gutter="0" w:footer="0" w:header="0"/>
        </w:sectPr>
      </w:pPr>
    </w:p>
    <w:bookmarkStart w:id="119" w:name="page120"/>
    <w:bookmarkEnd w:id="119"/>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entitled to recoup from Employee any reasonable attorneys’ fees or costs incurred in enforcing these provisions.</w:t>
      </w:r>
    </w:p>
    <w:p>
      <w:pPr>
        <w:spacing w:after="0" w:line="220" w:lineRule="exact"/>
        <w:rPr>
          <w:sz w:val="20"/>
          <w:szCs w:val="20"/>
          <w:color w:val="auto"/>
        </w:rPr>
      </w:pPr>
    </w:p>
    <w:p>
      <w:pPr>
        <w:ind w:firstLine="1303"/>
        <w:spacing w:after="0" w:line="221" w:lineRule="auto"/>
        <w:tabs>
          <w:tab w:leader="none" w:pos="1755" w:val="left"/>
        </w:tabs>
        <w:numPr>
          <w:ilvl w:val="1"/>
          <w:numId w:val="73"/>
        </w:numPr>
        <w:rPr>
          <w:rFonts w:ascii="Arial" w:cs="Arial" w:eastAsia="Arial" w:hAnsi="Arial"/>
          <w:sz w:val="21"/>
          <w:szCs w:val="21"/>
          <w:color w:val="auto"/>
        </w:rPr>
      </w:pPr>
      <w:r>
        <w:rPr>
          <w:rFonts w:ascii="Arial" w:cs="Arial" w:eastAsia="Arial" w:hAnsi="Arial"/>
          <w:sz w:val="21"/>
          <w:szCs w:val="21"/>
          <w:color w:val="auto"/>
        </w:rPr>
        <w:t>The parties hereto believe that the restrictive covenants of these Paragraphs are reasonable, and Employee expressly recognizes that the scope of these provisions are necessary to protect Company’s and Group’s legitimate business interests, including but not limited to protection of the Confidential Information and good will of Company and Group. Notwithstanding, if at any time it shall be determined by any court of competent jurisdiction that these Paragraphs or any portion of them as written, are unenforceable because the restrictions are unreasonable, the parties hereto agree that such portions as shall have been determined to be unreasonably restrictive shall thereupon be deemed so amended as to make such restrictions reasonable in the determination of such court, and the said covenants, as so modified, shall be enforceable between the parties to the same extent as if such amendments had been made prior to the date of any alleged breach of said covenants.</w:t>
      </w:r>
    </w:p>
    <w:p>
      <w:pPr>
        <w:spacing w:after="0" w:line="180" w:lineRule="exact"/>
        <w:rPr>
          <w:rFonts w:ascii="Arial" w:cs="Arial" w:eastAsia="Arial" w:hAnsi="Arial"/>
          <w:sz w:val="21"/>
          <w:szCs w:val="21"/>
          <w:color w:val="auto"/>
        </w:rPr>
      </w:pPr>
    </w:p>
    <w:p>
      <w:pPr>
        <w:ind w:left="1300" w:hanging="645"/>
        <w:spacing w:after="0"/>
        <w:tabs>
          <w:tab w:leader="none" w:pos="130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Good Reason Waiver</w:t>
      </w:r>
      <w:r>
        <w:rPr>
          <w:rFonts w:ascii="Arial" w:cs="Arial" w:eastAsia="Arial" w:hAnsi="Arial"/>
          <w:sz w:val="22"/>
          <w:szCs w:val="22"/>
          <w:color w:val="auto"/>
        </w:rPr>
        <w:t>. By signing below, Employee acknowledges that</w:t>
      </w:r>
    </w:p>
    <w:p>
      <w:pPr>
        <w:ind w:right="820"/>
        <w:spacing w:after="0" w:line="278" w:lineRule="auto"/>
        <w:rPr>
          <w:sz w:val="20"/>
          <w:szCs w:val="20"/>
          <w:color w:val="auto"/>
        </w:rPr>
      </w:pPr>
      <w:r>
        <w:rPr>
          <w:rFonts w:ascii="Arial" w:cs="Arial" w:eastAsia="Arial" w:hAnsi="Arial"/>
          <w:sz w:val="19"/>
          <w:szCs w:val="19"/>
          <w:color w:val="auto"/>
        </w:rPr>
        <w:t>Employee’s change in employment terms in connection with the Merger, and as specified in this Amendment, do not constitute Good Reason and do not entitle Employee to severance benefits solely with respect to such changes.</w:t>
      </w:r>
    </w:p>
    <w:p>
      <w:pPr>
        <w:spacing w:after="0" w:line="151" w:lineRule="exact"/>
        <w:rPr>
          <w:sz w:val="20"/>
          <w:szCs w:val="20"/>
          <w:color w:val="auto"/>
        </w:rPr>
      </w:pPr>
    </w:p>
    <w:p>
      <w:pPr>
        <w:ind w:left="1100" w:hanging="445"/>
        <w:spacing w:after="0"/>
        <w:tabs>
          <w:tab w:leader="none" w:pos="1100" w:val="left"/>
        </w:tabs>
        <w:numPr>
          <w:ilvl w:val="0"/>
          <w:numId w:val="75"/>
        </w:numPr>
        <w:rPr>
          <w:rFonts w:ascii="Arial" w:cs="Arial" w:eastAsia="Arial" w:hAnsi="Arial"/>
          <w:sz w:val="21"/>
          <w:szCs w:val="21"/>
          <w:color w:val="auto"/>
        </w:rPr>
      </w:pPr>
      <w:r>
        <w:rPr>
          <w:rFonts w:ascii="Arial" w:cs="Arial" w:eastAsia="Arial" w:hAnsi="Arial"/>
          <w:sz w:val="21"/>
          <w:szCs w:val="21"/>
          <w:color w:val="auto"/>
        </w:rPr>
        <w:t>Paragraph 20 of the Agreement entitled “Deferred Compensation” is hereby replaced with the following:</w:t>
      </w:r>
    </w:p>
    <w:p>
      <w:pPr>
        <w:spacing w:after="0" w:line="231" w:lineRule="exact"/>
        <w:rPr>
          <w:rFonts w:ascii="Arial" w:cs="Arial" w:eastAsia="Arial" w:hAnsi="Arial"/>
          <w:sz w:val="21"/>
          <w:szCs w:val="21"/>
          <w:color w:val="auto"/>
        </w:rPr>
      </w:pPr>
    </w:p>
    <w:p>
      <w:pPr>
        <w:ind w:left="1960" w:hanging="657"/>
        <w:spacing w:after="0"/>
        <w:tabs>
          <w:tab w:leader="none" w:pos="1960" w:val="left"/>
        </w:tabs>
        <w:numPr>
          <w:ilvl w:val="1"/>
          <w:numId w:val="75"/>
        </w:numPr>
        <w:rPr>
          <w:rFonts w:ascii="Arial" w:cs="Arial" w:eastAsia="Arial" w:hAnsi="Arial"/>
          <w:sz w:val="22"/>
          <w:szCs w:val="22"/>
          <w:color w:val="auto"/>
        </w:rPr>
      </w:pPr>
      <w:r>
        <w:rPr>
          <w:rFonts w:ascii="Arial" w:cs="Arial" w:eastAsia="Arial" w:hAnsi="Arial"/>
          <w:sz w:val="22"/>
          <w:szCs w:val="22"/>
          <w:u w:val="single" w:color="auto"/>
          <w:color w:val="auto"/>
        </w:rPr>
        <w:t>Deferred Compensation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20" w:firstLine="1951"/>
        <w:spacing w:after="0" w:line="226" w:lineRule="auto"/>
        <w:tabs>
          <w:tab w:leader="none" w:pos="2403" w:val="left"/>
        </w:tabs>
        <w:numPr>
          <w:ilvl w:val="2"/>
          <w:numId w:val="75"/>
        </w:numPr>
        <w:rPr>
          <w:rFonts w:ascii="Arial" w:cs="Arial" w:eastAsia="Arial" w:hAnsi="Arial"/>
          <w:sz w:val="21"/>
          <w:szCs w:val="21"/>
          <w:color w:val="auto"/>
        </w:rPr>
      </w:pPr>
      <w:r>
        <w:rPr>
          <w:rFonts w:ascii="Arial" w:cs="Arial" w:eastAsia="Arial" w:hAnsi="Arial"/>
          <w:sz w:val="21"/>
          <w:szCs w:val="21"/>
          <w:color w:val="auto"/>
        </w:rPr>
        <w:t>This Agreement is intended to comply with section 409A of the Code and its corresponding regulations (“Section 409A”), or an exemption thereto, and payments may only be made under this Agreement upon an event and in a manner permitted by Section 409A, to the extent applicable. Severance benefits under this Agreement are intended to be exempt from Section 409A under the “short-term deferral” exception, to the maximum extent applicable, and then under the “separation pay” exception, to the maximum extent applicable.</w:t>
      </w:r>
    </w:p>
    <w:p>
      <w:pPr>
        <w:spacing w:after="0" w:line="186" w:lineRule="exact"/>
        <w:rPr>
          <w:rFonts w:ascii="Arial" w:cs="Arial" w:eastAsia="Arial" w:hAnsi="Arial"/>
          <w:sz w:val="21"/>
          <w:szCs w:val="21"/>
          <w:color w:val="auto"/>
        </w:rPr>
      </w:pPr>
    </w:p>
    <w:p>
      <w:pPr>
        <w:ind w:right="660" w:firstLine="1951"/>
        <w:spacing w:after="0" w:line="247" w:lineRule="auto"/>
        <w:tabs>
          <w:tab w:leader="none" w:pos="2402" w:val="left"/>
        </w:tabs>
        <w:numPr>
          <w:ilvl w:val="2"/>
          <w:numId w:val="75"/>
        </w:numPr>
        <w:rPr>
          <w:rFonts w:ascii="Arial" w:cs="Arial" w:eastAsia="Arial" w:hAnsi="Arial"/>
          <w:sz w:val="19"/>
          <w:szCs w:val="19"/>
          <w:color w:val="auto"/>
        </w:rPr>
      </w:pPr>
      <w:r>
        <w:rPr>
          <w:rFonts w:ascii="Arial" w:cs="Arial" w:eastAsia="Arial" w:hAnsi="Arial"/>
          <w:sz w:val="19"/>
          <w:szCs w:val="19"/>
          <w:color w:val="auto"/>
        </w:rPr>
        <w:t>With respect to payments that are subject to Section 409A, all payments to be made upon a termination of employment under this Agreement may only be made upon a “separation from service” under Section</w:t>
      </w:r>
    </w:p>
    <w:p>
      <w:pPr>
        <w:ind w:right="460"/>
        <w:spacing w:after="0" w:line="244" w:lineRule="auto"/>
        <w:rPr>
          <w:rFonts w:ascii="Arial" w:cs="Arial" w:eastAsia="Arial" w:hAnsi="Arial"/>
          <w:sz w:val="19"/>
          <w:szCs w:val="19"/>
          <w:color w:val="auto"/>
        </w:rPr>
      </w:pPr>
      <w:r>
        <w:rPr>
          <w:rFonts w:ascii="Arial" w:cs="Arial" w:eastAsia="Arial" w:hAnsi="Arial"/>
          <w:sz w:val="19"/>
          <w:szCs w:val="19"/>
          <w:color w:val="auto"/>
        </w:rPr>
        <w:t>409A. For purposes of Section 409A, each payment hereunder shall be treated as a separate payment, and the right to a series of installment payments under this Agreement shall be treated as a right to a series of separate payments. In no event may Employee, directly or indirectly, designate the fiscal year of a payment. Notwithstanding any provision of this Agreement to the contrary, in no event shall the timing of Employee’s execution of a release of claims, directly or indirectly, result in Employee’s designating the fiscal year of payment of any amounts of deferred compensation subject to Section 409A, and if a payment that is subject to execution of a release of claims could be made in more than one taxable year, payment shall be made in the later taxable year.</w:t>
      </w:r>
    </w:p>
    <w:p>
      <w:pPr>
        <w:spacing w:after="0" w:line="195" w:lineRule="exact"/>
        <w:rPr>
          <w:rFonts w:ascii="Arial" w:cs="Arial" w:eastAsia="Arial" w:hAnsi="Arial"/>
          <w:sz w:val="19"/>
          <w:szCs w:val="19"/>
          <w:color w:val="auto"/>
        </w:rPr>
      </w:pPr>
    </w:p>
    <w:p>
      <w:pPr>
        <w:ind w:right="60" w:firstLine="1951"/>
        <w:spacing w:after="0" w:line="216" w:lineRule="auto"/>
        <w:tabs>
          <w:tab w:leader="none" w:pos="2403" w:val="left"/>
        </w:tabs>
        <w:numPr>
          <w:ilvl w:val="2"/>
          <w:numId w:val="75"/>
        </w:numPr>
        <w:rPr>
          <w:rFonts w:ascii="Arial" w:cs="Arial" w:eastAsia="Arial" w:hAnsi="Arial"/>
          <w:sz w:val="22"/>
          <w:szCs w:val="22"/>
          <w:color w:val="auto"/>
        </w:rPr>
      </w:pPr>
      <w:r>
        <w:rPr>
          <w:rFonts w:ascii="Arial" w:cs="Arial" w:eastAsia="Arial" w:hAnsi="Arial"/>
          <w:sz w:val="22"/>
          <w:szCs w:val="22"/>
          <w:color w:val="auto"/>
        </w:rPr>
        <w:t>All reimbursements and in-kind benefits provided under this Agreement shall be made or provided in accordance with the requirements of Section 409A, including, where applicable, the requirement that (i) any reimbursement be for expenses incurred during the period specified in this Agreement, (ii) the amount of expenses eligible for reimbursement, or in-kind benefits provided, during a fiscal year not affect the expenses eligible for reimbursement, or in-kind benefits to be provided, in any other fiscal year, (iii)</w:t>
      </w:r>
    </w:p>
    <w:p>
      <w:pPr>
        <w:sectPr>
          <w:pgSz w:w="11900" w:h="16838" w:orient="portrait"/>
          <w:cols w:equalWidth="0" w:num="1">
            <w:col w:w="10920"/>
          </w:cols>
          <w:pgMar w:left="500" w:top="1440" w:right="479" w:bottom="1440" w:gutter="0" w:footer="0" w:header="0"/>
        </w:sectPr>
      </w:pPr>
    </w:p>
    <w:bookmarkStart w:id="120" w:name="page121"/>
    <w:bookmarkEnd w:id="120"/>
    <w:p>
      <w:pPr>
        <w:spacing w:after="0" w:line="223" w:lineRule="auto"/>
        <w:rPr>
          <w:sz w:val="20"/>
          <w:szCs w:val="20"/>
          <w:color w:val="auto"/>
        </w:rPr>
      </w:pPr>
      <w:r>
        <w:rPr>
          <w:rFonts w:ascii="Arial" w:cs="Arial" w:eastAsia="Arial" w:hAnsi="Arial"/>
          <w:sz w:val="22"/>
          <w:szCs w:val="22"/>
          <w:color w:val="auto"/>
        </w:rPr>
        <w:t>the reimbursement of an eligible expense be made no later than the last day of the fiscal year following the year in which the expense is incurred, and (iv) the right to reimbursement or in- kind benefits not be subject to liquidation or exchange for another benefit.</w:t>
      </w:r>
    </w:p>
    <w:p>
      <w:pPr>
        <w:spacing w:after="0" w:line="199" w:lineRule="exact"/>
        <w:rPr>
          <w:sz w:val="20"/>
          <w:szCs w:val="20"/>
          <w:color w:val="auto"/>
        </w:rPr>
      </w:pPr>
    </w:p>
    <w:p>
      <w:pPr>
        <w:jc w:val="both"/>
        <w:ind w:right="100" w:firstLine="655"/>
        <w:spacing w:after="0" w:line="252" w:lineRule="auto"/>
        <w:tabs>
          <w:tab w:leader="none" w:pos="1106"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All payments under this Amendment and the Agreement shall be made subject to applicable tax withholding, and Company shall withhold from any payments under this Amendment and the Agreement all federal, state and local taxes as Company is required to withhold pursuant to any law or governmental rule or regulation. Employee shall bear all expense of, and be solely responsible for, all federal, state and local taxes due with respect to any payment received by Employee under this Amendment and the Agreement.</w:t>
      </w:r>
    </w:p>
    <w:p>
      <w:pPr>
        <w:spacing w:after="0" w:line="175" w:lineRule="exact"/>
        <w:rPr>
          <w:rFonts w:ascii="Arial" w:cs="Arial" w:eastAsia="Arial" w:hAnsi="Arial"/>
          <w:sz w:val="19"/>
          <w:szCs w:val="19"/>
          <w:color w:val="auto"/>
        </w:rPr>
      </w:pPr>
    </w:p>
    <w:p>
      <w:pPr>
        <w:ind w:right="120" w:firstLine="655"/>
        <w:spacing w:after="0" w:line="212" w:lineRule="auto"/>
        <w:tabs>
          <w:tab w:leader="none" w:pos="1106"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Effect of Amendment</w:t>
      </w:r>
      <w:r>
        <w:rPr>
          <w:rFonts w:ascii="Arial" w:cs="Arial" w:eastAsia="Arial" w:hAnsi="Arial"/>
          <w:sz w:val="22"/>
          <w:szCs w:val="22"/>
          <w:color w:val="auto"/>
        </w:rPr>
        <w:t>. Except as hereinabove modified and amended, the Agreement shall remain in full force and effect. This Amendment may be executed in any number of counterparts (including facsimile counterparts), each of which shall be an original, but all of which together shall constitute one instrument. In the event that a party signs this Amendment electronically, such party expressly agrees that it has been given the option to print out a paper copy of the Amendment and sign it manually, it has agreed to sign this Amendment using an electronic signature, and for purposes of authentication, validity, enforceability, admissibility and otherwise, such signature shall have the same force and affect as a manual signature.</w:t>
      </w:r>
    </w:p>
    <w:p>
      <w:pPr>
        <w:spacing w:after="0" w:line="200" w:lineRule="exact"/>
        <w:rPr>
          <w:rFonts w:ascii="Arial" w:cs="Arial" w:eastAsia="Arial" w:hAnsi="Arial"/>
          <w:sz w:val="22"/>
          <w:szCs w:val="22"/>
          <w:color w:val="auto"/>
        </w:rPr>
      </w:pPr>
    </w:p>
    <w:p>
      <w:pPr>
        <w:spacing w:after="0" w:line="382" w:lineRule="exact"/>
        <w:rPr>
          <w:rFonts w:ascii="Arial" w:cs="Arial" w:eastAsia="Arial" w:hAnsi="Arial"/>
          <w:sz w:val="22"/>
          <w:szCs w:val="22"/>
          <w:color w:val="auto"/>
        </w:rPr>
      </w:pPr>
    </w:p>
    <w:p>
      <w:pPr>
        <w:ind w:left="5060"/>
        <w:spacing w:after="0"/>
        <w:rPr>
          <w:rFonts w:ascii="Arial" w:cs="Arial" w:eastAsia="Arial" w:hAnsi="Arial"/>
          <w:sz w:val="22"/>
          <w:szCs w:val="22"/>
          <w:color w:val="auto"/>
        </w:rPr>
      </w:pPr>
      <w:r>
        <w:rPr>
          <w:rFonts w:ascii="Arial" w:cs="Arial" w:eastAsia="Arial" w:hAnsi="Arial"/>
          <w:sz w:val="22"/>
          <w:szCs w:val="22"/>
          <w:color w:val="auto"/>
        </w:rPr>
        <w:t>* * * * *</w:t>
      </w:r>
    </w:p>
    <w:p>
      <w:pPr>
        <w:sectPr>
          <w:pgSz w:w="11900" w:h="16838" w:orient="portrait"/>
          <w:cols w:equalWidth="0" w:num="1">
            <w:col w:w="10780"/>
          </w:cols>
          <w:pgMar w:left="500" w:top="1401" w:right="619" w:bottom="1440" w:gutter="0" w:footer="0" w:header="0"/>
        </w:sectPr>
      </w:pPr>
    </w:p>
    <w:bookmarkStart w:id="121" w:name="page122"/>
    <w:bookmarkEnd w:id="121"/>
    <w:p>
      <w:pPr>
        <w:spacing w:after="0" w:line="29" w:lineRule="exact"/>
        <w:rPr>
          <w:sz w:val="20"/>
          <w:szCs w:val="20"/>
          <w:color w:val="auto"/>
        </w:rPr>
      </w:pPr>
    </w:p>
    <w:p>
      <w:pPr>
        <w:ind w:right="240"/>
        <w:spacing w:after="0" w:line="232" w:lineRule="auto"/>
        <w:rPr>
          <w:sz w:val="20"/>
          <w:szCs w:val="20"/>
          <w:color w:val="auto"/>
        </w:rPr>
      </w:pPr>
      <w:r>
        <w:rPr>
          <w:rFonts w:ascii="Arial" w:cs="Arial" w:eastAsia="Arial" w:hAnsi="Arial"/>
          <w:sz w:val="22"/>
          <w:szCs w:val="22"/>
          <w:color w:val="auto"/>
        </w:rPr>
        <w:t>IN WITNESS WHEREOF, Company and Parent have caused this Amendment to be executed by an authorized officer, and Employee has hereunto set Employee’s hand, to be effective as of January 28, 2020.</w:t>
      </w:r>
    </w:p>
    <w:p>
      <w:pPr>
        <w:spacing w:after="0" w:line="334" w:lineRule="exact"/>
        <w:rPr>
          <w:sz w:val="20"/>
          <w:szCs w:val="20"/>
          <w:color w:val="auto"/>
        </w:rPr>
      </w:pPr>
    </w:p>
    <w:tbl>
      <w:tblPr>
        <w:tblLayout w:type="fixed"/>
        <w:tblInd w:w="240" w:type="dxa"/>
        <w:tblCellMar>
          <w:top w:w="0" w:type="dxa"/>
          <w:left w:w="0" w:type="dxa"/>
          <w:bottom w:w="0" w:type="dxa"/>
          <w:right w:w="0" w:type="dxa"/>
        </w:tblCellMar>
      </w:tblPr>
      <w:tr>
        <w:trPr>
          <w:trHeight w:val="274"/>
        </w:trPr>
        <w:tc>
          <w:tcPr>
            <w:tcW w:w="4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660" w:type="dxa"/>
            <w:vAlign w:val="bottom"/>
            <w:gridSpan w:val="2"/>
          </w:tcPr>
          <w:p>
            <w:pPr>
              <w:ind w:left="60"/>
              <w:spacing w:after="0"/>
              <w:rPr>
                <w:sz w:val="20"/>
                <w:szCs w:val="20"/>
                <w:color w:val="auto"/>
              </w:rPr>
            </w:pPr>
            <w:r>
              <w:rPr>
                <w:rFonts w:ascii="Arial" w:cs="Arial" w:eastAsia="Arial" w:hAnsi="Arial"/>
                <w:sz w:val="22"/>
                <w:szCs w:val="22"/>
                <w:color w:val="0E0E0E"/>
              </w:rPr>
              <w:t>THE CONNECTICUT WATER COMPANY</w:t>
            </w:r>
          </w:p>
        </w:tc>
      </w:tr>
      <w:tr>
        <w:trPr>
          <w:trHeight w:val="418"/>
        </w:trPr>
        <w:tc>
          <w:tcPr>
            <w:tcW w:w="4980" w:type="dxa"/>
            <w:vAlign w:val="bottom"/>
            <w:gridSpan w:val="2"/>
          </w:tcPr>
          <w:p>
            <w:pPr>
              <w:ind w:left="80"/>
              <w:spacing w:after="0"/>
              <w:rPr>
                <w:sz w:val="20"/>
                <w:szCs w:val="20"/>
                <w:color w:val="auto"/>
              </w:rPr>
            </w:pPr>
            <w:r>
              <w:rPr>
                <w:rFonts w:ascii="Arial" w:cs="Arial" w:eastAsia="Arial" w:hAnsi="Arial"/>
                <w:sz w:val="22"/>
                <w:szCs w:val="22"/>
                <w:color w:val="auto"/>
              </w:rPr>
              <w:t>04/20/2020 | 3:46:40 PM PDT</w:t>
            </w:r>
          </w:p>
        </w:tc>
        <w:tc>
          <w:tcPr>
            <w:tcW w:w="880" w:type="dxa"/>
            <w:vAlign w:val="bottom"/>
          </w:tcPr>
          <w:p>
            <w:pPr>
              <w:ind w:left="60"/>
              <w:spacing w:after="0"/>
              <w:rPr>
                <w:sz w:val="20"/>
                <w:szCs w:val="20"/>
                <w:color w:val="auto"/>
              </w:rPr>
            </w:pPr>
            <w:r>
              <w:rPr>
                <w:rFonts w:ascii="Arial" w:cs="Arial" w:eastAsia="Arial" w:hAnsi="Arial"/>
                <w:sz w:val="22"/>
                <w:szCs w:val="22"/>
                <w:color w:val="auto"/>
              </w:rPr>
              <w:t>By</w:t>
            </w:r>
          </w:p>
        </w:tc>
        <w:tc>
          <w:tcPr>
            <w:tcW w:w="4780" w:type="dxa"/>
            <w:vAlign w:val="bottom"/>
          </w:tcPr>
          <w:p>
            <w:pPr>
              <w:ind w:left="60"/>
              <w:spacing w:after="0"/>
              <w:rPr>
                <w:sz w:val="20"/>
                <w:szCs w:val="20"/>
                <w:color w:val="auto"/>
              </w:rPr>
            </w:pPr>
            <w:r>
              <w:rPr>
                <w:rFonts w:ascii="Arial" w:cs="Arial" w:eastAsia="Arial" w:hAnsi="Arial"/>
                <w:sz w:val="22"/>
                <w:szCs w:val="22"/>
                <w:color w:val="auto"/>
              </w:rPr>
              <w:t>/s/ Kristen A. Johnson</w:t>
            </w:r>
          </w:p>
        </w:tc>
      </w:tr>
      <w:tr>
        <w:trPr>
          <w:trHeight w:val="58"/>
        </w:trPr>
        <w:tc>
          <w:tcPr>
            <w:tcW w:w="4160" w:type="dxa"/>
            <w:vAlign w:val="bottom"/>
            <w:tcBorders>
              <w:bottom w:val="single" w:sz="8" w:color="auto"/>
            </w:tcBorders>
          </w:tcPr>
          <w:p>
            <w:pPr>
              <w:spacing w:after="0"/>
              <w:rPr>
                <w:sz w:val="5"/>
                <w:szCs w:val="5"/>
                <w:color w:val="auto"/>
              </w:rPr>
            </w:pPr>
          </w:p>
        </w:tc>
        <w:tc>
          <w:tcPr>
            <w:tcW w:w="8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780" w:type="dxa"/>
            <w:vAlign w:val="bottom"/>
            <w:tcBorders>
              <w:bottom w:val="single" w:sz="8" w:color="auto"/>
            </w:tcBorders>
          </w:tcPr>
          <w:p>
            <w:pPr>
              <w:spacing w:after="0"/>
              <w:rPr>
                <w:sz w:val="5"/>
                <w:szCs w:val="5"/>
                <w:color w:val="auto"/>
              </w:rPr>
            </w:pPr>
          </w:p>
        </w:tc>
      </w:tr>
      <w:tr>
        <w:trPr>
          <w:trHeight w:val="354"/>
        </w:trPr>
        <w:tc>
          <w:tcPr>
            <w:tcW w:w="4980" w:type="dxa"/>
            <w:vAlign w:val="bottom"/>
            <w:gridSpan w:val="2"/>
          </w:tcPr>
          <w:p>
            <w:pPr>
              <w:ind w:left="80"/>
              <w:spacing w:after="0"/>
              <w:rPr>
                <w:sz w:val="20"/>
                <w:szCs w:val="20"/>
                <w:color w:val="auto"/>
              </w:rPr>
            </w:pPr>
            <w:r>
              <w:rPr>
                <w:rFonts w:ascii="Arial" w:cs="Arial" w:eastAsia="Arial" w:hAnsi="Arial"/>
                <w:sz w:val="22"/>
                <w:szCs w:val="22"/>
                <w:color w:val="auto"/>
              </w:rPr>
              <w:t>Date</w:t>
            </w:r>
          </w:p>
        </w:tc>
        <w:tc>
          <w:tcPr>
            <w:tcW w:w="880" w:type="dxa"/>
            <w:vAlign w:val="bottom"/>
          </w:tcPr>
          <w:p>
            <w:pPr>
              <w:spacing w:after="0"/>
              <w:rPr>
                <w:sz w:val="24"/>
                <w:szCs w:val="24"/>
                <w:color w:val="auto"/>
              </w:rPr>
            </w:pPr>
          </w:p>
        </w:tc>
        <w:tc>
          <w:tcPr>
            <w:tcW w:w="4780" w:type="dxa"/>
            <w:vAlign w:val="bottom"/>
          </w:tcPr>
          <w:p>
            <w:pPr>
              <w:ind w:left="60"/>
              <w:spacing w:after="0"/>
              <w:rPr>
                <w:sz w:val="20"/>
                <w:szCs w:val="20"/>
                <w:color w:val="auto"/>
              </w:rPr>
            </w:pPr>
            <w:r>
              <w:rPr>
                <w:rFonts w:ascii="Arial" w:cs="Arial" w:eastAsia="Arial" w:hAnsi="Arial"/>
                <w:sz w:val="22"/>
                <w:szCs w:val="22"/>
                <w:color w:val="auto"/>
              </w:rPr>
              <w:t>Kristen A. Johnson</w:t>
            </w:r>
          </w:p>
        </w:tc>
      </w:tr>
      <w:tr>
        <w:trPr>
          <w:trHeight w:val="797"/>
        </w:trPr>
        <w:tc>
          <w:tcPr>
            <w:tcW w:w="4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60" w:type="dxa"/>
            <w:vAlign w:val="bottom"/>
            <w:gridSpan w:val="2"/>
          </w:tcPr>
          <w:p>
            <w:pPr>
              <w:ind w:left="60"/>
              <w:spacing w:after="0"/>
              <w:rPr>
                <w:sz w:val="20"/>
                <w:szCs w:val="20"/>
                <w:color w:val="auto"/>
              </w:rPr>
            </w:pPr>
            <w:r>
              <w:rPr>
                <w:rFonts w:ascii="Arial" w:cs="Arial" w:eastAsia="Arial" w:hAnsi="Arial"/>
                <w:sz w:val="22"/>
                <w:szCs w:val="22"/>
                <w:color w:val="0E0E0E"/>
              </w:rPr>
              <w:t>CONNECTICUT WATER SERVICE, INC.</w:t>
            </w:r>
          </w:p>
        </w:tc>
      </w:tr>
      <w:tr>
        <w:trPr>
          <w:trHeight w:val="418"/>
        </w:trPr>
        <w:tc>
          <w:tcPr>
            <w:tcW w:w="4980" w:type="dxa"/>
            <w:vAlign w:val="bottom"/>
            <w:gridSpan w:val="2"/>
          </w:tcPr>
          <w:p>
            <w:pPr>
              <w:ind w:left="80"/>
              <w:spacing w:after="0"/>
              <w:rPr>
                <w:sz w:val="20"/>
                <w:szCs w:val="20"/>
                <w:color w:val="auto"/>
              </w:rPr>
            </w:pPr>
            <w:r>
              <w:rPr>
                <w:rFonts w:ascii="Arial" w:cs="Arial" w:eastAsia="Arial" w:hAnsi="Arial"/>
                <w:sz w:val="22"/>
                <w:szCs w:val="22"/>
                <w:color w:val="auto"/>
              </w:rPr>
              <w:t>04/20/2020 | 3:46:40 PM PDT</w:t>
            </w:r>
          </w:p>
        </w:tc>
        <w:tc>
          <w:tcPr>
            <w:tcW w:w="880" w:type="dxa"/>
            <w:vAlign w:val="bottom"/>
          </w:tcPr>
          <w:p>
            <w:pPr>
              <w:ind w:left="60"/>
              <w:spacing w:after="0"/>
              <w:rPr>
                <w:sz w:val="20"/>
                <w:szCs w:val="20"/>
                <w:color w:val="auto"/>
              </w:rPr>
            </w:pPr>
            <w:r>
              <w:rPr>
                <w:rFonts w:ascii="Arial" w:cs="Arial" w:eastAsia="Arial" w:hAnsi="Arial"/>
                <w:sz w:val="22"/>
                <w:szCs w:val="22"/>
                <w:color w:val="auto"/>
              </w:rPr>
              <w:t>By</w:t>
            </w:r>
          </w:p>
        </w:tc>
        <w:tc>
          <w:tcPr>
            <w:tcW w:w="4780" w:type="dxa"/>
            <w:vAlign w:val="bottom"/>
          </w:tcPr>
          <w:p>
            <w:pPr>
              <w:ind w:left="60"/>
              <w:spacing w:after="0"/>
              <w:rPr>
                <w:sz w:val="20"/>
                <w:szCs w:val="20"/>
                <w:color w:val="auto"/>
              </w:rPr>
            </w:pPr>
            <w:r>
              <w:rPr>
                <w:rFonts w:ascii="Arial" w:cs="Arial" w:eastAsia="Arial" w:hAnsi="Arial"/>
                <w:sz w:val="22"/>
                <w:szCs w:val="22"/>
                <w:color w:val="auto"/>
              </w:rPr>
              <w:t>/s/ Kristen A. Johnson</w:t>
            </w:r>
          </w:p>
        </w:tc>
      </w:tr>
      <w:tr>
        <w:trPr>
          <w:trHeight w:val="58"/>
        </w:trPr>
        <w:tc>
          <w:tcPr>
            <w:tcW w:w="4160" w:type="dxa"/>
            <w:vAlign w:val="bottom"/>
            <w:tcBorders>
              <w:bottom w:val="single" w:sz="8" w:color="auto"/>
            </w:tcBorders>
          </w:tcPr>
          <w:p>
            <w:pPr>
              <w:spacing w:after="0"/>
              <w:rPr>
                <w:sz w:val="5"/>
                <w:szCs w:val="5"/>
                <w:color w:val="auto"/>
              </w:rPr>
            </w:pPr>
          </w:p>
        </w:tc>
        <w:tc>
          <w:tcPr>
            <w:tcW w:w="8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780" w:type="dxa"/>
            <w:vAlign w:val="bottom"/>
            <w:tcBorders>
              <w:bottom w:val="single" w:sz="8" w:color="auto"/>
            </w:tcBorders>
          </w:tcPr>
          <w:p>
            <w:pPr>
              <w:spacing w:after="0"/>
              <w:rPr>
                <w:sz w:val="5"/>
                <w:szCs w:val="5"/>
                <w:color w:val="auto"/>
              </w:rPr>
            </w:pPr>
          </w:p>
        </w:tc>
      </w:tr>
      <w:tr>
        <w:trPr>
          <w:trHeight w:val="354"/>
        </w:trPr>
        <w:tc>
          <w:tcPr>
            <w:tcW w:w="4980" w:type="dxa"/>
            <w:vAlign w:val="bottom"/>
            <w:gridSpan w:val="2"/>
          </w:tcPr>
          <w:p>
            <w:pPr>
              <w:ind w:left="80"/>
              <w:spacing w:after="0"/>
              <w:rPr>
                <w:sz w:val="20"/>
                <w:szCs w:val="20"/>
                <w:color w:val="auto"/>
              </w:rPr>
            </w:pPr>
            <w:r>
              <w:rPr>
                <w:rFonts w:ascii="Arial" w:cs="Arial" w:eastAsia="Arial" w:hAnsi="Arial"/>
                <w:sz w:val="22"/>
                <w:szCs w:val="22"/>
                <w:color w:val="auto"/>
              </w:rPr>
              <w:t>Date</w:t>
            </w:r>
          </w:p>
        </w:tc>
        <w:tc>
          <w:tcPr>
            <w:tcW w:w="880" w:type="dxa"/>
            <w:vAlign w:val="bottom"/>
          </w:tcPr>
          <w:p>
            <w:pPr>
              <w:spacing w:after="0"/>
              <w:rPr>
                <w:sz w:val="24"/>
                <w:szCs w:val="24"/>
                <w:color w:val="auto"/>
              </w:rPr>
            </w:pPr>
          </w:p>
        </w:tc>
        <w:tc>
          <w:tcPr>
            <w:tcW w:w="4780" w:type="dxa"/>
            <w:vAlign w:val="bottom"/>
          </w:tcPr>
          <w:p>
            <w:pPr>
              <w:ind w:left="60"/>
              <w:spacing w:after="0"/>
              <w:rPr>
                <w:sz w:val="20"/>
                <w:szCs w:val="20"/>
                <w:color w:val="auto"/>
              </w:rPr>
            </w:pPr>
            <w:r>
              <w:rPr>
                <w:rFonts w:ascii="Arial" w:cs="Arial" w:eastAsia="Arial" w:hAnsi="Arial"/>
                <w:sz w:val="22"/>
                <w:szCs w:val="22"/>
                <w:color w:val="auto"/>
              </w:rPr>
              <w:t>Kristen A. Johnson</w:t>
            </w:r>
          </w:p>
        </w:tc>
      </w:tr>
      <w:tr>
        <w:trPr>
          <w:trHeight w:val="797"/>
        </w:trPr>
        <w:tc>
          <w:tcPr>
            <w:tcW w:w="4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60" w:type="dxa"/>
            <w:vAlign w:val="bottom"/>
            <w:gridSpan w:val="2"/>
          </w:tcPr>
          <w:p>
            <w:pPr>
              <w:ind w:left="60"/>
              <w:spacing w:after="0"/>
              <w:rPr>
                <w:sz w:val="20"/>
                <w:szCs w:val="20"/>
                <w:color w:val="auto"/>
              </w:rPr>
            </w:pPr>
            <w:r>
              <w:rPr>
                <w:rFonts w:ascii="Arial" w:cs="Arial" w:eastAsia="Arial" w:hAnsi="Arial"/>
                <w:sz w:val="22"/>
                <w:szCs w:val="22"/>
                <w:color w:val="auto"/>
              </w:rPr>
              <w:t>EMPLOYEE</w:t>
            </w:r>
          </w:p>
        </w:tc>
      </w:tr>
      <w:tr>
        <w:trPr>
          <w:trHeight w:val="418"/>
        </w:trPr>
        <w:tc>
          <w:tcPr>
            <w:tcW w:w="4980" w:type="dxa"/>
            <w:vAlign w:val="bottom"/>
            <w:gridSpan w:val="2"/>
          </w:tcPr>
          <w:p>
            <w:pPr>
              <w:ind w:left="80"/>
              <w:spacing w:after="0"/>
              <w:rPr>
                <w:sz w:val="20"/>
                <w:szCs w:val="20"/>
                <w:color w:val="auto"/>
              </w:rPr>
            </w:pPr>
            <w:r>
              <w:rPr>
                <w:rFonts w:ascii="Arial" w:cs="Arial" w:eastAsia="Arial" w:hAnsi="Arial"/>
                <w:sz w:val="22"/>
                <w:szCs w:val="22"/>
                <w:color w:val="auto"/>
              </w:rPr>
              <w:t>04/20/2020 | 11:25:35 AM PDT</w:t>
            </w:r>
          </w:p>
        </w:tc>
        <w:tc>
          <w:tcPr>
            <w:tcW w:w="5660" w:type="dxa"/>
            <w:vAlign w:val="bottom"/>
            <w:gridSpan w:val="2"/>
          </w:tcPr>
          <w:p>
            <w:pPr>
              <w:ind w:left="60"/>
              <w:spacing w:after="0"/>
              <w:rPr>
                <w:sz w:val="20"/>
                <w:szCs w:val="20"/>
                <w:color w:val="auto"/>
              </w:rPr>
            </w:pPr>
            <w:r>
              <w:rPr>
                <w:rFonts w:ascii="Arial" w:cs="Arial" w:eastAsia="Arial" w:hAnsi="Arial"/>
                <w:sz w:val="22"/>
                <w:szCs w:val="22"/>
                <w:color w:val="auto"/>
              </w:rPr>
              <w:t>/s/ Craig J. Patla</w:t>
            </w:r>
          </w:p>
        </w:tc>
      </w:tr>
      <w:tr>
        <w:trPr>
          <w:trHeight w:val="58"/>
        </w:trPr>
        <w:tc>
          <w:tcPr>
            <w:tcW w:w="4160" w:type="dxa"/>
            <w:vAlign w:val="bottom"/>
            <w:tcBorders>
              <w:bottom w:val="single" w:sz="8" w:color="auto"/>
            </w:tcBorders>
          </w:tcPr>
          <w:p>
            <w:pPr>
              <w:spacing w:after="0"/>
              <w:rPr>
                <w:sz w:val="5"/>
                <w:szCs w:val="5"/>
                <w:color w:val="auto"/>
              </w:rPr>
            </w:pPr>
          </w:p>
        </w:tc>
        <w:tc>
          <w:tcPr>
            <w:tcW w:w="820" w:type="dxa"/>
            <w:vAlign w:val="bottom"/>
          </w:tcPr>
          <w:p>
            <w:pPr>
              <w:spacing w:after="0"/>
              <w:rPr>
                <w:sz w:val="5"/>
                <w:szCs w:val="5"/>
                <w:color w:val="auto"/>
              </w:rPr>
            </w:pPr>
          </w:p>
        </w:tc>
        <w:tc>
          <w:tcPr>
            <w:tcW w:w="5660" w:type="dxa"/>
            <w:vAlign w:val="bottom"/>
            <w:tcBorders>
              <w:bottom w:val="single" w:sz="8" w:color="auto"/>
            </w:tcBorders>
            <w:gridSpan w:val="2"/>
          </w:tcPr>
          <w:p>
            <w:pPr>
              <w:spacing w:after="0"/>
              <w:rPr>
                <w:sz w:val="5"/>
                <w:szCs w:val="5"/>
                <w:color w:val="auto"/>
              </w:rPr>
            </w:pPr>
          </w:p>
        </w:tc>
      </w:tr>
      <w:tr>
        <w:trPr>
          <w:trHeight w:val="355"/>
        </w:trPr>
        <w:tc>
          <w:tcPr>
            <w:tcW w:w="4980" w:type="dxa"/>
            <w:vAlign w:val="bottom"/>
            <w:gridSpan w:val="2"/>
          </w:tcPr>
          <w:p>
            <w:pPr>
              <w:ind w:left="80"/>
              <w:spacing w:after="0"/>
              <w:rPr>
                <w:sz w:val="20"/>
                <w:szCs w:val="20"/>
                <w:color w:val="auto"/>
              </w:rPr>
            </w:pPr>
            <w:r>
              <w:rPr>
                <w:rFonts w:ascii="Arial" w:cs="Arial" w:eastAsia="Arial" w:hAnsi="Arial"/>
                <w:sz w:val="22"/>
                <w:szCs w:val="22"/>
                <w:color w:val="auto"/>
              </w:rPr>
              <w:t>Date</w:t>
            </w:r>
          </w:p>
        </w:tc>
        <w:tc>
          <w:tcPr>
            <w:tcW w:w="5660" w:type="dxa"/>
            <w:vAlign w:val="bottom"/>
            <w:gridSpan w:val="2"/>
          </w:tcPr>
          <w:p>
            <w:pPr>
              <w:ind w:left="60"/>
              <w:spacing w:after="0"/>
              <w:rPr>
                <w:sz w:val="20"/>
                <w:szCs w:val="20"/>
                <w:color w:val="auto"/>
              </w:rPr>
            </w:pPr>
            <w:r>
              <w:rPr>
                <w:rFonts w:ascii="Arial" w:cs="Arial" w:eastAsia="Arial" w:hAnsi="Arial"/>
                <w:sz w:val="22"/>
                <w:szCs w:val="22"/>
                <w:color w:val="auto"/>
              </w:rPr>
              <w:t>Craig J. Patla</w:t>
            </w:r>
          </w:p>
        </w:tc>
      </w:tr>
    </w:tbl>
    <w:p>
      <w:pPr>
        <w:sectPr>
          <w:pgSz w:w="11900" w:h="16838" w:orient="portrait"/>
          <w:cols w:equalWidth="0" w:num="1">
            <w:col w:w="10880"/>
          </w:cols>
          <w:pgMar w:left="500" w:top="1440" w:right="51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color w:val="auto"/>
        </w:rPr>
        <w:t>EXHIBIT 10.87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 TO</w:t>
      </w: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161" w:lineRule="exact"/>
        <w:rPr>
          <w:sz w:val="20"/>
          <w:szCs w:val="20"/>
          <w:color w:val="auto"/>
        </w:rPr>
      </w:pPr>
    </w:p>
    <w:p>
      <w:pPr>
        <w:ind w:right="320" w:firstLine="648"/>
        <w:spacing w:after="0" w:line="229" w:lineRule="auto"/>
        <w:rPr>
          <w:sz w:val="20"/>
          <w:szCs w:val="20"/>
          <w:color w:val="auto"/>
        </w:rPr>
      </w:pPr>
      <w:r>
        <w:rPr>
          <w:rFonts w:ascii="Arial" w:cs="Arial" w:eastAsia="Arial" w:hAnsi="Arial"/>
          <w:sz w:val="21"/>
          <w:szCs w:val="21"/>
          <w:color w:val="auto"/>
        </w:rPr>
        <w:t>THIS SECOND AMENDMENT (the “Second Amendment”), effective as of January 1, 2023, is made by and between The Connecticut Water Company, a Connecticut corporation having its principal place of business in Clinton, Connecticut (“Company”), Connecticut Water Service, Inc., a Connecticut corporation and holder of all of the outstanding capital stock of Company (“Parent”), and Craig J. Patla, a resident of Madison, Connecticut (“Employee”).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185" w:lineRule="exact"/>
        <w:rPr>
          <w:sz w:val="20"/>
          <w:szCs w:val="20"/>
          <w:color w:val="auto"/>
        </w:rPr>
      </w:pPr>
    </w:p>
    <w:p>
      <w:pPr>
        <w:ind w:right="100" w:firstLine="648"/>
        <w:spacing w:after="0" w:line="223" w:lineRule="auto"/>
        <w:rPr>
          <w:sz w:val="20"/>
          <w:szCs w:val="20"/>
          <w:color w:val="auto"/>
        </w:rPr>
      </w:pPr>
      <w:r>
        <w:rPr>
          <w:rFonts w:ascii="Arial" w:cs="Arial" w:eastAsia="Arial" w:hAnsi="Arial"/>
          <w:sz w:val="22"/>
          <w:szCs w:val="22"/>
          <w:color w:val="auto"/>
        </w:rPr>
        <w:t>WHEREAS, Employee, Company and Parent entered into an Employment Agreement (the “Employment Agreement”) dated April 1, 2014 which was amended pursuant to the First Amendment to Employment Agreement effective January 18, 2020 (together with the Employment Agreement, the “Agreement”); and</w:t>
      </w:r>
    </w:p>
    <w:p>
      <w:pPr>
        <w:spacing w:after="0" w:line="159" w:lineRule="exact"/>
        <w:rPr>
          <w:sz w:val="20"/>
          <w:szCs w:val="20"/>
          <w:color w:val="auto"/>
        </w:rPr>
      </w:pPr>
    </w:p>
    <w:p>
      <w:pPr>
        <w:ind w:right="220" w:firstLine="648"/>
        <w:spacing w:after="0" w:line="232" w:lineRule="auto"/>
        <w:rPr>
          <w:sz w:val="20"/>
          <w:szCs w:val="20"/>
          <w:color w:val="auto"/>
        </w:rPr>
      </w:pPr>
      <w:r>
        <w:rPr>
          <w:rFonts w:ascii="Arial" w:cs="Arial" w:eastAsia="Arial" w:hAnsi="Arial"/>
          <w:sz w:val="22"/>
          <w:szCs w:val="22"/>
          <w:color w:val="auto"/>
        </w:rPr>
        <w:t>WHEREAS, Company wishes to continue to employ Employee and Employee wishes to continue in employment, upon the terms set forth in the Agreement as amended by this Second Amendment.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Company, Parent and Employee agree as follows:</w:t>
      </w:r>
    </w:p>
    <w:p>
      <w:pPr>
        <w:spacing w:after="0" w:line="179" w:lineRule="exact"/>
        <w:rPr>
          <w:sz w:val="20"/>
          <w:szCs w:val="20"/>
          <w:color w:val="auto"/>
        </w:rPr>
      </w:pPr>
    </w:p>
    <w:p>
      <w:pPr>
        <w:ind w:left="1300" w:right="1080" w:hanging="644"/>
        <w:spacing w:after="0" w:line="409" w:lineRule="auto"/>
        <w:tabs>
          <w:tab w:leader="none" w:pos="1300" w:val="left"/>
        </w:tabs>
        <w:numPr>
          <w:ilvl w:val="0"/>
          <w:numId w:val="77"/>
        </w:numPr>
        <w:rPr>
          <w:rFonts w:ascii="Arial" w:cs="Arial" w:eastAsia="Arial" w:hAnsi="Arial"/>
          <w:sz w:val="22"/>
          <w:szCs w:val="22"/>
          <w:color w:val="auto"/>
        </w:rPr>
      </w:pPr>
      <w:r>
        <w:rPr>
          <w:rFonts w:ascii="Arial" w:cs="Arial" w:eastAsia="Arial" w:hAnsi="Arial"/>
          <w:sz w:val="22"/>
          <w:szCs w:val="22"/>
          <w:color w:val="auto"/>
        </w:rPr>
        <w:t xml:space="preserve">Paragraph 3 of the Agreement entitled “Duties of Employment” is hereby replaced with the following: 3. </w:t>
      </w:r>
      <w:r>
        <w:rPr>
          <w:rFonts w:ascii="Arial" w:cs="Arial" w:eastAsia="Arial" w:hAnsi="Arial"/>
          <w:sz w:val="22"/>
          <w:szCs w:val="22"/>
          <w:u w:val="single" w:color="auto"/>
          <w:color w:val="auto"/>
        </w:rPr>
        <w:t>Duties of Employment</w:t>
      </w:r>
      <w:r>
        <w:rPr>
          <w:rFonts w:ascii="Arial" w:cs="Arial" w:eastAsia="Arial" w:hAnsi="Arial"/>
          <w:sz w:val="22"/>
          <w:szCs w:val="22"/>
          <w:color w:val="auto"/>
        </w:rPr>
        <w:t>.</w:t>
      </w:r>
    </w:p>
    <w:p>
      <w:pPr>
        <w:spacing w:after="0" w:line="2" w:lineRule="exact"/>
        <w:rPr>
          <w:sz w:val="20"/>
          <w:szCs w:val="20"/>
          <w:color w:val="auto"/>
        </w:rPr>
      </w:pPr>
    </w:p>
    <w:p>
      <w:pPr>
        <w:jc w:val="both"/>
        <w:ind w:firstLine="1304"/>
        <w:spacing w:after="0" w:line="216" w:lineRule="auto"/>
        <w:tabs>
          <w:tab w:leader="none" w:pos="1941" w:val="left"/>
        </w:tabs>
        <w:numPr>
          <w:ilvl w:val="1"/>
          <w:numId w:val="78"/>
        </w:numPr>
        <w:rPr>
          <w:rFonts w:ascii="Arial" w:cs="Arial" w:eastAsia="Arial" w:hAnsi="Arial"/>
          <w:sz w:val="22"/>
          <w:szCs w:val="22"/>
          <w:color w:val="auto"/>
        </w:rPr>
      </w:pPr>
      <w:r>
        <w:rPr>
          <w:rFonts w:ascii="Arial" w:cs="Arial" w:eastAsia="Arial" w:hAnsi="Arial"/>
          <w:sz w:val="22"/>
          <w:szCs w:val="22"/>
          <w:color w:val="auto"/>
        </w:rPr>
        <w:t>Effective as of January 1, 2023 (the “Second Amendment Date”), Employee shall serve as the President of Parent and Company. Employee shall report to the Chief Executive Officer of SJW Group (“SJW”) or to the Chief Operating Officer or another officer of SJW as designated by the Chief Executive Officer of SJW. Employee understands and agrees that Employee’s principal place of employment shall be in Company’s principal offices and that Employee will be required to travel for business in the course of performing his duties.</w:t>
      </w:r>
    </w:p>
    <w:p>
      <w:pPr>
        <w:spacing w:after="0" w:line="157" w:lineRule="exact"/>
        <w:rPr>
          <w:rFonts w:ascii="Arial" w:cs="Arial" w:eastAsia="Arial" w:hAnsi="Arial"/>
          <w:sz w:val="22"/>
          <w:szCs w:val="22"/>
          <w:color w:val="auto"/>
        </w:rPr>
      </w:pPr>
    </w:p>
    <w:p>
      <w:pPr>
        <w:jc w:val="both"/>
        <w:ind w:firstLine="1304"/>
        <w:spacing w:after="0" w:line="246" w:lineRule="auto"/>
        <w:tabs>
          <w:tab w:leader="none" w:pos="1939" w:val="left"/>
        </w:tabs>
        <w:numPr>
          <w:ilvl w:val="1"/>
          <w:numId w:val="78"/>
        </w:numPr>
        <w:rPr>
          <w:rFonts w:ascii="Arial" w:cs="Arial" w:eastAsia="Arial" w:hAnsi="Arial"/>
          <w:sz w:val="19"/>
          <w:szCs w:val="19"/>
          <w:color w:val="auto"/>
        </w:rPr>
      </w:pPr>
      <w:r>
        <w:rPr>
          <w:rFonts w:ascii="Arial" w:cs="Arial" w:eastAsia="Arial" w:hAnsi="Arial"/>
          <w:sz w:val="19"/>
          <w:szCs w:val="19"/>
          <w:color w:val="auto"/>
        </w:rPr>
        <w:t>During the Term, Employee will serve Company faithfully, diligently and competently and will devote full-time to Employee’s employment and will hold, in addition to the offices held on the Second Amendment Date, such other offices of any member of the Group to which Employee may be elected, appointed or assigned by the Board of Directors of Parent or SJW from time to time and will discharge such Employee duties in connection therewith. Nothing in this Agreement shall preclude Employee, with the prior approval of the Board of Directors of Parent, from devoting reasonable periods of time required for (i) serving as a director or member of a committee of any organization involving no conflict of interest with any member of the Group, or (ii) engaging in charitable, religious and community activities, provided, that such directorships, memberships or activities do not materially interfere with the performance of Employee’s duties hereunder.</w:t>
      </w:r>
    </w:p>
    <w:p>
      <w:pPr>
        <w:spacing w:after="0" w:line="152" w:lineRule="exact"/>
        <w:rPr>
          <w:rFonts w:ascii="Arial" w:cs="Arial" w:eastAsia="Arial" w:hAnsi="Arial"/>
          <w:sz w:val="19"/>
          <w:szCs w:val="19"/>
          <w:color w:val="auto"/>
        </w:rPr>
      </w:pPr>
    </w:p>
    <w:p>
      <w:pPr>
        <w:ind w:left="1300" w:hanging="644"/>
        <w:spacing w:after="0"/>
        <w:tabs>
          <w:tab w:leader="none" w:pos="1300" w:val="left"/>
        </w:tabs>
        <w:numPr>
          <w:ilvl w:val="0"/>
          <w:numId w:val="79"/>
        </w:numPr>
        <w:rPr>
          <w:rFonts w:ascii="Arial" w:cs="Arial" w:eastAsia="Arial" w:hAnsi="Arial"/>
          <w:sz w:val="22"/>
          <w:szCs w:val="22"/>
          <w:color w:val="auto"/>
        </w:rPr>
      </w:pPr>
      <w:r>
        <w:rPr>
          <w:rFonts w:ascii="Arial" w:cs="Arial" w:eastAsia="Arial" w:hAnsi="Arial"/>
          <w:sz w:val="22"/>
          <w:szCs w:val="22"/>
          <w:color w:val="auto"/>
        </w:rPr>
        <w:t>Paragraph 4 of the Agreement entitled “Compensation” is hereby replaced with the following:</w:t>
      </w:r>
    </w:p>
    <w:p>
      <w:pPr>
        <w:spacing w:after="0" w:line="179" w:lineRule="exact"/>
        <w:rPr>
          <w:rFonts w:ascii="Arial" w:cs="Arial" w:eastAsia="Arial" w:hAnsi="Arial"/>
          <w:sz w:val="22"/>
          <w:szCs w:val="22"/>
          <w:color w:val="auto"/>
        </w:rPr>
      </w:pPr>
    </w:p>
    <w:p>
      <w:pPr>
        <w:ind w:firstLine="656"/>
        <w:spacing w:after="0" w:line="232" w:lineRule="auto"/>
        <w:tabs>
          <w:tab w:leader="none" w:pos="1296"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 Effective January 1, 2023, Company shall pay to Employee as compensation for the services to be rendered by Employee hereunder the following:</w:t>
      </w:r>
    </w:p>
    <w:p>
      <w:pPr>
        <w:spacing w:after="0" w:line="158" w:lineRule="exact"/>
        <w:rPr>
          <w:rFonts w:ascii="Arial" w:cs="Arial" w:eastAsia="Arial" w:hAnsi="Arial"/>
          <w:sz w:val="22"/>
          <w:szCs w:val="22"/>
          <w:color w:val="auto"/>
        </w:rPr>
      </w:pPr>
    </w:p>
    <w:p>
      <w:pPr>
        <w:ind w:right="20" w:firstLine="1304"/>
        <w:spacing w:after="0" w:line="232" w:lineRule="auto"/>
        <w:tabs>
          <w:tab w:leader="none" w:pos="1941" w:val="left"/>
        </w:tabs>
        <w:numPr>
          <w:ilvl w:val="1"/>
          <w:numId w:val="79"/>
        </w:numPr>
        <w:rPr>
          <w:rFonts w:ascii="Arial" w:cs="Arial" w:eastAsia="Arial" w:hAnsi="Arial"/>
          <w:sz w:val="22"/>
          <w:szCs w:val="22"/>
          <w:color w:val="auto"/>
        </w:rPr>
      </w:pPr>
      <w:r>
        <w:rPr>
          <w:rFonts w:ascii="Arial" w:cs="Arial" w:eastAsia="Arial" w:hAnsi="Arial"/>
          <w:sz w:val="22"/>
          <w:szCs w:val="22"/>
          <w:u w:val="single" w:color="auto"/>
          <w:color w:val="auto"/>
        </w:rPr>
        <w:t>Base Salary</w:t>
      </w:r>
      <w:r>
        <w:rPr>
          <w:rFonts w:ascii="Arial" w:cs="Arial" w:eastAsia="Arial" w:hAnsi="Arial"/>
          <w:sz w:val="22"/>
          <w:szCs w:val="22"/>
          <w:color w:val="auto"/>
        </w:rPr>
        <w:t>. Commencing as of January 1, 2023, Company shall pay Employee a base salary (“Base Salary”) at the annual rate of $360,000.00. Such compensation</w:t>
      </w:r>
    </w:p>
    <w:p>
      <w:pPr>
        <w:sectPr>
          <w:pgSz w:w="11900" w:h="16838" w:orient="portrait"/>
          <w:cols w:equalWidth="0" w:num="1">
            <w:col w:w="11240"/>
          </w:cols>
          <w:pgMar w:left="320" w:top="111" w:right="339" w:bottom="1440" w:gutter="0" w:footer="0" w:header="0"/>
        </w:sectPr>
      </w:pPr>
    </w:p>
    <w:bookmarkStart w:id="123" w:name="page124"/>
    <w:bookmarkEnd w:id="123"/>
    <w:p>
      <w:pPr>
        <w:jc w:val="both"/>
        <w:spacing w:after="0" w:line="218" w:lineRule="auto"/>
        <w:rPr>
          <w:sz w:val="20"/>
          <w:szCs w:val="20"/>
          <w:color w:val="auto"/>
        </w:rPr>
      </w:pPr>
      <w:r>
        <w:rPr>
          <w:rFonts w:ascii="Arial" w:cs="Arial" w:eastAsia="Arial" w:hAnsi="Arial"/>
          <w:sz w:val="22"/>
          <w:szCs w:val="22"/>
          <w:color w:val="auto"/>
        </w:rPr>
        <w:t>shall be payable in accordance with the normal payroll practices of Company. Commencing with the 2024 calendar year, Employee shall receive an annual increase in base salary in connection with an annual performance review, of not less than the percentage increase in base salary provided to other similarly situated executive officers of SJW (other than the SJW Chief Executive Officer) for the applicable year.</w:t>
      </w:r>
    </w:p>
    <w:p>
      <w:pPr>
        <w:spacing w:after="0" w:line="161" w:lineRule="exact"/>
        <w:rPr>
          <w:sz w:val="20"/>
          <w:szCs w:val="20"/>
          <w:color w:val="auto"/>
        </w:rPr>
      </w:pPr>
    </w:p>
    <w:p>
      <w:pPr>
        <w:jc w:val="both"/>
        <w:ind w:firstLine="1304"/>
        <w:spacing w:after="0" w:line="241" w:lineRule="auto"/>
        <w:tabs>
          <w:tab w:leader="none" w:pos="1939" w:val="left"/>
        </w:tabs>
        <w:numPr>
          <w:ilvl w:val="1"/>
          <w:numId w:val="80"/>
        </w:numPr>
        <w:rPr>
          <w:rFonts w:ascii="Arial" w:cs="Arial" w:eastAsia="Arial" w:hAnsi="Arial"/>
          <w:sz w:val="19"/>
          <w:szCs w:val="19"/>
          <w:color w:val="auto"/>
        </w:rPr>
      </w:pPr>
      <w:r>
        <w:rPr>
          <w:rFonts w:ascii="Arial" w:cs="Arial" w:eastAsia="Arial" w:hAnsi="Arial"/>
          <w:sz w:val="19"/>
          <w:szCs w:val="19"/>
          <w:u w:val="single" w:color="auto"/>
          <w:color w:val="auto"/>
        </w:rPr>
        <w:t>Annual Bonus</w:t>
      </w:r>
      <w:r>
        <w:rPr>
          <w:rFonts w:ascii="Arial" w:cs="Arial" w:eastAsia="Arial" w:hAnsi="Arial"/>
          <w:sz w:val="19"/>
          <w:szCs w:val="19"/>
          <w:color w:val="auto"/>
        </w:rPr>
        <w:t>. Employee shall be eligible to receive an annual bonus (“Annual Bonus”) for each calendar year during the Term, commencing with the 2023 calendar year, based on the attainment of individual and corporate performance goals and targets established by the Board of Directors of Parent and the Executive Compensation Committee of the Board of Directors of SJW (the “ECC”). The target amount of Employee’s Annual Bonus (the “Target Annual Bonus”) commencing with the 2023 calendar year, shall be at least 35% of Employee’s Base Salary for the applicable year, with the actual Annual Bonus ranging from 0-150% of the Target Annual Bonus based on the level of achievement of the applicable performance goals, as determined by the Board of Directors of Parent and the ECC. Up to an additional 50% of the Target Annual Bonus may also be awarded to Employee for exceptional individual performance, as determined by the Board of Directors of Parent and the ECC in their discretion. Any Annual Bonus shall be paid after the end of the calendar year to which it relates, at the same time and under the same terms and conditions as the bonuses for other executive officers of SJW (other than the SJW Chief Executive Officer); provided that in no event shall Employee’s Annual Bonus be paid later than two and a half months after the last day of the fiscal year to which the Annual Bonus relates. The Annual Bonus shall be subject to the terms of the annual bonus plan or program that is applicable to other executive officers of SJW (other than the SJW Chief Executive Officer), including requirements as to continued employment, subject to the provisions of Paragraph 7 below.</w:t>
      </w:r>
    </w:p>
    <w:p>
      <w:pPr>
        <w:spacing w:after="0" w:line="168" w:lineRule="exact"/>
        <w:rPr>
          <w:rFonts w:ascii="Arial" w:cs="Arial" w:eastAsia="Arial" w:hAnsi="Arial"/>
          <w:sz w:val="19"/>
          <w:szCs w:val="19"/>
          <w:color w:val="auto"/>
        </w:rPr>
      </w:pPr>
    </w:p>
    <w:p>
      <w:pPr>
        <w:jc w:val="both"/>
        <w:ind w:firstLine="1304"/>
        <w:spacing w:after="0" w:line="241" w:lineRule="auto"/>
        <w:tabs>
          <w:tab w:leader="none" w:pos="1941" w:val="left"/>
        </w:tabs>
        <w:numPr>
          <w:ilvl w:val="1"/>
          <w:numId w:val="80"/>
        </w:numPr>
        <w:rPr>
          <w:rFonts w:ascii="Arial" w:cs="Arial" w:eastAsia="Arial" w:hAnsi="Arial"/>
          <w:sz w:val="19"/>
          <w:szCs w:val="19"/>
          <w:color w:val="auto"/>
        </w:rPr>
      </w:pPr>
      <w:r>
        <w:rPr>
          <w:rFonts w:ascii="Arial" w:cs="Arial" w:eastAsia="Arial" w:hAnsi="Arial"/>
          <w:sz w:val="19"/>
          <w:szCs w:val="19"/>
          <w:u w:val="single" w:color="auto"/>
          <w:color w:val="auto"/>
        </w:rPr>
        <w:t>Equity Compensation</w:t>
      </w:r>
      <w:r>
        <w:rPr>
          <w:rFonts w:ascii="Arial" w:cs="Arial" w:eastAsia="Arial" w:hAnsi="Arial"/>
          <w:sz w:val="19"/>
          <w:szCs w:val="19"/>
          <w:color w:val="auto"/>
        </w:rPr>
        <w:t>. Commencing with the 2023 calendar year and contingent on Employee’s continued employment through the grant date, Employee shall be eligible to receive an annual award of restricted stock units (“RSUs”) covering a number of shares of SJW common stock with a target face-value equal to $204,000.00, calculated by dividing $204,000 by the Share Price (as defined below) on the date of grant, rounded to the nearest whole number (the “RSU Award”). The RSU Award shall be granted at the same time as annual equity awards for the applicable year are granted to executive officers of SJW (other than the SJW Chief Executive Officer). The RSU Award shall be granted in the form of a time-based RSU award that vests based on Employee’s continued service with Company over a specified service period (the “Time-Based RSU Award”) and/or a performance-based RSU award that vests based on the achievement of performance goals (as measured over the applicable performance period specified for the award) as determined by the ECC, subject to Employee’s continued employment with Company through the respective vesting dates (the “Performance-Based RSU Award”). The allocation between a Time-Based RSU Award and Performance-Based RSU Award shall be determined by the ECC. The terms of the Time-Based RSU Award and Performance-Based RSU Award, including the applicable performance goals, shall be as set forth in the SJW Long-Term Incentive Plan (or successor thereto), as may be amended, and the applicable form Restricted Stock Unit Issuance Agreement provided by SJW for the applicable year, with such form consistent with the form used for other executive officers of SJW for the applicable year (other than the SJW Chief Executive Officer). Dividend equivalent rights will not accrue with respect to the RSU Award. “Share Price” shall mean the closing price per share of SJW common stock at the close of regular hours trading on the New York Stock Exchange on the relevant date.</w:t>
      </w:r>
    </w:p>
    <w:p>
      <w:pPr>
        <w:spacing w:after="0" w:line="158" w:lineRule="exact"/>
        <w:rPr>
          <w:rFonts w:ascii="Arial" w:cs="Arial" w:eastAsia="Arial" w:hAnsi="Arial"/>
          <w:sz w:val="19"/>
          <w:szCs w:val="19"/>
          <w:color w:val="auto"/>
        </w:rPr>
      </w:pPr>
    </w:p>
    <w:p>
      <w:pPr>
        <w:jc w:val="both"/>
        <w:ind w:firstLine="656"/>
        <w:spacing w:after="0" w:line="268" w:lineRule="auto"/>
        <w:tabs>
          <w:tab w:leader="none" w:pos="1296"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Effect of Second Amendment</w:t>
      </w:r>
      <w:r>
        <w:rPr>
          <w:rFonts w:ascii="Arial" w:cs="Arial" w:eastAsia="Arial" w:hAnsi="Arial"/>
          <w:sz w:val="19"/>
          <w:szCs w:val="19"/>
          <w:color w:val="auto"/>
        </w:rPr>
        <w:t>. Except as hereinabove modified and amended, the Agreement shall remain in full force and effect. This Second Amendment may be executed in any number of counterparts (including facsimile counterparts), each of which shall be an original, but all of which together shall constitute one instrument. In the event that a party 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124" w:name="page125"/>
    <w:bookmarkEnd w:id="124"/>
    <w:p>
      <w:pPr>
        <w:jc w:val="both"/>
        <w:spacing w:after="0" w:line="218" w:lineRule="auto"/>
        <w:rPr>
          <w:sz w:val="20"/>
          <w:szCs w:val="20"/>
          <w:color w:val="auto"/>
        </w:rPr>
      </w:pPr>
      <w:r>
        <w:rPr>
          <w:rFonts w:ascii="Arial" w:cs="Arial" w:eastAsia="Arial" w:hAnsi="Arial"/>
          <w:sz w:val="22"/>
          <w:szCs w:val="22"/>
          <w:color w:val="auto"/>
        </w:rPr>
        <w:t>this Second Amendment electronically, such party expressly agrees that it has been given the option to print out a paper copy of the Second Amendment and sign it manually, it has agreed to sign this Second Amendment using an electronic signature, and for purposes of authentication, validity, enforceability, admissibility and otherwise, such signature shall have the same force and affect as a manual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125" w:name="page126"/>
    <w:bookmarkEnd w:id="125"/>
    <w:p>
      <w:pPr>
        <w:ind w:right="60" w:firstLine="648"/>
        <w:spacing w:after="0" w:line="232" w:lineRule="auto"/>
        <w:rPr>
          <w:sz w:val="20"/>
          <w:szCs w:val="20"/>
          <w:color w:val="auto"/>
        </w:rPr>
      </w:pPr>
      <w:r>
        <w:rPr>
          <w:rFonts w:ascii="Arial" w:cs="Arial" w:eastAsia="Arial" w:hAnsi="Arial"/>
          <w:sz w:val="22"/>
          <w:szCs w:val="22"/>
          <w:color w:val="auto"/>
        </w:rPr>
        <w:t>IN WITNESS WHEREOF, Company and Parent have caused this Second Amendment to be executed by an authorized officer, and Employee has hereunto set Employee’s hand, to be effective as of January 1, 2023.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340" w:type="dxa"/>
        <w:tblCellMar>
          <w:top w:w="0" w:type="dxa"/>
          <w:left w:w="0" w:type="dxa"/>
          <w:bottom w:w="0" w:type="dxa"/>
          <w:right w:w="0" w:type="dxa"/>
        </w:tblCellMar>
      </w:tblPr>
      <w:tr>
        <w:trPr>
          <w:trHeight w:val="282"/>
        </w:trPr>
        <w:tc>
          <w:tcPr>
            <w:tcW w:w="4640" w:type="dxa"/>
            <w:vAlign w:val="bottom"/>
          </w:tcPr>
          <w:p>
            <w:pPr>
              <w:spacing w:after="0"/>
              <w:rPr>
                <w:sz w:val="24"/>
                <w:szCs w:val="24"/>
                <w:color w:val="auto"/>
              </w:rPr>
            </w:pPr>
          </w:p>
        </w:tc>
        <w:tc>
          <w:tcPr>
            <w:tcW w:w="6040" w:type="dxa"/>
            <w:vAlign w:val="bottom"/>
            <w:gridSpan w:val="2"/>
          </w:tcPr>
          <w:p>
            <w:pPr>
              <w:ind w:left="460"/>
              <w:spacing w:after="0"/>
              <w:rPr>
                <w:sz w:val="20"/>
                <w:szCs w:val="20"/>
                <w:color w:val="auto"/>
              </w:rPr>
            </w:pPr>
            <w:r>
              <w:rPr>
                <w:rFonts w:ascii="Arial" w:cs="Arial" w:eastAsia="Arial" w:hAnsi="Arial"/>
                <w:sz w:val="23"/>
                <w:szCs w:val="23"/>
                <w:color w:val="auto"/>
              </w:rPr>
              <w:t>THE CONNECTICUT WATER COMPANY</w:t>
            </w:r>
          </w:p>
        </w:tc>
      </w:tr>
      <w:tr>
        <w:trPr>
          <w:trHeight w:val="445"/>
        </w:trPr>
        <w:tc>
          <w:tcPr>
            <w:tcW w:w="4640" w:type="dxa"/>
            <w:vAlign w:val="bottom"/>
          </w:tcPr>
          <w:p>
            <w:pPr>
              <w:ind w:left="60"/>
              <w:spacing w:after="0"/>
              <w:rPr>
                <w:sz w:val="20"/>
                <w:szCs w:val="20"/>
                <w:color w:val="auto"/>
              </w:rPr>
            </w:pPr>
            <w:r>
              <w:rPr>
                <w:rFonts w:ascii="Arial" w:cs="Arial" w:eastAsia="Arial" w:hAnsi="Arial"/>
                <w:sz w:val="23"/>
                <w:szCs w:val="23"/>
                <w:color w:val="auto"/>
              </w:rPr>
              <w:t>01/09/2023 | 9:21:20 AM PST</w:t>
            </w:r>
          </w:p>
        </w:tc>
        <w:tc>
          <w:tcPr>
            <w:tcW w:w="1300" w:type="dxa"/>
            <w:vAlign w:val="bottom"/>
          </w:tcPr>
          <w:p>
            <w:pPr>
              <w:ind w:left="460"/>
              <w:spacing w:after="0"/>
              <w:rPr>
                <w:sz w:val="20"/>
                <w:szCs w:val="20"/>
                <w:color w:val="auto"/>
              </w:rPr>
            </w:pPr>
            <w:r>
              <w:rPr>
                <w:rFonts w:ascii="Arial" w:cs="Arial" w:eastAsia="Arial" w:hAnsi="Arial"/>
                <w:sz w:val="23"/>
                <w:szCs w:val="23"/>
                <w:color w:val="auto"/>
              </w:rPr>
              <w:t>By</w:t>
            </w:r>
          </w:p>
        </w:tc>
        <w:tc>
          <w:tcPr>
            <w:tcW w:w="4740" w:type="dxa"/>
            <w:vAlign w:val="bottom"/>
          </w:tcPr>
          <w:p>
            <w:pPr>
              <w:ind w:left="60"/>
              <w:spacing w:after="0"/>
              <w:rPr>
                <w:sz w:val="20"/>
                <w:szCs w:val="20"/>
                <w:color w:val="auto"/>
              </w:rPr>
            </w:pPr>
            <w:r>
              <w:rPr>
                <w:rFonts w:ascii="Arial" w:cs="Arial" w:eastAsia="Arial" w:hAnsi="Arial"/>
                <w:sz w:val="23"/>
                <w:szCs w:val="23"/>
                <w:color w:val="auto"/>
              </w:rPr>
              <w:t>/s/ Kristen A. Johnson</w:t>
            </w:r>
          </w:p>
        </w:tc>
      </w:tr>
      <w:tr>
        <w:trPr>
          <w:trHeight w:val="52"/>
        </w:trPr>
        <w:tc>
          <w:tcPr>
            <w:tcW w:w="46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r>
      <w:tr>
        <w:trPr>
          <w:trHeight w:val="388"/>
        </w:trPr>
        <w:tc>
          <w:tcPr>
            <w:tcW w:w="4640" w:type="dxa"/>
            <w:vAlign w:val="bottom"/>
          </w:tcPr>
          <w:p>
            <w:pPr>
              <w:ind w:left="60"/>
              <w:spacing w:after="0"/>
              <w:rPr>
                <w:sz w:val="20"/>
                <w:szCs w:val="20"/>
                <w:color w:val="auto"/>
              </w:rPr>
            </w:pPr>
            <w:r>
              <w:rPr>
                <w:rFonts w:ascii="Arial" w:cs="Arial" w:eastAsia="Arial" w:hAnsi="Arial"/>
                <w:sz w:val="23"/>
                <w:szCs w:val="23"/>
                <w:color w:val="auto"/>
              </w:rPr>
              <w:t>Date</w:t>
            </w:r>
          </w:p>
        </w:tc>
        <w:tc>
          <w:tcPr>
            <w:tcW w:w="1300" w:type="dxa"/>
            <w:vAlign w:val="bottom"/>
          </w:tcPr>
          <w:p>
            <w:pPr>
              <w:spacing w:after="0"/>
              <w:rPr>
                <w:sz w:val="24"/>
                <w:szCs w:val="24"/>
                <w:color w:val="auto"/>
              </w:rPr>
            </w:pPr>
          </w:p>
        </w:tc>
        <w:tc>
          <w:tcPr>
            <w:tcW w:w="4740" w:type="dxa"/>
            <w:vAlign w:val="bottom"/>
          </w:tcPr>
          <w:p>
            <w:pPr>
              <w:ind w:left="60"/>
              <w:spacing w:after="0"/>
              <w:rPr>
                <w:sz w:val="20"/>
                <w:szCs w:val="20"/>
                <w:color w:val="auto"/>
              </w:rPr>
            </w:pPr>
            <w:r>
              <w:rPr>
                <w:rFonts w:ascii="Arial" w:cs="Arial" w:eastAsia="Arial" w:hAnsi="Arial"/>
                <w:sz w:val="23"/>
                <w:szCs w:val="23"/>
                <w:color w:val="auto"/>
              </w:rPr>
              <w:t>Kristen A. Johnson</w:t>
            </w:r>
          </w:p>
        </w:tc>
      </w:tr>
      <w:tr>
        <w:trPr>
          <w:trHeight w:val="837"/>
        </w:trPr>
        <w:tc>
          <w:tcPr>
            <w:tcW w:w="4640" w:type="dxa"/>
            <w:vAlign w:val="bottom"/>
          </w:tcPr>
          <w:p>
            <w:pPr>
              <w:spacing w:after="0"/>
              <w:rPr>
                <w:sz w:val="24"/>
                <w:szCs w:val="24"/>
                <w:color w:val="auto"/>
              </w:rPr>
            </w:pPr>
          </w:p>
        </w:tc>
        <w:tc>
          <w:tcPr>
            <w:tcW w:w="6040" w:type="dxa"/>
            <w:vAlign w:val="bottom"/>
            <w:gridSpan w:val="2"/>
          </w:tcPr>
          <w:p>
            <w:pPr>
              <w:ind w:left="460"/>
              <w:spacing w:after="0"/>
              <w:rPr>
                <w:sz w:val="20"/>
                <w:szCs w:val="20"/>
                <w:color w:val="auto"/>
              </w:rPr>
            </w:pPr>
            <w:r>
              <w:rPr>
                <w:rFonts w:ascii="Arial" w:cs="Arial" w:eastAsia="Arial" w:hAnsi="Arial"/>
                <w:sz w:val="23"/>
                <w:szCs w:val="23"/>
                <w:color w:val="auto"/>
              </w:rPr>
              <w:t>CONNECTICUT WATER SERVICE, INC.</w:t>
            </w:r>
          </w:p>
        </w:tc>
      </w:tr>
      <w:tr>
        <w:trPr>
          <w:trHeight w:val="446"/>
        </w:trPr>
        <w:tc>
          <w:tcPr>
            <w:tcW w:w="4640" w:type="dxa"/>
            <w:vAlign w:val="bottom"/>
          </w:tcPr>
          <w:p>
            <w:pPr>
              <w:ind w:left="60"/>
              <w:spacing w:after="0"/>
              <w:rPr>
                <w:sz w:val="20"/>
                <w:szCs w:val="20"/>
                <w:color w:val="auto"/>
              </w:rPr>
            </w:pPr>
            <w:r>
              <w:rPr>
                <w:rFonts w:ascii="Arial" w:cs="Arial" w:eastAsia="Arial" w:hAnsi="Arial"/>
                <w:sz w:val="23"/>
                <w:szCs w:val="23"/>
                <w:color w:val="auto"/>
              </w:rPr>
              <w:t>01/09/2023 | 9:21:20 AM PST</w:t>
            </w:r>
          </w:p>
        </w:tc>
        <w:tc>
          <w:tcPr>
            <w:tcW w:w="1300" w:type="dxa"/>
            <w:vAlign w:val="bottom"/>
          </w:tcPr>
          <w:p>
            <w:pPr>
              <w:ind w:left="460"/>
              <w:spacing w:after="0"/>
              <w:rPr>
                <w:sz w:val="20"/>
                <w:szCs w:val="20"/>
                <w:color w:val="auto"/>
              </w:rPr>
            </w:pPr>
            <w:r>
              <w:rPr>
                <w:rFonts w:ascii="Arial" w:cs="Arial" w:eastAsia="Arial" w:hAnsi="Arial"/>
                <w:sz w:val="23"/>
                <w:szCs w:val="23"/>
                <w:color w:val="auto"/>
              </w:rPr>
              <w:t>By</w:t>
            </w:r>
          </w:p>
        </w:tc>
        <w:tc>
          <w:tcPr>
            <w:tcW w:w="4740" w:type="dxa"/>
            <w:vAlign w:val="bottom"/>
          </w:tcPr>
          <w:p>
            <w:pPr>
              <w:ind w:left="60"/>
              <w:spacing w:after="0"/>
              <w:rPr>
                <w:sz w:val="20"/>
                <w:szCs w:val="20"/>
                <w:color w:val="auto"/>
              </w:rPr>
            </w:pPr>
            <w:r>
              <w:rPr>
                <w:rFonts w:ascii="Arial" w:cs="Arial" w:eastAsia="Arial" w:hAnsi="Arial"/>
                <w:sz w:val="23"/>
                <w:szCs w:val="23"/>
                <w:color w:val="auto"/>
              </w:rPr>
              <w:t>/s/ Kristen A. Johnson</w:t>
            </w:r>
          </w:p>
        </w:tc>
      </w:tr>
      <w:tr>
        <w:trPr>
          <w:trHeight w:val="52"/>
        </w:trPr>
        <w:tc>
          <w:tcPr>
            <w:tcW w:w="46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r>
      <w:tr>
        <w:trPr>
          <w:trHeight w:val="388"/>
        </w:trPr>
        <w:tc>
          <w:tcPr>
            <w:tcW w:w="4640" w:type="dxa"/>
            <w:vAlign w:val="bottom"/>
          </w:tcPr>
          <w:p>
            <w:pPr>
              <w:ind w:left="60"/>
              <w:spacing w:after="0"/>
              <w:rPr>
                <w:sz w:val="20"/>
                <w:szCs w:val="20"/>
                <w:color w:val="auto"/>
              </w:rPr>
            </w:pPr>
            <w:r>
              <w:rPr>
                <w:rFonts w:ascii="Arial" w:cs="Arial" w:eastAsia="Arial" w:hAnsi="Arial"/>
                <w:sz w:val="23"/>
                <w:szCs w:val="23"/>
                <w:color w:val="auto"/>
              </w:rPr>
              <w:t>Date</w:t>
            </w:r>
          </w:p>
        </w:tc>
        <w:tc>
          <w:tcPr>
            <w:tcW w:w="1300" w:type="dxa"/>
            <w:vAlign w:val="bottom"/>
          </w:tcPr>
          <w:p>
            <w:pPr>
              <w:spacing w:after="0"/>
              <w:rPr>
                <w:sz w:val="24"/>
                <w:szCs w:val="24"/>
                <w:color w:val="auto"/>
              </w:rPr>
            </w:pPr>
          </w:p>
        </w:tc>
        <w:tc>
          <w:tcPr>
            <w:tcW w:w="4740" w:type="dxa"/>
            <w:vAlign w:val="bottom"/>
          </w:tcPr>
          <w:p>
            <w:pPr>
              <w:ind w:left="60"/>
              <w:spacing w:after="0"/>
              <w:rPr>
                <w:sz w:val="20"/>
                <w:szCs w:val="20"/>
                <w:color w:val="auto"/>
              </w:rPr>
            </w:pPr>
            <w:r>
              <w:rPr>
                <w:rFonts w:ascii="Arial" w:cs="Arial" w:eastAsia="Arial" w:hAnsi="Arial"/>
                <w:sz w:val="23"/>
                <w:szCs w:val="23"/>
                <w:color w:val="auto"/>
              </w:rPr>
              <w:t>Kristen A. Johnson</w:t>
            </w:r>
          </w:p>
        </w:tc>
      </w:tr>
      <w:tr>
        <w:trPr>
          <w:trHeight w:val="837"/>
        </w:trPr>
        <w:tc>
          <w:tcPr>
            <w:tcW w:w="4640" w:type="dxa"/>
            <w:vAlign w:val="bottom"/>
          </w:tcPr>
          <w:p>
            <w:pPr>
              <w:spacing w:after="0"/>
              <w:rPr>
                <w:sz w:val="24"/>
                <w:szCs w:val="24"/>
                <w:color w:val="auto"/>
              </w:rPr>
            </w:pPr>
          </w:p>
        </w:tc>
        <w:tc>
          <w:tcPr>
            <w:tcW w:w="6040" w:type="dxa"/>
            <w:vAlign w:val="bottom"/>
            <w:gridSpan w:val="2"/>
          </w:tcPr>
          <w:p>
            <w:pPr>
              <w:ind w:left="460"/>
              <w:spacing w:after="0"/>
              <w:rPr>
                <w:sz w:val="20"/>
                <w:szCs w:val="20"/>
                <w:color w:val="auto"/>
              </w:rPr>
            </w:pPr>
            <w:r>
              <w:rPr>
                <w:rFonts w:ascii="Arial" w:cs="Arial" w:eastAsia="Arial" w:hAnsi="Arial"/>
                <w:sz w:val="23"/>
                <w:szCs w:val="23"/>
                <w:color w:val="auto"/>
              </w:rPr>
              <w:t>EMPLOYEE</w:t>
            </w:r>
          </w:p>
        </w:tc>
      </w:tr>
      <w:tr>
        <w:trPr>
          <w:trHeight w:val="445"/>
        </w:trPr>
        <w:tc>
          <w:tcPr>
            <w:tcW w:w="4640" w:type="dxa"/>
            <w:vAlign w:val="bottom"/>
          </w:tcPr>
          <w:p>
            <w:pPr>
              <w:ind w:left="60"/>
              <w:spacing w:after="0"/>
              <w:rPr>
                <w:sz w:val="20"/>
                <w:szCs w:val="20"/>
                <w:color w:val="auto"/>
              </w:rPr>
            </w:pPr>
            <w:r>
              <w:rPr>
                <w:rFonts w:ascii="Arial" w:cs="Arial" w:eastAsia="Arial" w:hAnsi="Arial"/>
                <w:sz w:val="23"/>
                <w:szCs w:val="23"/>
                <w:color w:val="auto"/>
              </w:rPr>
              <w:t>01/09/2023 | 10:26:50 AM PST</w:t>
            </w:r>
          </w:p>
        </w:tc>
        <w:tc>
          <w:tcPr>
            <w:tcW w:w="1300" w:type="dxa"/>
            <w:vAlign w:val="bottom"/>
          </w:tcPr>
          <w:p>
            <w:pPr>
              <w:ind w:left="460"/>
              <w:spacing w:after="0"/>
              <w:rPr>
                <w:sz w:val="20"/>
                <w:szCs w:val="20"/>
                <w:color w:val="auto"/>
              </w:rPr>
            </w:pPr>
            <w:r>
              <w:rPr>
                <w:rFonts w:ascii="Arial" w:cs="Arial" w:eastAsia="Arial" w:hAnsi="Arial"/>
                <w:sz w:val="23"/>
                <w:szCs w:val="23"/>
                <w:color w:val="auto"/>
              </w:rPr>
              <w:t>By</w:t>
            </w:r>
          </w:p>
        </w:tc>
        <w:tc>
          <w:tcPr>
            <w:tcW w:w="4740" w:type="dxa"/>
            <w:vAlign w:val="bottom"/>
          </w:tcPr>
          <w:p>
            <w:pPr>
              <w:ind w:left="60"/>
              <w:spacing w:after="0"/>
              <w:rPr>
                <w:sz w:val="20"/>
                <w:szCs w:val="20"/>
                <w:color w:val="auto"/>
              </w:rPr>
            </w:pPr>
            <w:r>
              <w:rPr>
                <w:rFonts w:ascii="Arial" w:cs="Arial" w:eastAsia="Arial" w:hAnsi="Arial"/>
                <w:sz w:val="23"/>
                <w:szCs w:val="23"/>
                <w:color w:val="auto"/>
              </w:rPr>
              <w:t>/s/ Craig J. Patla</w:t>
            </w:r>
          </w:p>
        </w:tc>
      </w:tr>
      <w:tr>
        <w:trPr>
          <w:trHeight w:val="52"/>
        </w:trPr>
        <w:tc>
          <w:tcPr>
            <w:tcW w:w="46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r>
      <w:tr>
        <w:trPr>
          <w:trHeight w:val="387"/>
        </w:trPr>
        <w:tc>
          <w:tcPr>
            <w:tcW w:w="4640" w:type="dxa"/>
            <w:vAlign w:val="bottom"/>
          </w:tcPr>
          <w:p>
            <w:pPr>
              <w:ind w:left="60"/>
              <w:spacing w:after="0"/>
              <w:rPr>
                <w:sz w:val="20"/>
                <w:szCs w:val="20"/>
                <w:color w:val="auto"/>
              </w:rPr>
            </w:pPr>
            <w:r>
              <w:rPr>
                <w:rFonts w:ascii="Arial" w:cs="Arial" w:eastAsia="Arial" w:hAnsi="Arial"/>
                <w:sz w:val="23"/>
                <w:szCs w:val="23"/>
                <w:color w:val="auto"/>
              </w:rPr>
              <w:t>Date</w:t>
            </w:r>
          </w:p>
        </w:tc>
        <w:tc>
          <w:tcPr>
            <w:tcW w:w="1300" w:type="dxa"/>
            <w:vAlign w:val="bottom"/>
          </w:tcPr>
          <w:p>
            <w:pPr>
              <w:spacing w:after="0"/>
              <w:rPr>
                <w:sz w:val="24"/>
                <w:szCs w:val="24"/>
                <w:color w:val="auto"/>
              </w:rPr>
            </w:pPr>
          </w:p>
        </w:tc>
        <w:tc>
          <w:tcPr>
            <w:tcW w:w="4740" w:type="dxa"/>
            <w:vAlign w:val="bottom"/>
          </w:tcPr>
          <w:p>
            <w:pPr>
              <w:ind w:left="60"/>
              <w:spacing w:after="0"/>
              <w:rPr>
                <w:sz w:val="20"/>
                <w:szCs w:val="20"/>
                <w:color w:val="auto"/>
              </w:rPr>
            </w:pPr>
            <w:r>
              <w:rPr>
                <w:rFonts w:ascii="Arial" w:cs="Arial" w:eastAsia="Arial" w:hAnsi="Arial"/>
                <w:sz w:val="23"/>
                <w:szCs w:val="23"/>
                <w:color w:val="auto"/>
              </w:rPr>
              <w:t>Craig J. Patla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020"/>
          </w:cols>
          <w:pgMar w:left="320" w:top="1401" w:right="559" w:bottom="1440" w:gutter="0" w:footer="0" w:header="0"/>
        </w:sectPr>
      </w:pPr>
    </w:p>
    <w:bookmarkStart w:id="126" w:name="page127"/>
    <w:bookmarkEnd w:id="126"/>
    <w:p>
      <w:pPr>
        <w:ind w:left="400"/>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SUBSIDIARIES OF SJW GROUP</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Following is a list of the subsidiaries of SJW Group as of December 31, 2022, each of which, unless otherwise indicated, is wholly owned by the company either directly or through another subsidiary.</w:t>
      </w:r>
    </w:p>
    <w:p>
      <w:pPr>
        <w:sectPr>
          <w:pgSz w:w="11900" w:h="16838" w:orient="portrait"/>
          <w:cols w:equalWidth="0" w:num="1">
            <w:col w:w="11160"/>
          </w:cols>
          <w:pgMar w:left="320" w:top="162" w:right="41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Name</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Jose Water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SJW Land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SJWTX, Inc., also doing business as Canyon Lake Water Service Company</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SJWTX Holdings,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Texas Water Operation Services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SJWNE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Connecticut Water Service,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Connecticut Water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Chester Realty,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England Water Utility Services,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Maine Water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Jurisdiction of Organization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Connecticut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Connecticut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Connecticut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Connecticut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Maine</w:t>
      </w:r>
    </w:p>
    <w:p>
      <w:pPr>
        <w:sectPr>
          <w:pgSz w:w="11900" w:h="16838" w:orient="portrait"/>
          <w:cols w:equalWidth="0" w:num="2">
            <w:col w:w="7140" w:space="720"/>
            <w:col w:w="3300"/>
          </w:cols>
          <w:pgMar w:left="320" w:top="162" w:right="419" w:bottom="1440" w:gutter="0" w:footer="0" w:header="0"/>
          <w:type w:val="continuous"/>
        </w:sectPr>
      </w:pPr>
    </w:p>
    <w:bookmarkStart w:id="127" w:name="page128"/>
    <w:bookmarkEnd w:id="127"/>
    <w:p>
      <w:pPr>
        <w:spacing w:after="0" w:line="8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6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consent to the incorporation by reference in Registration Statement No. 333-261161 on Form S-3 and Registration Nos. 333- 234140, 333-105010 and 333-195796 on Form S-8 of our report dated February 24, 2023, relating to the 2022 financial statements of SJW Group and the effectiveness of SJW Group’s internal control over financial reporting appearing in this Annual Report on Form 10-K for the year ended December 31, 2022.</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2023</w:t>
      </w:r>
    </w:p>
    <w:p>
      <w:pPr>
        <w:sectPr>
          <w:pgSz w:w="11900" w:h="16838" w:orient="portrait"/>
          <w:cols w:equalWidth="0" w:num="1">
            <w:col w:w="11240"/>
          </w:cols>
          <w:pgMar w:left="320" w:top="1440"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 Eric W. Thornburg, certify that:</w:t>
      </w:r>
    </w:p>
    <w:p>
      <w:pPr>
        <w:spacing w:after="0" w:line="144" w:lineRule="exact"/>
        <w:rPr>
          <w:sz w:val="20"/>
          <w:szCs w:val="20"/>
          <w:color w:val="auto"/>
        </w:rPr>
      </w:pPr>
    </w:p>
    <w:p>
      <w:pPr>
        <w:ind w:left="880" w:hanging="305"/>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SJW Group (the “registrant”);</w:t>
      </w:r>
    </w:p>
    <w:p>
      <w:pPr>
        <w:spacing w:after="0" w:line="157" w:lineRule="exact"/>
        <w:rPr>
          <w:rFonts w:ascii="Arial" w:cs="Arial" w:eastAsia="Arial" w:hAnsi="Arial"/>
          <w:sz w:val="18"/>
          <w:szCs w:val="18"/>
          <w:color w:val="auto"/>
        </w:rPr>
      </w:pPr>
    </w:p>
    <w:p>
      <w:pPr>
        <w:ind w:right="140" w:firstLine="575"/>
        <w:spacing w:after="0" w:line="263" w:lineRule="auto"/>
        <w:tabs>
          <w:tab w:leader="none" w:pos="882"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right="120" w:firstLine="575"/>
        <w:spacing w:after="0" w:line="308" w:lineRule="auto"/>
        <w:tabs>
          <w:tab w:leader="none" w:pos="882" w:val="left"/>
        </w:tabs>
        <w:numPr>
          <w:ilvl w:val="0"/>
          <w:numId w:val="8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jc w:val="both"/>
        <w:ind w:right="80" w:firstLine="575"/>
        <w:spacing w:after="0" w:line="263" w:lineRule="auto"/>
        <w:tabs>
          <w:tab w:leader="none" w:pos="879"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firstLine="1101"/>
        <w:spacing w:after="0" w:line="263" w:lineRule="auto"/>
        <w:tabs>
          <w:tab w:leader="none" w:pos="1413"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jc w:val="both"/>
        <w:ind w:right="40" w:firstLine="1101"/>
        <w:spacing w:after="0" w:line="263" w:lineRule="auto"/>
        <w:tabs>
          <w:tab w:leader="none" w:pos="1423"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ind w:right="140" w:firstLine="1101"/>
        <w:spacing w:after="0" w:line="308" w:lineRule="auto"/>
        <w:tabs>
          <w:tab w:leader="none" w:pos="1413" w:val="left"/>
        </w:tabs>
        <w:numPr>
          <w:ilvl w:val="1"/>
          <w:numId w:val="8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17"/>
          <w:szCs w:val="17"/>
          <w:color w:val="auto"/>
        </w:rPr>
      </w:pPr>
    </w:p>
    <w:p>
      <w:pPr>
        <w:ind w:right="120" w:firstLine="1101"/>
        <w:spacing w:after="0" w:line="263" w:lineRule="auto"/>
        <w:tabs>
          <w:tab w:leader="none" w:pos="1423"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right="40" w:firstLine="575"/>
        <w:spacing w:after="0" w:line="308" w:lineRule="auto"/>
        <w:tabs>
          <w:tab w:leader="none" w:pos="879"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5" w:lineRule="exact"/>
        <w:rPr>
          <w:rFonts w:ascii="Arial" w:cs="Arial" w:eastAsia="Arial" w:hAnsi="Arial"/>
          <w:sz w:val="17"/>
          <w:szCs w:val="17"/>
          <w:color w:val="auto"/>
        </w:rPr>
      </w:pPr>
    </w:p>
    <w:p>
      <w:pPr>
        <w:ind w:right="380" w:firstLine="1101"/>
        <w:spacing w:after="0" w:line="308" w:lineRule="auto"/>
        <w:tabs>
          <w:tab w:leader="none" w:pos="1413" w:val="left"/>
        </w:tabs>
        <w:numPr>
          <w:ilvl w:val="1"/>
          <w:numId w:val="8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7"/>
          <w:szCs w:val="17"/>
          <w:color w:val="auto"/>
        </w:rPr>
      </w:pPr>
    </w:p>
    <w:p>
      <w:pPr>
        <w:ind w:right="60" w:firstLine="1101"/>
        <w:spacing w:after="0" w:line="277" w:lineRule="auto"/>
        <w:tabs>
          <w:tab w:leader="none" w:pos="1423"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February 24, 2023</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Eric W. Thornburg</w:t>
            </w:r>
          </w:p>
        </w:tc>
      </w:tr>
      <w:tr>
        <w:trPr>
          <w:trHeight w:val="222"/>
        </w:trPr>
        <w:tc>
          <w:tcPr>
            <w:tcW w:w="550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ERIC W. THORNBURG</w:t>
            </w:r>
          </w:p>
        </w:tc>
      </w:tr>
      <w:tr>
        <w:trPr>
          <w:trHeight w:val="230"/>
        </w:trPr>
        <w:tc>
          <w:tcPr>
            <w:tcW w:w="550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Chair, President and Chief Executive Officer</w:t>
            </w:r>
          </w:p>
        </w:tc>
      </w:tr>
      <w:tr>
        <w:trPr>
          <w:trHeight w:val="230"/>
        </w:trPr>
        <w:tc>
          <w:tcPr>
            <w:tcW w:w="550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31.2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 Andrew F. Walters, certify that:</w:t>
      </w:r>
    </w:p>
    <w:p>
      <w:pPr>
        <w:spacing w:after="0" w:line="144" w:lineRule="exact"/>
        <w:rPr>
          <w:sz w:val="20"/>
          <w:szCs w:val="20"/>
          <w:color w:val="auto"/>
        </w:rPr>
      </w:pPr>
    </w:p>
    <w:p>
      <w:pPr>
        <w:ind w:left="880" w:hanging="305"/>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SJW Group (the “registrant”);</w:t>
      </w:r>
    </w:p>
    <w:p>
      <w:pPr>
        <w:spacing w:after="0" w:line="157" w:lineRule="exact"/>
        <w:rPr>
          <w:rFonts w:ascii="Arial" w:cs="Arial" w:eastAsia="Arial" w:hAnsi="Arial"/>
          <w:sz w:val="18"/>
          <w:szCs w:val="18"/>
          <w:color w:val="auto"/>
        </w:rPr>
      </w:pPr>
    </w:p>
    <w:p>
      <w:pPr>
        <w:ind w:right="140" w:firstLine="575"/>
        <w:spacing w:after="0" w:line="263" w:lineRule="auto"/>
        <w:tabs>
          <w:tab w:leader="none" w:pos="882"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right="120" w:firstLine="575"/>
        <w:spacing w:after="0" w:line="308" w:lineRule="auto"/>
        <w:tabs>
          <w:tab w:leader="none" w:pos="882" w:val="left"/>
        </w:tabs>
        <w:numPr>
          <w:ilvl w:val="0"/>
          <w:numId w:val="8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jc w:val="both"/>
        <w:ind w:right="80" w:firstLine="575"/>
        <w:spacing w:after="0" w:line="263" w:lineRule="auto"/>
        <w:tabs>
          <w:tab w:leader="none" w:pos="879"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firstLine="1101"/>
        <w:spacing w:after="0" w:line="263" w:lineRule="auto"/>
        <w:tabs>
          <w:tab w:leader="none" w:pos="1413"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jc w:val="both"/>
        <w:ind w:right="40" w:firstLine="1101"/>
        <w:spacing w:after="0" w:line="263" w:lineRule="auto"/>
        <w:tabs>
          <w:tab w:leader="none" w:pos="1423"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ind w:right="140" w:firstLine="1101"/>
        <w:spacing w:after="0" w:line="308" w:lineRule="auto"/>
        <w:tabs>
          <w:tab w:leader="none" w:pos="1413" w:val="left"/>
        </w:tabs>
        <w:numPr>
          <w:ilvl w:val="1"/>
          <w:numId w:val="8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17"/>
          <w:szCs w:val="17"/>
          <w:color w:val="auto"/>
        </w:rPr>
      </w:pPr>
    </w:p>
    <w:p>
      <w:pPr>
        <w:ind w:right="120" w:firstLine="1101"/>
        <w:spacing w:after="0" w:line="263" w:lineRule="auto"/>
        <w:tabs>
          <w:tab w:leader="none" w:pos="1423"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right="40" w:firstLine="575"/>
        <w:spacing w:after="0" w:line="308" w:lineRule="auto"/>
        <w:tabs>
          <w:tab w:leader="none" w:pos="879"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5" w:lineRule="exact"/>
        <w:rPr>
          <w:rFonts w:ascii="Arial" w:cs="Arial" w:eastAsia="Arial" w:hAnsi="Arial"/>
          <w:sz w:val="17"/>
          <w:szCs w:val="17"/>
          <w:color w:val="auto"/>
        </w:rPr>
      </w:pPr>
    </w:p>
    <w:p>
      <w:pPr>
        <w:ind w:right="380" w:firstLine="1101"/>
        <w:spacing w:after="0" w:line="308" w:lineRule="auto"/>
        <w:tabs>
          <w:tab w:leader="none" w:pos="1413" w:val="left"/>
        </w:tabs>
        <w:numPr>
          <w:ilvl w:val="1"/>
          <w:numId w:val="8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7"/>
          <w:szCs w:val="17"/>
          <w:color w:val="auto"/>
        </w:rPr>
      </w:pPr>
    </w:p>
    <w:p>
      <w:pPr>
        <w:ind w:right="60" w:firstLine="1101"/>
        <w:spacing w:after="0" w:line="277" w:lineRule="auto"/>
        <w:tabs>
          <w:tab w:leader="none" w:pos="1423"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February 24, 2023</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Andrew F. Walters</w:t>
            </w:r>
          </w:p>
        </w:tc>
      </w:tr>
      <w:tr>
        <w:trPr>
          <w:trHeight w:val="222"/>
        </w:trPr>
        <w:tc>
          <w:tcPr>
            <w:tcW w:w="550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ANDREW F. WALTERS</w:t>
            </w:r>
          </w:p>
        </w:tc>
      </w:tr>
      <w:tr>
        <w:trPr>
          <w:trHeight w:val="230"/>
        </w:trPr>
        <w:tc>
          <w:tcPr>
            <w:tcW w:w="550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550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891"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32.1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3" w:lineRule="exact"/>
        <w:rPr>
          <w:sz w:val="20"/>
          <w:szCs w:val="20"/>
          <w:color w:val="auto"/>
        </w:rPr>
      </w:pPr>
    </w:p>
    <w:p>
      <w:pPr>
        <w:jc w:val="both"/>
        <w:ind w:right="400" w:firstLine="567"/>
        <w:spacing w:after="0" w:line="259" w:lineRule="auto"/>
        <w:rPr>
          <w:sz w:val="20"/>
          <w:szCs w:val="20"/>
          <w:color w:val="auto"/>
        </w:rPr>
      </w:pPr>
      <w:r>
        <w:rPr>
          <w:rFonts w:ascii="Arial" w:cs="Arial" w:eastAsia="Arial" w:hAnsi="Arial"/>
          <w:sz w:val="18"/>
          <w:szCs w:val="18"/>
          <w:color w:val="auto"/>
        </w:rPr>
        <w:t>In connection with the Annual Report of SJW Group (the “Company”) on Form 10-K for the year ended December 31, 2022, as filed with the Securities and Exchange Commission on the date hereof (the “Report”), I, Eric W. Thornburg, President, Chief Executive Officer and Chariman of the Board of the Company, certify, pursuant to 18 U.S.C. Section 1350, as adopted pursuant to Section 906 of the Sarbanes-Oxley Act of 2002, that to my knowledge on the date hereof:</w:t>
      </w:r>
    </w:p>
    <w:p>
      <w:pPr>
        <w:spacing w:after="0" w:line="79" w:lineRule="exact"/>
        <w:rPr>
          <w:sz w:val="20"/>
          <w:szCs w:val="20"/>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340" w:hanging="644"/>
        <w:spacing w:after="0" w:line="277" w:lineRule="auto"/>
        <w:tabs>
          <w:tab w:leader="none" w:pos="1294"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Eric W. Thornburg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7154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2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ERIC W. THORNBURG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 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24, 2023</w:t>
      </w:r>
    </w:p>
    <w:p>
      <w:pPr>
        <w:sectPr>
          <w:pgSz w:w="11900" w:h="16838" w:orient="portrait"/>
          <w:cols w:equalWidth="0" w:num="1">
            <w:col w:w="11240"/>
          </w:cols>
          <w:pgMar w:left="320" w:top="891"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32.2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3" w:lineRule="exact"/>
        <w:rPr>
          <w:sz w:val="20"/>
          <w:szCs w:val="20"/>
          <w:color w:val="auto"/>
        </w:rPr>
      </w:pPr>
    </w:p>
    <w:p>
      <w:pPr>
        <w:jc w:val="both"/>
        <w:ind w:right="440" w:firstLine="567"/>
        <w:spacing w:after="0" w:line="259" w:lineRule="auto"/>
        <w:rPr>
          <w:sz w:val="20"/>
          <w:szCs w:val="20"/>
          <w:color w:val="auto"/>
        </w:rPr>
      </w:pPr>
      <w:r>
        <w:rPr>
          <w:rFonts w:ascii="Arial" w:cs="Arial" w:eastAsia="Arial" w:hAnsi="Arial"/>
          <w:sz w:val="18"/>
          <w:szCs w:val="18"/>
          <w:color w:val="auto"/>
        </w:rPr>
        <w:t>In connection with the Annual Report of SJW Group (the “Company”) on Form 10-K for the year ended December 31, 2022, as filed with the Securities and Exchange Commission on the date hereof (the “Report”), I, Andrew F. Walters, Chief Financial Officer and Treasurer of the Company, certify, pursuant to 18 U.S.C. Section 1350, as adopted pursuant to Section 906 of the Sarbanes-Oxley Act of 2002, that to my knowledge on the date hereof:</w:t>
      </w:r>
    </w:p>
    <w:p>
      <w:pPr>
        <w:spacing w:after="0" w:line="79" w:lineRule="exact"/>
        <w:rPr>
          <w:sz w:val="20"/>
          <w:szCs w:val="20"/>
          <w:color w:val="auto"/>
        </w:rPr>
      </w:pPr>
    </w:p>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340" w:hanging="644"/>
        <w:spacing w:after="0" w:line="277" w:lineRule="auto"/>
        <w:tabs>
          <w:tab w:leader="none" w:pos="1294"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Andrew F. Walters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715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3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ANDREW F. WALTERS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and Treasurer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24, 2023</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1)"/>
      <w:numFmt w:val="lowerLetter"/>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1)"/>
      <w:numFmt w:val="decimal"/>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1)"/>
      <w:numFmt w:val="lowerRoman"/>
      <w:start w:val="2"/>
    </w:lvl>
  </w:abstractNum>
  <w:abstractNum w:abstractNumId="13">
    <w:nsid w:val="579478FE"/>
    <w:multiLevelType w:val="hybridMultilevel"/>
    <w:lvl w:ilvl="0">
      <w:lvlJc w:val="left"/>
      <w:lvlText w:val="(%1)"/>
      <w:numFmt w:val="decimal"/>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1)"/>
      <w:numFmt w:val="decimal"/>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1)"/>
      <w:numFmt w:val="lowerLetter"/>
      <w:start w:val="1"/>
    </w:lvl>
  </w:abstractNum>
  <w:abstractNum w:abstractNumId="22">
    <w:nsid w:val="374A3FE6"/>
    <w:multiLevelType w:val="hybridMultilevel"/>
    <w:lvl w:ilvl="0">
      <w:lvlJc w:val="left"/>
      <w:lvlText w:val="(%1)"/>
      <w:numFmt w:val="lowerLetter"/>
      <w:start w:val="1"/>
    </w:lvl>
  </w:abstractNum>
  <w:abstractNum w:abstractNumId="23">
    <w:nsid w:val="4F4EF005"/>
    <w:multiLevelType w:val="hybridMultilevel"/>
    <w:lvl w:ilvl="0">
      <w:lvlJc w:val="left"/>
      <w:lvlText w:val="(%1)"/>
      <w:numFmt w:val="lowerLetter"/>
      <w:start w:val="1"/>
    </w:lvl>
  </w:abstractNum>
  <w:abstractNum w:abstractNumId="24">
    <w:nsid w:val="23F9C13C"/>
    <w:multiLevelType w:val="hybridMultilevel"/>
    <w:lvl w:ilvl="0">
      <w:lvlJc w:val="left"/>
      <w:lvlText w:val="(%1)"/>
      <w:numFmt w:val="lowerLetter"/>
      <w:start w:val="1"/>
    </w:lvl>
  </w:abstractNum>
  <w:abstractNum w:abstractNumId="25">
    <w:nsid w:val="649BB77C"/>
    <w:multiLevelType w:val="hybridMultilevel"/>
    <w:lvl w:ilvl="0">
      <w:lvlJc w:val="left"/>
      <w:lvlText w:val="(%1)"/>
      <w:numFmt w:val="decimal"/>
      <w:start w:val="1"/>
    </w:lvl>
  </w:abstractNum>
  <w:abstractNum w:abstractNumId="26">
    <w:nsid w:val="275AC794"/>
    <w:multiLevelType w:val="hybridMultilevel"/>
    <w:lvl w:ilvl="0">
      <w:lvlJc w:val="left"/>
      <w:lvlText w:val="(%1)"/>
      <w:numFmt w:val="lowerLetter"/>
      <w:start w:val="1"/>
    </w:lvl>
  </w:abstractNum>
  <w:abstractNum w:abstractNumId="27">
    <w:nsid w:val="39386575"/>
    <w:multiLevelType w:val="hybridMultilevel"/>
    <w:lvl w:ilvl="0">
      <w:lvlJc w:val="left"/>
      <w:lvlText w:val="%1"/>
      <w:numFmt w:val="decimal"/>
      <w:start w:val="104"/>
    </w:lvl>
    <w:lvl w:ilvl="1">
      <w:lvlJc w:val="left"/>
      <w:lvlText w:val="(%2)"/>
      <w:numFmt w:val="decimal"/>
      <w:start w:val="1"/>
    </w:lvl>
  </w:abstractNum>
  <w:abstractNum w:abstractNumId="28">
    <w:nsid w:val="1CF10FD8"/>
    <w:multiLevelType w:val="hybridMultilevel"/>
    <w:lvl w:ilvl="0">
      <w:lvlJc w:val="left"/>
      <w:lvlText w:val="%1."/>
      <w:numFmt w:val="decimal"/>
      <w:start w:val="1"/>
    </w:lvl>
    <w:lvl w:ilvl="1">
      <w:lvlJc w:val="left"/>
      <w:lvlText w:val="(%2)"/>
      <w:numFmt w:val="lowerLetter"/>
      <w:start w:val="1"/>
    </w:lvl>
  </w:abstractNum>
  <w:abstractNum w:abstractNumId="29">
    <w:nsid w:val="180115BE"/>
    <w:multiLevelType w:val="hybridMultilevel"/>
    <w:lvl w:ilvl="0">
      <w:lvlJc w:val="left"/>
      <w:lvlText w:val="(%1)"/>
      <w:numFmt w:val="upperLetter"/>
      <w:start w:val="2"/>
    </w:lvl>
    <w:lvl w:ilvl="1">
      <w:lvlJc w:val="left"/>
      <w:lvlText w:val="(%2)"/>
      <w:numFmt w:val="lowerLetter"/>
      <w:start w:val="3"/>
    </w:lvl>
  </w:abstractNum>
  <w:abstractNum w:abstractNumId="30">
    <w:nsid w:val="235BA861"/>
    <w:multiLevelType w:val="hybridMultilevel"/>
    <w:lvl w:ilvl="0">
      <w:lvlJc w:val="left"/>
      <w:lvlText w:val="%1"/>
      <w:numFmt w:val="decimal"/>
      <w:start w:val="1"/>
    </w:lvl>
    <w:lvl w:ilvl="1">
      <w:lvlJc w:val="left"/>
      <w:lvlText w:val="(%2)"/>
      <w:numFmt w:val="lowerLetter"/>
      <w:start w:val="6"/>
    </w:lvl>
  </w:abstractNum>
  <w:abstractNum w:abstractNumId="31">
    <w:nsid w:val="47398C89"/>
    <w:multiLevelType w:val="hybridMultilevel"/>
    <w:lvl w:ilvl="0">
      <w:lvlJc w:val="left"/>
      <w:lvlText w:val="%1."/>
      <w:numFmt w:val="decimal"/>
      <w:start w:val="2"/>
    </w:lvl>
    <w:lvl w:ilvl="1">
      <w:lvlJc w:val="left"/>
      <w:lvlText w:val="(%2)"/>
      <w:numFmt w:val="lowerLetter"/>
      <w:start w:val="1"/>
    </w:lvl>
  </w:abstractNum>
  <w:abstractNum w:abstractNumId="32">
    <w:nsid w:val="354FE9F9"/>
    <w:multiLevelType w:val="hybridMultilevel"/>
    <w:lvl w:ilvl="0">
      <w:lvlJc w:val="left"/>
      <w:lvlText w:val="%1."/>
      <w:numFmt w:val="decimal"/>
      <w:start w:val="4"/>
    </w:lvl>
    <w:lvl w:ilvl="1">
      <w:lvlJc w:val="left"/>
      <w:lvlText w:val="(%2)"/>
      <w:numFmt w:val="lowerLetter"/>
      <w:start w:val="1"/>
    </w:lvl>
  </w:abstractNum>
  <w:abstractNum w:abstractNumId="33">
    <w:nsid w:val="15B5AF5C"/>
    <w:multiLevelType w:val="hybridMultilevel"/>
    <w:lvl w:ilvl="0">
      <w:lvlJc w:val="left"/>
      <w:lvlText w:val="%1"/>
      <w:numFmt w:val="decimal"/>
      <w:start w:val="1"/>
    </w:lvl>
    <w:lvl w:ilvl="1">
      <w:lvlJc w:val="left"/>
      <w:lvlText w:val="(%2)"/>
      <w:numFmt w:val="lowerLetter"/>
      <w:start w:val="4"/>
    </w:lvl>
  </w:abstractNum>
  <w:abstractNum w:abstractNumId="34">
    <w:nsid w:val="741226BB"/>
    <w:multiLevelType w:val="hybridMultilevel"/>
    <w:lvl w:ilvl="0">
      <w:lvlJc w:val="left"/>
      <w:lvlText w:val="%1."/>
      <w:numFmt w:val="decimal"/>
      <w:start w:val="6"/>
    </w:lvl>
    <w:lvl w:ilvl="1">
      <w:lvlJc w:val="left"/>
      <w:lvlText w:val="%2"/>
      <w:numFmt w:val="lowerLetter"/>
      <w:start w:val="1"/>
    </w:lvl>
  </w:abstractNum>
  <w:abstractNum w:abstractNumId="35">
    <w:nsid w:val="D34B6A8"/>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5"/>
    </w:lvl>
  </w:abstractNum>
  <w:abstractNum w:abstractNumId="36">
    <w:nsid w:val="10233C99"/>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37">
    <w:nsid w:val="3F6AB60F"/>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2"/>
    </w:lvl>
  </w:abstractNum>
  <w:abstractNum w:abstractNumId="38">
    <w:nsid w:val="61574095"/>
    <w:multiLevelType w:val="hybridMultilevel"/>
    <w:lvl w:ilvl="0">
      <w:lvlJc w:val="left"/>
      <w:lvlText w:val="(%1)"/>
      <w:numFmt w:val="lowerLetter"/>
      <w:start w:val="4"/>
    </w:lvl>
    <w:lvl w:ilvl="1">
      <w:lvlJc w:val="left"/>
      <w:lvlText w:val="(%2)"/>
      <w:numFmt w:val="lowerLetter"/>
      <w:start w:val="9"/>
    </w:lvl>
  </w:abstractNum>
  <w:abstractNum w:abstractNumId="39">
    <w:nsid w:val="7E0C57B1"/>
    <w:multiLevelType w:val="hybridMultilevel"/>
    <w:lvl w:ilvl="0">
      <w:lvlJc w:val="left"/>
      <w:lvlText w:val="%1"/>
      <w:numFmt w:val="decimal"/>
      <w:start w:val="1"/>
    </w:lvl>
    <w:lvl w:ilvl="1">
      <w:lvlJc w:val="left"/>
      <w:lvlText w:val="(%2)"/>
      <w:numFmt w:val="lowerRoman"/>
      <w:start w:val="2"/>
    </w:lvl>
  </w:abstractNum>
  <w:abstractNum w:abstractNumId="40">
    <w:nsid w:val="77AE35EB"/>
    <w:multiLevelType w:val="hybridMultilevel"/>
    <w:lvl w:ilvl="0">
      <w:lvlJc w:val="left"/>
      <w:lvlText w:val="(%1)"/>
      <w:numFmt w:val="decimal"/>
      <w:start w:val="36"/>
    </w:lvl>
    <w:lvl w:ilvl="1">
      <w:lvlJc w:val="left"/>
      <w:lvlText w:val="%2"/>
      <w:numFmt w:val="lowerRoman"/>
      <w:start w:val="1"/>
    </w:lvl>
  </w:abstractNum>
  <w:abstractNum w:abstractNumId="41">
    <w:nsid w:val="579BE4F1"/>
    <w:multiLevelType w:val="hybridMultilevel"/>
    <w:lvl w:ilvl="0">
      <w:lvlJc w:val="left"/>
      <w:lvlText w:val="(%1)"/>
      <w:numFmt w:val="lowerRoman"/>
      <w:start w:val="3"/>
    </w:lvl>
  </w:abstractNum>
  <w:abstractNum w:abstractNumId="42">
    <w:nsid w:val="310C50B3"/>
    <w:multiLevelType w:val="hybridMultilevel"/>
    <w:lvl w:ilvl="0">
      <w:lvlJc w:val="left"/>
      <w:lvlText w:val="(%1)"/>
      <w:numFmt w:val="lowerRoman"/>
      <w:start w:val="6"/>
    </w:lvl>
  </w:abstractNum>
  <w:abstractNum w:abstractNumId="43">
    <w:nsid w:val="5FF87E0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lvl w:ilvl="3">
      <w:lvlJc w:val="left"/>
      <w:lvlText w:val="(%4)"/>
      <w:numFmt w:val="lowerLetter"/>
      <w:start w:val="24"/>
    </w:lvl>
  </w:abstractNum>
  <w:abstractNum w:abstractNumId="44">
    <w:nsid w:val="2F305DEF"/>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45">
    <w:nsid w:val="25A70BF7"/>
    <w:multiLevelType w:val="hybridMultilevel"/>
    <w:lvl w:ilvl="0">
      <w:lvlJc w:val="left"/>
      <w:lvlText w:val="(%1)"/>
      <w:numFmt w:val="lowerLetter"/>
      <w:start w:val="2"/>
    </w:lvl>
  </w:abstractNum>
  <w:abstractNum w:abstractNumId="46">
    <w:nsid w:val="1DBABF00"/>
    <w:multiLevelType w:val="hybridMultilevel"/>
    <w:lvl w:ilvl="0">
      <w:lvlJc w:val="left"/>
      <w:lvlText w:val="%1"/>
      <w:numFmt w:val="decimal"/>
      <w:start w:val="1"/>
    </w:lvl>
    <w:lvl w:ilvl="1">
      <w:lvlJc w:val="left"/>
      <w:lvlText w:val="(%2)"/>
      <w:numFmt w:val="lowerLetter"/>
      <w:start w:val="3"/>
    </w:lvl>
  </w:abstractNum>
  <w:abstractNum w:abstractNumId="47">
    <w:nsid w:val="4AD084E9"/>
    <w:multiLevelType w:val="hybridMultilevel"/>
    <w:lvl w:ilvl="0">
      <w:lvlJc w:val="left"/>
      <w:lvlText w:val="%1."/>
      <w:numFmt w:val="decimal"/>
      <w:start w:val="10"/>
    </w:lvl>
    <w:lvl w:ilvl="1">
      <w:lvlJc w:val="left"/>
      <w:lvlText w:val="%2"/>
      <w:numFmt w:val="lowerLetter"/>
      <w:start w:val="1"/>
    </w:lvl>
  </w:abstractNum>
  <w:abstractNum w:abstractNumId="48">
    <w:nsid w:val="1F48EAA1"/>
    <w:multiLevelType w:val="hybridMultilevel"/>
    <w:lvl w:ilvl="0">
      <w:lvlJc w:val="left"/>
      <w:lvlText w:val="%1"/>
      <w:numFmt w:val="lowerRoman"/>
      <w:start w:val="1"/>
    </w:lvl>
    <w:lvl w:ilvl="1">
      <w:lvlJc w:val="left"/>
      <w:lvlText w:val="%2."/>
      <w:numFmt w:val="decimal"/>
      <w:start w:val="12"/>
    </w:lvl>
  </w:abstractNum>
  <w:abstractNum w:abstractNumId="49">
    <w:nsid w:val="1381823A"/>
    <w:multiLevelType w:val="hybridMultilevel"/>
    <w:lvl w:ilvl="0">
      <w:lvlJc w:val="left"/>
      <w:lvlText w:val="(%1)"/>
      <w:numFmt w:val="lowerRoman"/>
      <w:start w:val="2"/>
    </w:lvl>
    <w:lvl w:ilvl="1">
      <w:lvlJc w:val="left"/>
      <w:lvlText w:val="%2"/>
      <w:numFmt w:val="decimal"/>
      <w:start w:val="1"/>
    </w:lvl>
  </w:abstractNum>
  <w:abstractNum w:abstractNumId="50">
    <w:nsid w:val="5DB70AE5"/>
    <w:multiLevelType w:val="hybridMultilevel"/>
    <w:lvl w:ilvl="0">
      <w:lvlJc w:val="left"/>
      <w:lvlText w:val="(%1)"/>
      <w:numFmt w:val="lowerLetter"/>
      <w:start w:val="1"/>
    </w:lvl>
  </w:abstractNum>
  <w:abstractNum w:abstractNumId="51">
    <w:nsid w:val="100F8FCA"/>
    <w:multiLevelType w:val="hybridMultilevel"/>
    <w:lvl w:ilvl="0">
      <w:lvlJc w:val="left"/>
      <w:lvlText w:val="%1."/>
      <w:numFmt w:val="decimal"/>
      <w:start w:val="14"/>
    </w:lvl>
    <w:lvl w:ilvl="1">
      <w:lvlJc w:val="left"/>
      <w:lvlText w:val="%2."/>
      <w:numFmt w:val="decimal"/>
      <w:start w:val="15"/>
    </w:lvl>
    <w:lvl w:ilvl="2">
      <w:lvlJc w:val="left"/>
      <w:lvlText w:val="(%3)"/>
      <w:numFmt w:val="lowerLetter"/>
      <w:start w:val="1"/>
    </w:lvl>
  </w:abstractNum>
  <w:abstractNum w:abstractNumId="52">
    <w:nsid w:val="6590700B"/>
    <w:multiLevelType w:val="hybridMultilevel"/>
    <w:lvl w:ilvl="0">
      <w:lvlJc w:val="left"/>
      <w:lvlText w:val="%1."/>
      <w:numFmt w:val="decimal"/>
      <w:start w:val="19"/>
    </w:lvl>
  </w:abstractNum>
  <w:abstractNum w:abstractNumId="53">
    <w:nsid w:val="15014ACB"/>
    <w:multiLevelType w:val="hybridMultilevel"/>
    <w:lvl w:ilvl="0">
      <w:lvlJc w:val="left"/>
      <w:lvlText w:val="%1."/>
      <w:numFmt w:val="decimal"/>
      <w:start w:val="1"/>
    </w:lvl>
  </w:abstractNum>
  <w:abstractNum w:abstractNumId="54">
    <w:nsid w:val="5F5E7FD0"/>
    <w:multiLevelType w:val="hybridMultilevel"/>
    <w:lvl w:ilvl="0">
      <w:lvlJc w:val="left"/>
      <w:lvlText w:val="%1."/>
      <w:numFmt w:val="decimal"/>
      <w:start w:val="5"/>
    </w:lvl>
  </w:abstractNum>
  <w:abstractNum w:abstractNumId="55">
    <w:nsid w:val="98A3148"/>
    <w:multiLevelType w:val="hybridMultilevel"/>
    <w:lvl w:ilvl="0">
      <w:lvlJc w:val="left"/>
      <w:lvlText w:val="%1."/>
      <w:numFmt w:val="decimal"/>
      <w:start w:val="1"/>
    </w:lvl>
    <w:lvl w:ilvl="1">
      <w:lvlJc w:val="left"/>
      <w:lvlText w:val="(%2)"/>
      <w:numFmt w:val="lowerLetter"/>
      <w:start w:val="1"/>
    </w:lvl>
  </w:abstractNum>
  <w:abstractNum w:abstractNumId="56">
    <w:nsid w:val="799D0247"/>
    <w:multiLevelType w:val="hybridMultilevel"/>
    <w:lvl w:ilvl="0">
      <w:lvlJc w:val="left"/>
      <w:lvlText w:val="(%1)"/>
      <w:numFmt w:val="lowerLetter"/>
      <w:start w:val="5"/>
    </w:lvl>
  </w:abstractNum>
  <w:abstractNum w:abstractNumId="57">
    <w:nsid w:val="6B94764"/>
    <w:multiLevelType w:val="hybridMultilevel"/>
    <w:lvl w:ilvl="0">
      <w:lvlJc w:val="left"/>
      <w:lvlText w:val="%1."/>
      <w:numFmt w:val="decimal"/>
      <w:start w:val="3"/>
    </w:lvl>
    <w:lvl w:ilvl="1">
      <w:lvlJc w:val="left"/>
      <w:lvlText w:val="(%2)"/>
      <w:numFmt w:val="lowerLetter"/>
      <w:start w:val="7"/>
    </w:lvl>
  </w:abstractNum>
  <w:abstractNum w:abstractNumId="58">
    <w:nsid w:val="42C296BD"/>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59">
    <w:nsid w:val="168E121F"/>
    <w:multiLevelType w:val="hybridMultilevel"/>
    <w:lvl w:ilvl="0">
      <w:lvlJc w:val="left"/>
      <w:lvlText w:val="%1."/>
      <w:numFmt w:val="decimal"/>
      <w:start w:val="4"/>
    </w:lvl>
    <w:lvl w:ilvl="1">
      <w:lvlJc w:val="left"/>
      <w:lvlText w:val="%2."/>
      <w:numFmt w:val="decimal"/>
      <w:start w:val="4"/>
    </w:lvl>
    <w:lvl w:ilvl="2">
      <w:lvlJc w:val="left"/>
      <w:lvlText w:val="%3"/>
      <w:numFmt w:val="lowerLetter"/>
      <w:start w:val="1"/>
    </w:lvl>
  </w:abstractNum>
  <w:abstractNum w:abstractNumId="60">
    <w:nsid w:val="1EBA5D23"/>
    <w:multiLevelType w:val="hybridMultilevel"/>
    <w:lvl w:ilvl="0">
      <w:lvlJc w:val="left"/>
      <w:lvlText w:val="(%1)"/>
      <w:numFmt w:val="lowerLetter"/>
      <w:start w:val="1"/>
    </w:lvl>
  </w:abstractNum>
  <w:abstractNum w:abstractNumId="61">
    <w:nsid w:val="661E3F1E"/>
    <w:multiLevelType w:val="hybridMultilevel"/>
    <w:lvl w:ilvl="0">
      <w:lvlJc w:val="left"/>
      <w:lvlText w:val="(%1)"/>
      <w:numFmt w:val="lowerLetter"/>
      <w:start w:val="2"/>
    </w:lvl>
  </w:abstractNum>
  <w:abstractNum w:abstractNumId="62">
    <w:nsid w:val="5DC79EA8"/>
    <w:multiLevelType w:val="hybridMultilevel"/>
    <w:lvl w:ilvl="0">
      <w:lvlJc w:val="left"/>
      <w:lvlText w:val="%1"/>
      <w:numFmt w:val="decimal"/>
      <w:start w:val="1"/>
    </w:lvl>
    <w:lvl w:ilvl="1">
      <w:lvlJc w:val="left"/>
      <w:lvlText w:val="(%2)"/>
      <w:numFmt w:val="lowerLetter"/>
      <w:start w:val="2"/>
    </w:lvl>
  </w:abstractNum>
  <w:abstractNum w:abstractNumId="63">
    <w:nsid w:val="540A471C"/>
    <w:multiLevelType w:val="hybridMultilevel"/>
    <w:lvl w:ilvl="0">
      <w:lvlJc w:val="left"/>
      <w:lvlText w:val="%1."/>
      <w:numFmt w:val="decimal"/>
      <w:start w:val="7"/>
    </w:lvl>
    <w:lvl w:ilvl="1">
      <w:lvlJc w:val="left"/>
      <w:lvlText w:val="%2"/>
      <w:numFmt w:val="lowerLetter"/>
      <w:start w:val="1"/>
    </w:lvl>
  </w:abstractNum>
  <w:abstractNum w:abstractNumId="64">
    <w:nsid w:val="7BD3EE7B"/>
    <w:multiLevelType w:val="hybridMultilevel"/>
    <w:lvl w:ilvl="0">
      <w:lvlJc w:val="left"/>
      <w:lvlText w:val="%1."/>
      <w:numFmt w:val="decimal"/>
      <w:start w:val="8"/>
    </w:lvl>
    <w:lvl w:ilvl="1">
      <w:lvlJc w:val="left"/>
      <w:lvlText w:val="(%2)"/>
      <w:numFmt w:val="lowerRoman"/>
      <w:start w:val="6"/>
    </w:lvl>
  </w:abstractNum>
  <w:abstractNum w:abstractNumId="65">
    <w:nsid w:val="51D9C564"/>
    <w:multiLevelType w:val="hybridMultilevel"/>
    <w:lvl w:ilvl="0">
      <w:lvlJc w:val="left"/>
      <w:lvlText w:val="%1."/>
      <w:numFmt w:val="lowerLetter"/>
      <w:start w:val="8"/>
    </w:lvl>
    <w:lvl w:ilvl="1">
      <w:lvlJc w:val="left"/>
      <w:lvlText w:val="(%2)"/>
      <w:numFmt w:val="lowerRoman"/>
      <w:start w:val="1"/>
    </w:lvl>
  </w:abstractNum>
  <w:abstractNum w:abstractNumId="66">
    <w:nsid w:val="613EFDC5"/>
    <w:multiLevelType w:val="hybridMultilevel"/>
    <w:lvl w:ilvl="0">
      <w:lvlJc w:val="left"/>
      <w:lvlText w:val="§§"/>
      <w:numFmt w:val="bullet"/>
      <w:start w:val="1"/>
    </w:lvl>
    <w:lvl w:ilvl="1">
      <w:lvlJc w:val="left"/>
      <w:lvlText w:val="%2"/>
      <w:numFmt w:val="decimal"/>
      <w:start w:val="1"/>
    </w:lvl>
    <w:lvl w:ilvl="2">
      <w:lvlJc w:val="left"/>
      <w:lvlText w:val="%3."/>
      <w:numFmt w:val="lowerRoman"/>
      <w:start w:val="1"/>
    </w:lvl>
  </w:abstractNum>
  <w:abstractNum w:abstractNumId="67">
    <w:nsid w:val="BF72B14"/>
    <w:multiLevelType w:val="hybridMultilevel"/>
    <w:lvl w:ilvl="0">
      <w:lvlJc w:val="left"/>
      <w:lvlText w:val="§§"/>
      <w:numFmt w:val="bullet"/>
      <w:start w:val="1"/>
    </w:lvl>
    <w:lvl w:ilvl="1">
      <w:lvlJc w:val="left"/>
      <w:lvlText w:val="%2."/>
      <w:numFmt w:val="decimal"/>
      <w:start w:val="1"/>
    </w:lvl>
    <w:lvl w:ilvl="2">
      <w:lvlJc w:val="left"/>
      <w:lvlText w:val="%3"/>
      <w:numFmt w:val="lowerRoman"/>
      <w:start w:val="1"/>
    </w:lvl>
  </w:abstractNum>
  <w:abstractNum w:abstractNumId="68">
    <w:nsid w:val="11447B73"/>
    <w:multiLevelType w:val="hybridMultilevel"/>
    <w:lvl w:ilvl="0">
      <w:lvlJc w:val="left"/>
      <w:lvlText w:val="%1."/>
      <w:numFmt w:val="decimal"/>
      <w:start w:val="9"/>
    </w:lvl>
  </w:abstractNum>
  <w:abstractNum w:abstractNumId="69">
    <w:nsid w:val="42963E5A"/>
    <w:multiLevelType w:val="hybridMultilevel"/>
    <w:lvl w:ilvl="0">
      <w:lvlJc w:val="left"/>
      <w:lvlText w:val="%1."/>
      <w:numFmt w:val="lowerLetter"/>
      <w:start w:val="1"/>
    </w:lvl>
  </w:abstractNum>
  <w:abstractNum w:abstractNumId="70">
    <w:nsid w:val="A0382C5"/>
    <w:multiLevelType w:val="hybridMultilevel"/>
    <w:lvl w:ilvl="0">
      <w:lvlJc w:val="left"/>
      <w:lvlText w:val="%1."/>
      <w:numFmt w:val="lowerRoman"/>
      <w:start w:val="1"/>
    </w:lvl>
  </w:abstractNum>
  <w:abstractNum w:abstractNumId="71">
    <w:nsid w:val="8F2B15E"/>
    <w:multiLevelType w:val="hybridMultilevel"/>
    <w:lvl w:ilvl="0">
      <w:lvlJc w:val="left"/>
      <w:lvlText w:val="%1."/>
      <w:numFmt w:val="lowerLetter"/>
      <w:start w:val="2"/>
    </w:lvl>
  </w:abstractNum>
  <w:abstractNum w:abstractNumId="72">
    <w:nsid w:val="1A32234B"/>
    <w:multiLevelType w:val="hybridMultilevel"/>
    <w:lvl w:ilvl="0">
      <w:lvlJc w:val="left"/>
      <w:lvlText w:val="%1"/>
      <w:numFmt w:val="decimal"/>
      <w:start w:val="1"/>
    </w:lvl>
    <w:lvl w:ilvl="1">
      <w:lvlJc w:val="left"/>
      <w:lvlText w:val="%2."/>
      <w:numFmt w:val="lowerLetter"/>
      <w:start w:val="3"/>
    </w:lvl>
  </w:abstractNum>
  <w:abstractNum w:abstractNumId="73">
    <w:nsid w:val="3B0FD379"/>
    <w:multiLevelType w:val="hybridMultilevel"/>
    <w:lvl w:ilvl="0">
      <w:lvlJc w:val="left"/>
      <w:lvlText w:val="%1."/>
      <w:numFmt w:val="decimal"/>
      <w:start w:val="10"/>
    </w:lvl>
    <w:lvl w:ilvl="1">
      <w:lvlJc w:val="left"/>
      <w:lvlText w:val="%2"/>
      <w:numFmt w:val="lowerLetter"/>
      <w:start w:val="1"/>
    </w:lvl>
  </w:abstractNum>
  <w:abstractNum w:abstractNumId="74">
    <w:nsid w:val="68EB2F63"/>
    <w:multiLevelType w:val="hybridMultilevel"/>
    <w:lvl w:ilvl="0">
      <w:lvlJc w:val="left"/>
      <w:lvlText w:val="%1."/>
      <w:numFmt w:val="decimal"/>
      <w:start w:val="11"/>
    </w:lvl>
    <w:lvl w:ilvl="1">
      <w:lvlJc w:val="left"/>
      <w:lvlText w:val="%2."/>
      <w:numFmt w:val="decimal"/>
      <w:start w:val="20"/>
    </w:lvl>
    <w:lvl w:ilvl="2">
      <w:lvlJc w:val="left"/>
      <w:lvlText w:val="%3."/>
      <w:numFmt w:val="lowerLetter"/>
      <w:start w:val="1"/>
    </w:lvl>
  </w:abstractNum>
  <w:abstractNum w:abstractNumId="75">
    <w:nsid w:val="4962813B"/>
    <w:multiLevelType w:val="hybridMultilevel"/>
    <w:lvl w:ilvl="0">
      <w:lvlJc w:val="left"/>
      <w:lvlText w:val="%1."/>
      <w:numFmt w:val="decimal"/>
      <w:start w:val="21"/>
    </w:lvl>
    <w:lvl w:ilvl="1">
      <w:lvlJc w:val="left"/>
      <w:lvlText w:val="*"/>
      <w:numFmt w:val="bullet"/>
      <w:start w:val="1"/>
    </w:lvl>
  </w:abstractNum>
  <w:abstractNum w:abstractNumId="76">
    <w:nsid w:val="60B6DF70"/>
    <w:multiLevelType w:val="hybridMultilevel"/>
    <w:lvl w:ilvl="0">
      <w:lvlJc w:val="left"/>
      <w:lvlText w:val="%1."/>
      <w:numFmt w:val="decimal"/>
      <w:start w:val="1"/>
    </w:lvl>
  </w:abstractNum>
  <w:abstractNum w:abstractNumId="77">
    <w:nsid w:val="6A5EE64"/>
    <w:multiLevelType w:val="hybridMultilevel"/>
    <w:lvl w:ilvl="0">
      <w:lvlJc w:val="left"/>
      <w:lvlText w:val="%1"/>
      <w:numFmt w:val="decimal"/>
      <w:start w:val="1"/>
    </w:lvl>
    <w:lvl w:ilvl="1">
      <w:lvlJc w:val="left"/>
      <w:lvlText w:val="(%2)"/>
      <w:numFmt w:val="lowerLetter"/>
      <w:start w:val="1"/>
    </w:lvl>
  </w:abstractNum>
  <w:abstractNum w:abstractNumId="78">
    <w:nsid w:val="14330624"/>
    <w:multiLevelType w:val="hybridMultilevel"/>
    <w:lvl w:ilvl="0">
      <w:lvlJc w:val="left"/>
      <w:lvlText w:val="%1."/>
      <w:numFmt w:val="decimal"/>
      <w:start w:val="2"/>
    </w:lvl>
    <w:lvl w:ilvl="1">
      <w:lvlJc w:val="left"/>
      <w:lvlText w:val="(%2)"/>
      <w:numFmt w:val="lowerLetter"/>
      <w:start w:val="1"/>
    </w:lvl>
  </w:abstractNum>
  <w:abstractNum w:abstractNumId="79">
    <w:nsid w:val="7FFFCA11"/>
    <w:multiLevelType w:val="hybridMultilevel"/>
    <w:lvl w:ilvl="0">
      <w:lvlJc w:val="left"/>
      <w:lvlText w:val="%1"/>
      <w:numFmt w:val="decimal"/>
      <w:start w:val="1"/>
    </w:lvl>
    <w:lvl w:ilvl="1">
      <w:lvlJc w:val="left"/>
      <w:lvlText w:val="(%2)"/>
      <w:numFmt w:val="lowerLetter"/>
      <w:start w:val="2"/>
    </w:lvl>
  </w:abstractNum>
  <w:abstractNum w:abstractNumId="80">
    <w:nsid w:val="1A27709E"/>
    <w:multiLevelType w:val="hybridMultilevel"/>
    <w:lvl w:ilvl="0">
      <w:lvlJc w:val="left"/>
      <w:lvlText w:val="%1."/>
      <w:numFmt w:val="decimal"/>
      <w:start w:val="4"/>
    </w:lvl>
    <w:lvl w:ilvl="1">
      <w:lvlJc w:val="left"/>
      <w:lvlText w:val="%2"/>
      <w:numFmt w:val="lowerLetter"/>
      <w:start w:val="1"/>
    </w:lvl>
  </w:abstractNum>
  <w:abstractNum w:abstractNumId="81">
    <w:nsid w:val="71EA1109"/>
    <w:multiLevelType w:val="hybridMultilevel"/>
    <w:lvl w:ilvl="0">
      <w:lvlJc w:val="left"/>
      <w:lvlText w:val="%1."/>
      <w:numFmt w:val="decimal"/>
      <w:start w:val="1"/>
    </w:lvl>
    <w:lvl w:ilvl="1">
      <w:lvlJc w:val="left"/>
      <w:lvlText w:val="%2)"/>
      <w:numFmt w:val="lowerLetter"/>
      <w:start w:val="1"/>
    </w:lvl>
  </w:abstractNum>
  <w:abstractNum w:abstractNumId="82">
    <w:nsid w:val="100F59DC"/>
    <w:multiLevelType w:val="hybridMultilevel"/>
    <w:lvl w:ilvl="0">
      <w:lvlJc w:val="left"/>
      <w:lvlText w:val="%1."/>
      <w:numFmt w:val="decimal"/>
      <w:start w:val="1"/>
    </w:lvl>
    <w:lvl w:ilvl="1">
      <w:lvlJc w:val="left"/>
      <w:lvlText w:val="%2)"/>
      <w:numFmt w:val="lowerLetter"/>
      <w:start w:val="1"/>
    </w:lvl>
  </w:abstractNum>
  <w:abstractNum w:abstractNumId="83">
    <w:nsid w:val="7FB7E0AA"/>
    <w:multiLevelType w:val="hybridMultilevel"/>
    <w:lvl w:ilvl="0">
      <w:lvlJc w:val="left"/>
      <w:lvlText w:val="(%1)"/>
      <w:numFmt w:val="decimal"/>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24" Type="http://schemas.openxmlformats.org/officeDocument/2006/relationships/image" Target="media/image103.png"/><Relationship Id="rId141" Type="http://schemas.openxmlformats.org/officeDocument/2006/relationships/image" Target="media/image104.png"/><Relationship Id="rId160" Type="http://schemas.openxmlformats.org/officeDocument/2006/relationships/image" Target="media/image105.png"/><Relationship Id="rId179" Type="http://schemas.openxmlformats.org/officeDocument/2006/relationships/image" Target="media/image106.png"/><Relationship Id="rId196" Type="http://schemas.openxmlformats.org/officeDocument/2006/relationships/image" Target="media/image107.png"/><Relationship Id="rId210" Type="http://schemas.openxmlformats.org/officeDocument/2006/relationships/image" Target="media/image108.png"/><Relationship Id="rId211" Type="http://schemas.openxmlformats.org/officeDocument/2006/relationships/image" Target="media/image109.png"/><Relationship Id="rId212" Type="http://schemas.openxmlformats.org/officeDocument/2006/relationships/image" Target="media/image110.png"/><Relationship Id="rId213" Type="http://schemas.openxmlformats.org/officeDocument/2006/relationships/image" Target="media/image111.png"/><Relationship Id="rId214" Type="http://schemas.openxmlformats.org/officeDocument/2006/relationships/image" Target="media/image112.png"/><Relationship Id="rId215" Type="http://schemas.openxmlformats.org/officeDocument/2006/relationships/image" Target="media/image113.png"/><Relationship Id="rId216" Type="http://schemas.openxmlformats.org/officeDocument/2006/relationships/image" Target="media/image114.png"/><Relationship Id="rId217" Type="http://schemas.openxmlformats.org/officeDocument/2006/relationships/image" Target="media/image115.png"/><Relationship Id="rId218" Type="http://schemas.openxmlformats.org/officeDocument/2006/relationships/image" Target="media/image116.png"/><Relationship Id="rId219" Type="http://schemas.openxmlformats.org/officeDocument/2006/relationships/image" Target="media/image117.png"/><Relationship Id="rId220" Type="http://schemas.openxmlformats.org/officeDocument/2006/relationships/image" Target="media/image118.png"/><Relationship Id="rId221" Type="http://schemas.openxmlformats.org/officeDocument/2006/relationships/image" Target="media/image119.png"/><Relationship Id="rId222" Type="http://schemas.openxmlformats.org/officeDocument/2006/relationships/image" Target="media/image120.png"/><Relationship Id="rId223" Type="http://schemas.openxmlformats.org/officeDocument/2006/relationships/image" Target="media/image121.png"/><Relationship Id="rId224" Type="http://schemas.openxmlformats.org/officeDocument/2006/relationships/image" Target="media/image122.png"/><Relationship Id="rId225" Type="http://schemas.openxmlformats.org/officeDocument/2006/relationships/image" Target="media/image123.png"/><Relationship Id="rId226" Type="http://schemas.openxmlformats.org/officeDocument/2006/relationships/image" Target="media/image124.png"/><Relationship Id="rId227" Type="http://schemas.openxmlformats.org/officeDocument/2006/relationships/image" Target="media/image125.png"/><Relationship Id="rId228" Type="http://schemas.openxmlformats.org/officeDocument/2006/relationships/image" Target="media/image126.png"/><Relationship Id="rId229" Type="http://schemas.openxmlformats.org/officeDocument/2006/relationships/image" Target="media/image127.png"/><Relationship Id="rId230" Type="http://schemas.openxmlformats.org/officeDocument/2006/relationships/image" Target="media/image128.png"/><Relationship Id="rId110" Type="http://schemas.openxmlformats.org/officeDocument/2006/relationships/hyperlink" Target="http://www.sec.gov/Archives/edgar/data/766829/000119312521333078/d260123dex11.htm" TargetMode="External"/><Relationship Id="rId111" Type="http://schemas.openxmlformats.org/officeDocument/2006/relationships/hyperlink" Target="http://www.sec.gov/Archives/edgar/data/766829/000119312518083275/d517078dex21.htm" TargetMode="External"/><Relationship Id="rId112" Type="http://schemas.openxmlformats.org/officeDocument/2006/relationships/hyperlink" Target="http://www.sec.gov/Archives/edgar/data/766829/000119312518179537/d586629dex21.htm" TargetMode="External"/><Relationship Id="rId113" Type="http://schemas.openxmlformats.org/officeDocument/2006/relationships/hyperlink" Target="http://www.sec.gov/Archives/edgar/data/766829/000119312518239077/d526512dex21.htm" TargetMode="External"/><Relationship Id="rId114" Type="http://schemas.openxmlformats.org/officeDocument/2006/relationships/hyperlink" Target="http://www.sec.gov/Archives/edgar/data/766829/000076682916000106/exhibit31certificateofinco.htm" TargetMode="External"/><Relationship Id="rId115" Type="http://schemas.openxmlformats.org/officeDocument/2006/relationships/hyperlink" Target="http://www.sec.gov/Archives/edgar/data/766829/000076682916000106/exhibit33certificateofamen.htm" TargetMode="External"/><Relationship Id="rId116" Type="http://schemas.openxmlformats.org/officeDocument/2006/relationships/hyperlink" Target="http://www.sec.gov/Archives/edgar/data/766829/000076682919000084/exhibit31-certificateofame.htm" TargetMode="External"/><Relationship Id="rId117" Type="http://schemas.openxmlformats.org/officeDocument/2006/relationships/hyperlink" Target="http://www.sec.gov/Archives/edgar/data/766829/000076682916000106/exhibit32bylawsofsjwgroup.htm" TargetMode="External"/><Relationship Id="rId118" Type="http://schemas.openxmlformats.org/officeDocument/2006/relationships/hyperlink" Target="http://www.sec.gov/Archives/edgar/data/766829/000076682917000028/exhibit31-amendedandrestat.htm" TargetMode="External"/><Relationship Id="rId119" Type="http://schemas.openxmlformats.org/officeDocument/2006/relationships/hyperlink" Target="http://www.sec.gov/Archives/edgar/data/766829/000076682916000106/exhibit41formofcommonstock.htm" TargetMode="External"/><Relationship Id="rId120" Type="http://schemas.openxmlformats.org/officeDocument/2006/relationships/hyperlink" Target="http://www.sec.gov/Archives/edgar/data/766829/000119312510181531/dex41.htm" TargetMode="External"/><Relationship Id="rId121" Type="http://schemas.openxmlformats.org/officeDocument/2006/relationships/hyperlink" Target="http://www.sec.gov/Archives/edgar/data/766829/000119312519265175/d804814dex101.htm" TargetMode="External"/><Relationship Id="rId122" Type="http://schemas.openxmlformats.org/officeDocument/2006/relationships/hyperlink" Target="http://www.sec.gov/Archives/edgar/data/766829/000076682920000055/a46-descriptionofcapit.htm" TargetMode="External"/><Relationship Id="rId123" Type="http://schemas.openxmlformats.org/officeDocument/2006/relationships/hyperlink" Target="http://www.sec.gov/Archives/edgar/data/766829/000095000502000295/p15065_ex10-1.txt" TargetMode="External"/><Relationship Id="rId125" Type="http://schemas.openxmlformats.org/officeDocument/2006/relationships/hyperlink" Target="http://www.sec.gov/Archives/edgar/data/766829/000076682913000005/sjw2012q410kexhibit104.htm" TargetMode="External"/><Relationship Id="rId126" Type="http://schemas.openxmlformats.org/officeDocument/2006/relationships/hyperlink" Target="https://www.sec.gov/Archives/edgar/data/766829/000119312522213665/d261758dex101.htm" TargetMode="External"/><Relationship Id="rId127" Type="http://schemas.openxmlformats.org/officeDocument/2006/relationships/hyperlink" Target="http://www.sec.gov/Archives/edgar/data/766829/000119312521134432/d175813dex101.htm" TargetMode="External"/><Relationship Id="rId128" Type="http://schemas.openxmlformats.org/officeDocument/2006/relationships/hyperlink" Target="http://www.sec.gov/Archives/edgar/data/766829/000119312510181531/dex103.htm" TargetMode="External"/><Relationship Id="rId129" Type="http://schemas.openxmlformats.org/officeDocument/2006/relationships/hyperlink" Target="http://www.sec.gov/Archives/edgar/data/766829/000076682917000043/sjw2016q410kexhibit107.htm" TargetMode="External"/><Relationship Id="rId130" Type="http://schemas.openxmlformats.org/officeDocument/2006/relationships/hyperlink" Target="http://www.sec.gov/Archives/edgar/data/766829/000119312510181531/dex104.htm" TargetMode="External"/><Relationship Id="rId131" Type="http://schemas.openxmlformats.org/officeDocument/2006/relationships/hyperlink" Target="http://www.sec.gov/Archives/edgar/data/766829/000076682917000043/sjw2016q410kexhibit109.htm" TargetMode="External"/><Relationship Id="rId132" Type="http://schemas.openxmlformats.org/officeDocument/2006/relationships/hyperlink" Target="http://www.sec.gov/Archives/edgar/data/766829/000076682911000028/exhibit-10.3.txt" TargetMode="External"/><Relationship Id="rId133" Type="http://schemas.openxmlformats.org/officeDocument/2006/relationships/hyperlink" Target="http://www.sec.gov/Archives/edgar/data/766829/000076682914000003/exhibit-noteaseriesl.htm" TargetMode="External"/><Relationship Id="rId134" Type="http://schemas.openxmlformats.org/officeDocument/2006/relationships/hyperlink" Target="http://www.sec.gov/Archives/edgar/data/766829/000076682919000081/notepurchaseagreement.htm" TargetMode="External"/><Relationship Id="rId135" Type="http://schemas.openxmlformats.org/officeDocument/2006/relationships/hyperlink" Target="http://www.sec.gov/Archives/edgar/data/766829/000119312521236713/d159531dex101.htm" TargetMode="External"/><Relationship Id="rId136" Type="http://schemas.openxmlformats.org/officeDocument/2006/relationships/hyperlink" Target="http://www.sec.gov/Archives/edgar/data/276209/000119312512447973/d431891dex101.htm" TargetMode="External"/><Relationship Id="rId137" Type="http://schemas.openxmlformats.org/officeDocument/2006/relationships/hyperlink" Target="http://www.sec.gov/Archives/edgar/data/766829/000076682912000007/a2011q410kexhibit1020sjw.htm" TargetMode="External"/><Relationship Id="rId138" Type="http://schemas.openxmlformats.org/officeDocument/2006/relationships/hyperlink" Target="http://www.sec.gov/Archives/edgar/data/766829/000076682917000043/sjw2016q410kexhibit1014.htm" TargetMode="External"/><Relationship Id="rId139" Type="http://schemas.openxmlformats.org/officeDocument/2006/relationships/hyperlink" Target="http://www.sec.gov/Archives/edgar/data/766829/000119312519265175/d804814dex105.htm" TargetMode="External"/><Relationship Id="rId140" Type="http://schemas.openxmlformats.org/officeDocument/2006/relationships/hyperlink" Target="http://www.sec.gov/Archives/edgar/data/766829/000076682912000007/a2011q410kexhibit1023sjw.htm" TargetMode="External"/><Relationship Id="rId142" Type="http://schemas.openxmlformats.org/officeDocument/2006/relationships/hyperlink" Target="http://www.sec.gov/Archives/edgar/data/766829/000076682914000012/sjw2013q410kexhibit1015.htm" TargetMode="External"/><Relationship Id="rId143" Type="http://schemas.openxmlformats.org/officeDocument/2006/relationships/hyperlink" Target="http://www.sec.gov/Archives/edgar/data/766829/000076682914000005/exhibit102.htm" TargetMode="External"/><Relationship Id="rId144" Type="http://schemas.openxmlformats.org/officeDocument/2006/relationships/hyperlink" Target="http://www.sec.gov/Archives/edgar/data/766829/000076682917000043/sjw2016q410kexhibit1018.htm" TargetMode="External"/><Relationship Id="rId145" Type="http://schemas.openxmlformats.org/officeDocument/2006/relationships/hyperlink" Target="http://www.sec.gov/Archives/edgar/data/766829/000076682917000109/sjw-93017xex105.htm" TargetMode="External"/><Relationship Id="rId146" Type="http://schemas.openxmlformats.org/officeDocument/2006/relationships/hyperlink" Target="http://www.sec.gov/Archives/edgar/data/766829/000076682919000063/a2018q410-kexhibit1021.htm" TargetMode="External"/><Relationship Id="rId147" Type="http://schemas.openxmlformats.org/officeDocument/2006/relationships/hyperlink" Target="http://www.sec.gov/Archives/edgar/data/766829/000119312519265175/d804814dex104.htm" TargetMode="External"/><Relationship Id="rId148" Type="http://schemas.openxmlformats.org/officeDocument/2006/relationships/hyperlink" Target="http://www.sec.gov/Archives/edgar/data/766829/000076682915000041/sjw-93015xex101.htm" TargetMode="External"/><Relationship Id="rId149" Type="http://schemas.openxmlformats.org/officeDocument/2006/relationships/hyperlink" Target="http://www.sec.gov/Archives/edgar/data/766829/000076682917000043/sjw2016q410kexhibit1021.htm" TargetMode="External"/><Relationship Id="rId150" Type="http://schemas.openxmlformats.org/officeDocument/2006/relationships/hyperlink" Target="http://www.sec.gov/Archives/edgar/data/766829/000076682920000149/exhibit101-sjw_secondamend.htm" TargetMode="External"/><Relationship Id="rId151" Type="http://schemas.openxmlformats.org/officeDocument/2006/relationships/hyperlink" Target="http://www.sec.gov/Archives/edgar/data/766829/000076682921000047/a2020q410kexhibit1031.htm" TargetMode="External"/><Relationship Id="rId152" Type="http://schemas.openxmlformats.org/officeDocument/2006/relationships/hyperlink" Target="http://www.sec.gov/Archives/edgar/data/766829/000076682917000109/sjw-930017xex103.htm" TargetMode="External"/><Relationship Id="rId153" Type="http://schemas.openxmlformats.org/officeDocument/2006/relationships/hyperlink" Target="http://www.sec.gov/Archives/edgar/data/766829/000076682920000022/exhibit101firstamendme.htm" TargetMode="External"/><Relationship Id="rId154" Type="http://schemas.openxmlformats.org/officeDocument/2006/relationships/hyperlink" Target="https://www.sec.gov/Archives/edgar/data/766829/000119312522311771/d435260dex101.htm" TargetMode="External"/><Relationship Id="rId155" Type="http://schemas.openxmlformats.org/officeDocument/2006/relationships/hyperlink" Target="http://www.sec.gov/Archives/edgar/data/766829/000076682917000043/sjw2016q410kexhibit1031.htm" TargetMode="External"/><Relationship Id="rId156" Type="http://schemas.openxmlformats.org/officeDocument/2006/relationships/hyperlink" Target="http://www.sec.gov/Archives/edgar/data/766829/000076682920000149/exhibit102-executiveoffice.htm" TargetMode="External"/><Relationship Id="rId157" Type="http://schemas.openxmlformats.org/officeDocument/2006/relationships/hyperlink" Target="http://www.sec.gov/Archives/edgar/data/766829/000076682921000047/a2020q410kexhibit1039.htm" TargetMode="External"/><Relationship Id="rId158" Type="http://schemas.openxmlformats.org/officeDocument/2006/relationships/hyperlink" Target="https://www.sec.gov/Archives/edgar/data/766829/000119312522272453/d415988dex101.htm" TargetMode="External"/><Relationship Id="rId159" Type="http://schemas.openxmlformats.org/officeDocument/2006/relationships/hyperlink" Target="http://www.sec.gov/Archives/edgar/data/766829/000076682913000005/sjw2012q410kexhibit1036.htm" TargetMode="External"/><Relationship Id="rId161" Type="http://schemas.openxmlformats.org/officeDocument/2006/relationships/hyperlink" Target="http://www.sec.gov/Archives/edgar/data/766829/000076682917000043/sjw2016q410kexhibit1037.htm" TargetMode="External"/><Relationship Id="rId162" Type="http://schemas.openxmlformats.org/officeDocument/2006/relationships/hyperlink" Target="http://www.sec.gov/Archives/edgar/data/766829/000110465908031396/a08-13183_1ex10d1.htm" TargetMode="External"/><Relationship Id="rId163" Type="http://schemas.openxmlformats.org/officeDocument/2006/relationships/hyperlink" Target="http://www.sec.gov/Archives/edgar/data/766829/000076682917000043/sjw2016q410kexhibit1039.htm" TargetMode="External"/><Relationship Id="rId164" Type="http://schemas.openxmlformats.org/officeDocument/2006/relationships/hyperlink" Target="http://www.sec.gov/Archives/edgar/data/766829/000076682914000012/sjw2013q410kexhibit1032.htm" TargetMode="External"/><Relationship Id="rId165" Type="http://schemas.openxmlformats.org/officeDocument/2006/relationships/hyperlink" Target="http://www.sec.gov/Archives/edgar/data/766829/000076682917000043/sjw2016q410kexhibit1041.htm" TargetMode="External"/><Relationship Id="rId166" Type="http://schemas.openxmlformats.org/officeDocument/2006/relationships/hyperlink" Target="http://www.sec.gov/Archives/edgar/data/766829/000076682917000091/sjw-q2x2017xex101.htm" TargetMode="External"/><Relationship Id="rId167" Type="http://schemas.openxmlformats.org/officeDocument/2006/relationships/hyperlink" Target="http://www.sec.gov/Archives/edgar/data/766829/000076682917000043/sjw2016q410kexhibit1045.htm" TargetMode="External"/><Relationship Id="rId168" Type="http://schemas.openxmlformats.org/officeDocument/2006/relationships/hyperlink" Target="http://www.sec.gov/Archives/edgar/data/766829/000076682919000063/a2018q410-kexhibit1048.htm" TargetMode="External"/><Relationship Id="rId169" Type="http://schemas.openxmlformats.org/officeDocument/2006/relationships/hyperlink" Target="http://www.sec.gov/Archives/edgar/data/766829/000119312521272752/d225875dex101.htm" TargetMode="External"/><Relationship Id="rId170" Type="http://schemas.openxmlformats.org/officeDocument/2006/relationships/hyperlink" Target="http://www.sec.gov/Archives/edgar/data/766829/000076682918000058/a2017q410kexhibit1055.htm" TargetMode="External"/><Relationship Id="rId171" Type="http://schemas.openxmlformats.org/officeDocument/2006/relationships/hyperlink" Target="http://www.sec.gov/Archives/edgar/data/766829/000076682917000043/sjw2016q410kexhibit1052.htm" TargetMode="External"/><Relationship Id="rId172" Type="http://schemas.openxmlformats.org/officeDocument/2006/relationships/hyperlink" Target="http://www.sec.gov/Archives/edgar/data/766829/000076682917000043/sjw2016q410kexhibit1054.htm" TargetMode="External"/><Relationship Id="rId173" Type="http://schemas.openxmlformats.org/officeDocument/2006/relationships/hyperlink" Target="http://www.sec.gov/Archives/edgar/data/766829/000076682917000043/sjw2016q410kexhibit1055.htm" TargetMode="External"/><Relationship Id="rId174" Type="http://schemas.openxmlformats.org/officeDocument/2006/relationships/hyperlink" Target="http://www.sec.gov/Archives/edgar/data/766829/000076682916000106/exhibit101formofindemnific.htm" TargetMode="External"/><Relationship Id="rId175" Type="http://schemas.openxmlformats.org/officeDocument/2006/relationships/hyperlink" Target="http://www.sec.gov/Archives/edgar/data/766829/000119312519265068/d811369dex993.htm" TargetMode="External"/><Relationship Id="rId176" Type="http://schemas.openxmlformats.org/officeDocument/2006/relationships/hyperlink" Target="http://www.sec.gov/Archives/edgar/data/766829/000119312519265068/d811369dex992.htm" TargetMode="External"/><Relationship Id="rId177" Type="http://schemas.openxmlformats.org/officeDocument/2006/relationships/hyperlink" Target="http://www.sec.gov/Archives/edgar/data/276209/000095012306004035/y19293exv10w23wf.htm" TargetMode="External"/><Relationship Id="rId178" Type="http://schemas.openxmlformats.org/officeDocument/2006/relationships/hyperlink" Target="http://www.sec.gov/Archives/edgar/data/276209/000095012308000933/y47633exv10w6.htm" TargetMode="External"/><Relationship Id="rId180" Type="http://schemas.openxmlformats.org/officeDocument/2006/relationships/hyperlink" Target="http://www.sec.gov/Archives/edgar/data/766829/000119312519265068/d811369dex991.htm" TargetMode="External"/><Relationship Id="rId181" Type="http://schemas.openxmlformats.org/officeDocument/2006/relationships/hyperlink" Target="http://www.sec.gov/Archives/edgar/data/766829/000076682920000055/a1069-firstamendmentto.htm" TargetMode="External"/><Relationship Id="rId182" Type="http://schemas.openxmlformats.org/officeDocument/2006/relationships/hyperlink" Target="http://www.sec.gov/Archives/edgar/data/276209/000027620917000009/exhibit109-psuawardagreeme.htm" TargetMode="External"/><Relationship Id="rId183" Type="http://schemas.openxmlformats.org/officeDocument/2006/relationships/hyperlink" Target="http://www.sec.gov/Archives/edgar/data/276209/000027620917000009/exhibit1010-psuawardagreem.htm" TargetMode="External"/><Relationship Id="rId184" Type="http://schemas.openxmlformats.org/officeDocument/2006/relationships/hyperlink" Target="http://www.sec.gov/Archives/edgar/data/766829/000076682920000055/a1073-assumptionagreem.htm" TargetMode="External"/><Relationship Id="rId185" Type="http://schemas.openxmlformats.org/officeDocument/2006/relationships/hyperlink" Target="http://www.sec.gov/Archives/edgar/data/766829/000076682921000047/a2020q410kexhibit1073.htm" TargetMode="External"/><Relationship Id="rId186" Type="http://schemas.openxmlformats.org/officeDocument/2006/relationships/hyperlink" Target="http://www.sec.gov/Archives/edgar/data/766829/000076682920000055/a1074-westbrookarserpa.htm" TargetMode="External"/><Relationship Id="rId187" Type="http://schemas.openxmlformats.org/officeDocument/2006/relationships/hyperlink" Target="http://www.sec.gov/Archives/edgar/data/766829/000076682920000055/a1075-johnsonarserpagr.htm" TargetMode="External"/><Relationship Id="rId188" Type="http://schemas.openxmlformats.org/officeDocument/2006/relationships/hyperlink" Target="http://www.sec.gov/Archives/edgar/data/766829/000076682920000055/a1077-amendmenttoctwse.htm" TargetMode="External"/><Relationship Id="rId189" Type="http://schemas.openxmlformats.org/officeDocument/2006/relationships/hyperlink" Target="http://www.sec.gov/Archives/edgar/data/766829/000076682920000055/a1078-matrixgrantortru.htm" TargetMode="External"/><Relationship Id="rId190" Type="http://schemas.openxmlformats.org/officeDocument/2006/relationships/hyperlink" Target="http://www.sec.gov/Archives/edgar/data/766829/000076682921000047/a2020q410kexhibit1078.htm" TargetMode="External"/><Relationship Id="rId191" Type="http://schemas.openxmlformats.org/officeDocument/2006/relationships/hyperlink" Target="http://www.sec.gov/Archives/edgar/data/766829/000076682920000055/a1079-mwestbrookardefe.htm" TargetMode="External"/><Relationship Id="rId192" Type="http://schemas.openxmlformats.org/officeDocument/2006/relationships/hyperlink" Target="http://www.sec.gov/Archives/edgar/data/766829/000076682920000055/a1080-kjohnsonardeferr.htm" TargetMode="External"/><Relationship Id="rId193" Type="http://schemas.openxmlformats.org/officeDocument/2006/relationships/hyperlink" Target="http://www.sec.gov/Archives/edgar/data/766829/000076682920000055/a1082-firstamendmentto.htm" TargetMode="External"/><Relationship Id="rId194" Type="http://schemas.openxmlformats.org/officeDocument/2006/relationships/hyperlink" Target="http://www.sec.gov/Archives/edgar/data/766829/000076682920000055/a1083-firstamendmentto.htm" TargetMode="External"/><Relationship Id="rId195" Type="http://schemas.openxmlformats.org/officeDocument/2006/relationships/hyperlink" Target="http://www.sec.gov/Archives/edgar/data/766829/000076682920000055/a1085-2ndamendmenttoar.htm" TargetMode="External"/><Relationship Id="rId197" Type="http://schemas.openxmlformats.org/officeDocument/2006/relationships/hyperlink" Target="http://www.sec.gov/Archives/edgar/data/766829/000076682920000055/a1086-2ndamendmenttoar.htm" TargetMode="External"/><Relationship Id="rId198" Type="http://schemas.openxmlformats.org/officeDocument/2006/relationships/hyperlink" Target="http://www.sec.gov/Archives/edgar/data/276209/000027620916000120/exhibit101-cwc2017dcp.htm" TargetMode="External"/><Relationship Id="rId199" Type="http://schemas.openxmlformats.org/officeDocument/2006/relationships/hyperlink" Target="http://www.sec.gov/Archives/edgar/data/766829/000076682920000055/a1089-firstamendmentto.htm" TargetMode="External"/><Relationship Id="rId200" Type="http://schemas.openxmlformats.org/officeDocument/2006/relationships/hyperlink" Target="http://www.sec.gov/Archives/edgar/data/766829/000076682920000055/a1090-secondamendmentt.htm" TargetMode="External"/><Relationship Id="rId201" Type="http://schemas.openxmlformats.org/officeDocument/2006/relationships/hyperlink" Target="http://www.sec.gov/Archives/edgar/data/766829/000076682921000103/sjw-63021xex102.htm" TargetMode="External"/><Relationship Id="rId202" Type="http://schemas.openxmlformats.org/officeDocument/2006/relationships/hyperlink" Target="http://www.sec.gov/Archives/edgar/data/766829/000076682920000055/a1093-aremploymentagre.htm" TargetMode="External"/><Relationship Id="rId203" Type="http://schemas.openxmlformats.org/officeDocument/2006/relationships/hyperlink" Target="http://www.sec.gov/Archives/edgar/data/766829/000076682920000055/a1094-johnsonxaremploy.htm" TargetMode="External"/><Relationship Id="rId204" Type="http://schemas.openxmlformats.org/officeDocument/2006/relationships/hyperlink" Target="http://www.sec.gov/Archives/edgar/data/276209/000027620913000013/exhibit1017.htm" TargetMode="External"/><Relationship Id="rId205" Type="http://schemas.openxmlformats.org/officeDocument/2006/relationships/hyperlink" Target="http://www.sec.gov/Archives/edgar/data/276209/000027620914000015/exhibit102-secondamendment.htm" TargetMode="External"/><Relationship Id="rId206" Type="http://schemas.openxmlformats.org/officeDocument/2006/relationships/hyperlink" Target="http://www.sec.gov/Archives/edgar/data/766829/000076682920000055/a1097-3rdarctwemployme.htm" TargetMode="External"/><Relationship Id="rId207" Type="http://schemas.openxmlformats.org/officeDocument/2006/relationships/hyperlink" Target="https://www.sec.gov/Archives/edgar/data/766829/000076682922000150/sjw-93022xex103.htm" TargetMode="External"/><Relationship Id="rId208" Type="http://schemas.openxmlformats.org/officeDocument/2006/relationships/hyperlink" Target="https://www.sec.gov/Archives/edgar/data/766829/000076682922000150/sjw-93022xex104.htm" TargetMode="External"/><Relationship Id="rId209" Type="http://schemas.openxmlformats.org/officeDocument/2006/relationships/hyperlink" Target="https://www.sec.gov/Archives/edgar/data/766829/000119312522259647/d39760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2023-02-25T00:25:25Z</dcterms:created>
  <dcterms:modified xsi:type="dcterms:W3CDTF">2023-02-25T00:25:25Z</dcterms:modified>
</cp:coreProperties>
</file>