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8417.xml.htm"/>
      <w:bookmarkStart w:id="1" w:name="kswkform4_17857984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Mattern Megan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 TAYLOR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H2O AMERICA</w:t>
              </w:r>
            </w:hyperlink>
            <w:r>
              <w:rPr/>
              <w:t xml:space="preserve"> [ </w:t>
            </w:r>
            <w:r>
              <w:rPr>
                <w:rFonts w:ascii="Times;serif" w:hAnsi="Times;serif"/>
                <w:color w:val="0000FF"/>
                <w:sz w:val="24"/>
                <w:shd w:fill="FFFFFF" w:val="clear"/>
              </w:rPr>
              <w:t>HTO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CAO, PAO and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1,154</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61.97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13,631</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1,154 shares of the issuer's common stock (Common Stock) withheld in satisfaction of applicable withholding taxes upon the vesting of certain shares of Common Stock that became issuable on July 30, 2026 pursuant to the terms of the Restricted Stock Unit Issuance Agreement between the reporting person and the issuer dated July 30, 2025. The shares underlying such restricted stock units (RSUs) were previously reported as Table I securities at the time the RSUs were granted. Accordingly, the issuance of such shares is not a reportable transaction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3,052 shares of Common Stock and 10,579 shares of the Common Stock underlying RSUs which will vest and become issuable in accordance with their terms.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Willie Brown Attorney-in-Fact for Megan Mattern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031" TargetMode="External"/><Relationship Id="rId5" Type="http://schemas.openxmlformats.org/officeDocument/2006/relationships/hyperlink" Target="http://www.sec.gov/cgi-bin/browse-edgar?action=getcompany&amp;CIK=0000766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3708</Characters>
  <CharactersWithSpaces>4326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