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2024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80" w:after="283"/>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001-8966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SJW GROUP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317"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884"/>
        <w:gridCol w:w="884"/>
        <w:gridCol w:w="1261"/>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77-0066628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110 West Taylor Street, San Jose, 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95110</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(408) 279-7800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SJW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333333"/>
        </w:rPr>
        <w:t xml:space="preserve">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Large accelerated filer  </w:t>
      </w:r>
      <w:r>
        <w:rPr>
          <w:color w:val="000000"/>
        </w:rPr>
        <w:t>☒                </w:t>
      </w:r>
      <w:r>
        <w:rPr>
          <w:rFonts w:ascii="Times New Roman;sans-serif" w:hAnsi="Times New Roman;sans-serif"/>
          <w:b w:val="false"/>
          <w:color w:val="000000"/>
          <w:sz w:val="20"/>
        </w:rPr>
        <w:t>Non-accelerated filer  </w:t>
      </w: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Accelerated filer  </w:t>
      </w:r>
      <w:r>
        <w:rPr>
          <w:color w:val="000000"/>
        </w:rPr>
        <w:t>☐                </w:t>
      </w:r>
      <w:r>
        <w:rPr>
          <w:rFonts w:ascii="Times New Roman;sans-serif" w:hAnsi="Times New Roman;sans-serif"/>
          <w:b w:val="false"/>
          <w:color w:val="000000"/>
          <w:sz w:val="20"/>
        </w:rPr>
        <w:t>Smaller reporting company  </w:t>
      </w:r>
      <w:r>
        <w:rPr>
          <w:color w:val="000000"/>
        </w:rPr>
        <w:t xml:space="preserve">☐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Emerging growth company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APPLICABLE ONLY TO CORPORATE ISSUERS: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of July 22, 2024, there were 32,711,600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160" w:after="283"/>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forward-looking statements within the meaning of the Private Securities Litigation Reform Act of 1995, as amended.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accuracy of such statements is subject to a number of risks, uncertainties and assumptions including, but not limited to, the following factors: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effect of water, utility, environmental and other governmental policies and regulations, including regulatory actions concerning rates, authorized return on equity, authorized capital structures, capital expenditures, per- and polyfluroralkyl substances (“PFAS”) and other decisions;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changes in demand for water and other services;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unanticipated weather conditions and changes in seasonality including those affecting water supply and customer usage;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effect of the impacts of climate change;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unexpected costs, charges or expenses;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our ability to successfully evaluate investments in new business and growth initiatives;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contamination of our water supplies and damage or failure of our water equipment and infrastructure;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risk of work stoppages, strikes and other labor-related actions;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catastrophic events such as fires, earthquakes, explosions, floods, ice storms, tornadoes, hurricanes, terrorist acts, physical attacks, cyber-attacks, epidemic or other similar occurrences;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changes in general economic, political, business and financial market conditions;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legislative and general market and economic developments.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risks, uncertainties and other factors may cause the actual results, performance or achievements of SJW Group to be materially different from any future results, performance or achievements expressed or implied by such forward-looking statements.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Results for a quarter are not indicative of results for a full year due to seasonality and other factors. In addition, actual results, performance or achievements to materially differ are described in our filings with the SEC, including our most recent reports on Form 10-K, Form 10-Q and Form 8-K. Forward-looking statements are not guarantees of performance, and speak only as of the date made, and we undertake no obligation to publicly update or revise any forward-looking statement, whether as a result of new information, future events or otherwise.</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71"/>
        <w:gridCol w:w="1230"/>
        <w:gridCol w:w="1242"/>
        <w:gridCol w:w="259"/>
        <w:gridCol w:w="990"/>
        <w:gridCol w:w="130"/>
        <w:gridCol w:w="130"/>
        <w:gridCol w:w="130"/>
        <w:gridCol w:w="130"/>
        <w:gridCol w:w="540"/>
        <w:gridCol w:w="541"/>
        <w:gridCol w:w="156"/>
        <w:gridCol w:w="109"/>
        <w:gridCol w:w="109"/>
        <w:gridCol w:w="109"/>
        <w:gridCol w:w="236"/>
        <w:gridCol w:w="914"/>
        <w:gridCol w:w="120"/>
        <w:gridCol w:w="120"/>
        <w:gridCol w:w="120"/>
        <w:gridCol w:w="120"/>
        <w:gridCol w:w="540"/>
        <w:gridCol w:w="541"/>
        <w:gridCol w:w="218"/>
      </w:tblGrid>
      <w:tr>
        <w:trPr/>
        <w:tc>
          <w:tcPr>
            <w:tcW w:w="147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176,174 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294,182 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Expenses: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Groundwater extraction charges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production expenses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108,905 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237,846 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non-service credit (cost)</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Dividends per share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32,397,501 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31,499,068 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32,237,115 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31,219,324 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32,460,894 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31,594,494 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32,302,741 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31,319,248 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44"/>
        <w:gridCol w:w="2267"/>
        <w:gridCol w:w="2264"/>
        <w:gridCol w:w="211"/>
        <w:gridCol w:w="976"/>
        <w:gridCol w:w="109"/>
        <w:gridCol w:w="109"/>
        <w:gridCol w:w="109"/>
        <w:gridCol w:w="109"/>
        <w:gridCol w:w="487"/>
        <w:gridCol w:w="489"/>
        <w:gridCol w:w="431"/>
      </w:tblGrid>
      <w:tr>
        <w:trPr/>
        <w:tc>
          <w:tcPr>
            <w:tcW w:w="264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Utility plant: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Depreciable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3,967,911 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work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4,152,252 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981,598 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3,170,654 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Nonutility properties and real estate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nonutility properties and real estate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Customers, net of allowances for uncollectible accounts of $802 and $6,551 on June 30, 2024 and December 31,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unbilled utility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49,543 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regulatory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198,389 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235,910 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962,868 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4,345,067 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20"/>
        <w:gridCol w:w="2280"/>
        <w:gridCol w:w="2291"/>
        <w:gridCol w:w="211"/>
        <w:gridCol w:w="976"/>
        <w:gridCol w:w="109"/>
        <w:gridCol w:w="109"/>
        <w:gridCol w:w="109"/>
        <w:gridCol w:w="109"/>
        <w:gridCol w:w="488"/>
        <w:gridCol w:w="488"/>
        <w:gridCol w:w="415"/>
      </w:tblGrid>
      <w:tr>
        <w:trPr/>
        <w:tc>
          <w:tcPr>
            <w:tcW w:w="262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Capitalization and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Capitalization: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stock, $0.001 par value; authorized 70,000,000 shares; issued and outstanding share</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32,668,904 on June 30, 2024 and 32,023,004 on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736,191 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495,383 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1,233,397 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1,526,699 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capitalization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2,760,096 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Lines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171,500 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groundwater extraction charges, purchased water and power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12,229 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regulatory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342,974 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238,528 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Advances for 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146,582 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Contributions in aid of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326,451 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Postretirement benefit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Regulatory liabilities,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461,108 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capitalization and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4,345,067 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left"/>
        <w:rPr/>
      </w:pPr>
      <w:r>
        <w:rPr/>
      </w:r>
    </w:p>
    <w:tbl>
      <w:tblPr>
        <w:tblW w:w="10412" w:type="dxa"/>
        <w:jc w:val="left"/>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32,023,004 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736,191 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495,383 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1,233,397 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 net of tax of $163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($0.40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March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32,201,216 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744,621 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494,249 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1,240,251 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458,605 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($0.40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32,668,904 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771,189 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502,037 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1,274,608 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10412" w:type="dxa"/>
        <w:jc w:val="center"/>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30,801,912 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651,004 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1,110,868 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 net of taxes of $0</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570,026 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($0.38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31,427,124 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692,742 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458,142 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1,152,485 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 net of taxes of $(37)</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290,477 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($0.38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(11,947)</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31,731,030 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716,642 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464,464 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1,182,716 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pPr>
      <w:r>
        <w:rPr>
          <w:rFonts w:ascii="Times New Roman;sans-serif" w:hAnsi="Times New Roman;sans-serif"/>
          <w:b/>
          <w:color w:val="000000"/>
          <w:sz w:val="20"/>
        </w:rPr>
        <w:t>(in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804"/>
        <w:gridCol w:w="2410"/>
        <w:gridCol w:w="2420"/>
        <w:gridCol w:w="239"/>
        <w:gridCol w:w="787"/>
        <w:gridCol w:w="132"/>
        <w:gridCol w:w="132"/>
        <w:gridCol w:w="132"/>
        <w:gridCol w:w="132"/>
        <w:gridCol w:w="399"/>
        <w:gridCol w:w="401"/>
        <w:gridCol w:w="217"/>
      </w:tblGrid>
      <w:tr>
        <w:trPr/>
        <w:tc>
          <w:tcPr>
            <w:tcW w:w="2804"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53,510 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equity funds used during construction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763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accrued unbilled utility revenue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current liabilities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groundwater extraction charges, purchased water and power</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and payable, and other accrued taxes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Postretirement benefits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 and liabilities excluding cost of removal, income tax temporary differences, and postretirement benefits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100,532 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97,364 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utility plant:</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Company-funded</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(158,368)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(115,749)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in aid of construction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to retire utility plant, net of salvage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real estate investments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(130,982)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(125,379)</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on line of credit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line of credit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(116,095)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borrowings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(41,488)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issuance costs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63,779 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Receipts of advances and contributions in aid of construction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Refunds of advances for construction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43,531 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and cash equivalents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beginning of period</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7634"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end of period</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paid during the period for:</w:t>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activities: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payables for additions to utility plant</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property installed by developers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receivable from sale of real estate investments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selling expenses on sale of real estate investments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30,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1.General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opinion of management, the accompanying unaudited condensed consolidated financial statements reflect all adjustments (consisting only of normal, recurring adjustments) necessary for a fair presentation of the results for the interim periods.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2023 Annual Report on Form 10-K should be read in conjunction with the accompanying unaudited condensed consolidated financial statements.</w:t>
      </w:r>
    </w:p>
    <w:p>
      <w:pPr>
        <w:pStyle w:val="TextBody"/>
        <w:bidi w:val="0"/>
        <w:spacing w:lineRule="auto" w:line="288" w:before="120" w:after="283"/>
        <w:jc w:val="left"/>
        <w:rPr/>
      </w:pPr>
      <w:r>
        <w:rPr>
          <w:rFonts w:ascii="Times New Roman;sans-serif" w:hAnsi="Times New Roman;sans-serif"/>
          <w:b w:val="false"/>
          <w:color w:val="000000"/>
          <w:sz w:val="20"/>
        </w:rPr>
        <w:t xml:space="preserve">SJW Group is a holding company with four wholly owned subsidiaries: San Jose Water Company (“SJWC”), SJWTX Holdings, Inc., SJW Land Company, and SJWNE LLC. SJWTX Holdings, Inc., is a holding company for its wholly owned subsidiaries, SJWTX, Inc., doing business as The Texas Water Company (“TWC”), Texas Water Operation Services, LLC, (“TWOS”) and Texas Water Resources, LLC (“TWR”). SJWNE LLC is the holding company for Connecticut Water Service, Inc. (“CTWS”) whose wholly owned subsidiaries are The Connecticut Water Company (“CWC”), The Maine Water Company (“MWC”), New England Water Utility Services, Inc. (“NEWUS”), and Chester Realty, Inc. </w:t>
      </w:r>
      <w:r>
        <w:rPr>
          <w:rFonts w:ascii="Times New Roman;sans-serif" w:hAnsi="Times New Roman;sans-serif"/>
          <w:b w:val="false"/>
          <w:color w:val="000000"/>
          <w:sz w:val="20"/>
          <w:shd w:fill="FFFFFF" w:val="clear"/>
        </w:rPr>
        <w:t>SJWC, CWC, TWC</w:t>
      </w:r>
      <w:r>
        <w:rPr>
          <w:rFonts w:ascii="Times New Roman;sans-serif" w:hAnsi="Times New Roman;sans-serif"/>
          <w:b w:val="false"/>
          <w:color w:val="000000"/>
          <w:sz w:val="20"/>
        </w:rPr>
        <w:t>, TWOS, TWR, MWC and NEWUS are referred to as “Water Utility Services.” SJW Land Company and Chester Realty, Inc. are collectively referred to as “Real Estate Services.”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Group’s revenue components are as follows: </w:t>
      </w:r>
    </w:p>
    <w:tbl>
      <w:tblPr>
        <w:tblW w:w="10205" w:type="dxa"/>
        <w:jc w:val="left"/>
        <w:tblInd w:w="0" w:type="dxa"/>
        <w:tblLayout w:type="fixed"/>
        <w:tblCellMar>
          <w:top w:w="28" w:type="dxa"/>
          <w:left w:w="28" w:type="dxa"/>
          <w:bottom w:w="28" w:type="dxa"/>
          <w:right w:w="28" w:type="dxa"/>
        </w:tblCellMar>
      </w:tblPr>
      <w:tblGrid>
        <w:gridCol w:w="1719"/>
        <w:gridCol w:w="1420"/>
        <w:gridCol w:w="1429"/>
        <w:gridCol w:w="243"/>
        <w:gridCol w:w="953"/>
        <w:gridCol w:w="125"/>
        <w:gridCol w:w="125"/>
        <w:gridCol w:w="125"/>
        <w:gridCol w:w="125"/>
        <w:gridCol w:w="413"/>
        <w:gridCol w:w="413"/>
        <w:gridCol w:w="156"/>
        <w:gridCol w:w="109"/>
        <w:gridCol w:w="109"/>
        <w:gridCol w:w="109"/>
        <w:gridCol w:w="227"/>
        <w:gridCol w:w="892"/>
        <w:gridCol w:w="117"/>
        <w:gridCol w:w="117"/>
        <w:gridCol w:w="117"/>
        <w:gridCol w:w="117"/>
        <w:gridCol w:w="413"/>
        <w:gridCol w:w="413"/>
        <w:gridCol w:w="219"/>
      </w:tblGrid>
      <w:tr>
        <w:trPr/>
        <w:tc>
          <w:tcPr>
            <w:tcW w:w="171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173,106 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323,114 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295,560 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revenue programs, net</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balancing and memorandum accounts and regulatory mechanisms,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176,174 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156,886 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325,556 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294,182 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Nonutility Properties and Real Estate Investments</w:t>
      </w:r>
    </w:p>
    <w:p>
      <w:pPr>
        <w:pStyle w:val="TextBody"/>
        <w:bidi w:val="0"/>
        <w:spacing w:lineRule="auto" w:line="288" w:before="120" w:after="283"/>
        <w:jc w:val="left"/>
        <w:rPr/>
      </w:pPr>
      <w:r>
        <w:rPr>
          <w:rFonts w:ascii="Times New Roman;sans-serif" w:hAnsi="Times New Roman;sans-serif"/>
          <w:b w:val="false"/>
          <w:color w:val="000000"/>
          <w:sz w:val="20"/>
        </w:rPr>
        <w:t>The major components of real estate investments and nonutility properties as of June 30, 2024 and December 31, 2023, are as follows:</w:t>
      </w:r>
      <w:r>
        <w:rPr>
          <w:color w:val="000000"/>
        </w:rPr>
        <w:t> </w:t>
      </w:r>
    </w:p>
    <w:tbl>
      <w:tblPr>
        <w:tblW w:w="6674" w:type="dxa"/>
        <w:jc w:val="left"/>
        <w:tblInd w:w="0" w:type="dxa"/>
        <w:tblLayout w:type="fixed"/>
        <w:tblCellMar>
          <w:top w:w="28" w:type="dxa"/>
          <w:left w:w="28" w:type="dxa"/>
          <w:bottom w:w="28" w:type="dxa"/>
          <w:right w:w="28" w:type="dxa"/>
        </w:tblCellMar>
      </w:tblPr>
      <w:tblGrid>
        <w:gridCol w:w="1487"/>
        <w:gridCol w:w="1306"/>
        <w:gridCol w:w="1317"/>
        <w:gridCol w:w="211"/>
        <w:gridCol w:w="721"/>
        <w:gridCol w:w="109"/>
        <w:gridCol w:w="109"/>
        <w:gridCol w:w="109"/>
        <w:gridCol w:w="109"/>
        <w:gridCol w:w="390"/>
        <w:gridCol w:w="334"/>
        <w:gridCol w:w="472"/>
      </w:tblGrid>
      <w:tr>
        <w:trPr/>
        <w:tc>
          <w:tcPr>
            <w:tcW w:w="148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Wholesale water supply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SJW Land Company entered into a broker agreement to sell its warehouse, office building, and land property located in Knoxville, Tennessee. The company reclassified the Tennessee properties from held-and-used to held-for-sale at March 31, 2023. The company recorded the Tennessee properties at the lower of their carrying value or estimated fair value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to sell, and also stopped recording depreciation on assets held for sale. SJW Group's broker provided the estimated fair value of the Tennessee properties.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2024, SJW Land Company completed the sale of a warehouse building of the Tennessee properties for $27,000. The pre-tax gain on the sale was $6,918. In June 2024, SJW Land Company completed the sale of an office building, land, and parking lot of the Tennessee properties for $17,000. The pre-tax loss on the sale was $7,827. The net pre-tax loss associated with these transactions for the three and six months ended June 30, 2024 was $909 and is included in the “Other, net” line on the condensed consolidated statements of comprehensive income. A portion of the proceeds from these sales totaling $2,801 is being held in escrow pending completion of certain post-closing obligations. As a result of these two transactions, the sale of the Tennessee properties is complete and the company does not have any other assets held for sale.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the Tennessee properties does not represent a strategic shift that has or will have a major effect on SJW Group; therefore, the sale does not qualify for treatment as a discontinued operation.</w:t>
      </w:r>
    </w:p>
    <w:p>
      <w:pPr>
        <w:pStyle w:val="TextBody"/>
        <w:bidi w:val="0"/>
        <w:spacing w:lineRule="auto" w:line="288" w:before="120" w:after="283"/>
        <w:jc w:val="left"/>
        <w:rPr/>
      </w:pPr>
      <w:r>
        <w:rPr>
          <w:rFonts w:ascii="Times New Roman;sans-serif" w:hAnsi="Times New Roman;sans-serif"/>
          <w:b w:val="false"/>
          <w:color w:val="000000"/>
          <w:sz w:val="20"/>
        </w:rPr>
        <w:t xml:space="preserve">The Tennessee properties are included in SJW Group’s “Real Estate Services” reportable segment in </w:t>
      </w:r>
      <w:hyperlink w:anchor="iee4c391d23c646499961bd95b954071a_61">
        <w:r>
          <w:rPr>
            <w:rStyle w:val="InternetLink"/>
            <w:rFonts w:ascii="Times New Roman;sans-serif" w:hAnsi="Times New Roman;sans-serif"/>
            <w:b w:val="false"/>
            <w:color w:val="0000FF"/>
            <w:sz w:val="20"/>
            <w:u w:val="single"/>
          </w:rPr>
          <w:t>Note 9</w:t>
        </w:r>
      </w:hyperlink>
      <w:r>
        <w:rPr>
          <w:rFonts w:ascii="Times New Roman;sans-serif" w:hAnsi="Times New Roman;sans-serif"/>
          <w:b w:val="false"/>
          <w:color w:val="000000"/>
          <w:sz w:val="20"/>
        </w:rPr>
        <w:t>, “Segment and Non-Tariffed Business Reporting”. The following represents the major components of the Tennessee properties that were recorded in assets held-for-sale on the condensed consolidated balance sheets as of December 31, 2023:</w:t>
      </w:r>
    </w:p>
    <w:tbl>
      <w:tblPr>
        <w:tblW w:w="5248" w:type="dxa"/>
        <w:jc w:val="left"/>
        <w:tblInd w:w="0" w:type="dxa"/>
        <w:tblLayout w:type="fixed"/>
        <w:tblCellMar>
          <w:top w:w="28" w:type="dxa"/>
          <w:left w:w="28" w:type="dxa"/>
          <w:bottom w:w="28" w:type="dxa"/>
          <w:right w:w="28" w:type="dxa"/>
        </w:tblCellMar>
      </w:tblPr>
      <w:tblGrid>
        <w:gridCol w:w="1488"/>
        <w:gridCol w:w="1304"/>
        <w:gridCol w:w="1317"/>
        <w:gridCol w:w="221"/>
        <w:gridCol w:w="757"/>
        <w:gridCol w:w="161"/>
      </w:tblGrid>
      <w:tr>
        <w:trPr/>
        <w:tc>
          <w:tcPr>
            <w:tcW w:w="148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Fair Value Measurement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instruments are not measured at fair value on SJW Group’s condensed consolidated balance sheets as of June 30, 2024, but require disclosure of their fair values: cash and cash equivalents, accounts receivable and accounts payable. The estimated fair value of such instruments as of June 30, 2024 approximates their carrying value as reported on the condensed consolidated balance sheets. There have been no changes in valuation techniques during the three and six months ended June 30, 2024. The fair value of these instruments would be categorized as Level 2 in the fair value hierarchy, with the exception of cash and cash equivalents, which would be categorized as Level 1.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SJW Group’s long-term debt was $1,335,706 and $1,394,412 as of June 30, 2024 and December 31, 2023, respectively, and was determined using a discounted cash flow analysis, based on the current rates for similar financial instruments of the same duration and creditworthiness of the company. Of the total fair value of long-term debt at June 30, 2024 and December 31, 2023, $1,319,532 and $1,378,683, respectively, would be categorized as Level 2 in the fair value hierarchy and $16,174 and $15,729, respectively, would be categorized as Level 3 in the fair value hierarchy.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$2,639 and $2,833 as of June 30, 2024 and December 31, 2023, respectively, and are categorized as Level 1 in the fair value hierarchy.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plans, shares potentially issuable under the performance stock plans assumed through the business combination with CTWS, and shares potentially issuable under SJW Group’s employee stock purchase plans. For the three months ended June 30, 2024 and 2023, 6,567 and 1,843 anti-dilutive restricted common stock units were excluded from the diluted earnings per share calculation, respectively. For the six months ended June 30, 2024 and 2023, 9,394 and 10,698 anti-dilutive restricted common stock units were excluded from the diluted earnings per share calculation,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SJW Group recorded a reduction to its allowance for credit losses of $7,822, of which $3,960 resulted in a reduction to regulatory assets and $3,862 was recorded through administrative and general expense ($2,782 net of tax or $0.09 per diluted share).</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New Accounting Standards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recently issued accounting standards that have not yet been adopted by the company as of June 30, 2024 are as follows:</w:t>
      </w:r>
    </w:p>
    <w:tbl>
      <w:tblPr>
        <w:tblW w:w="10205" w:type="dxa"/>
        <w:jc w:val="left"/>
        <w:tblInd w:w="0" w:type="dxa"/>
        <w:tblLayout w:type="fixed"/>
        <w:tblCellMar>
          <w:top w:w="28" w:type="dxa"/>
          <w:left w:w="28" w:type="dxa"/>
          <w:bottom w:w="28" w:type="dxa"/>
          <w:right w:w="28" w:type="dxa"/>
        </w:tblCellMar>
      </w:tblPr>
      <w:tblGrid>
        <w:gridCol w:w="604"/>
        <w:gridCol w:w="531"/>
        <w:gridCol w:w="534"/>
        <w:gridCol w:w="109"/>
        <w:gridCol w:w="109"/>
        <w:gridCol w:w="109"/>
        <w:gridCol w:w="1123"/>
        <w:gridCol w:w="893"/>
        <w:gridCol w:w="896"/>
        <w:gridCol w:w="109"/>
        <w:gridCol w:w="109"/>
        <w:gridCol w:w="109"/>
        <w:gridCol w:w="535"/>
        <w:gridCol w:w="463"/>
        <w:gridCol w:w="465"/>
        <w:gridCol w:w="109"/>
        <w:gridCol w:w="109"/>
        <w:gridCol w:w="109"/>
        <w:gridCol w:w="461"/>
        <w:gridCol w:w="461"/>
        <w:gridCol w:w="466"/>
        <w:gridCol w:w="109"/>
        <w:gridCol w:w="109"/>
        <w:gridCol w:w="109"/>
        <w:gridCol w:w="426"/>
        <w:gridCol w:w="426"/>
        <w:gridCol w:w="613"/>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on the Condensed Consolidated Financial Statements</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 (“ASU”) 2023-07 “Improvements to Reportable Segment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ASU requires disclosure of significant segment expenses, extends certain annual disclosures to interim periods, and additional qualitative disclosures regarding the chief operating decision maker.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ASU is effective for SJW Group beginning with its annual financial statements for the year ending December 31, 2024. Early adoption is permitted.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Retrospective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currently evaluating the requirements of ASU 2023-07.</w:t>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ASU 2023-09 “Improvements to Income Tax Disclosures”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ASU amends certain income tax disclosure requirements, including adding requirements to present the reconciliation of income tax expense computed at the statutory rate to actual income tax expense using both percentages and amounts and providing a disaggregation of income taxes paid. Further, certain disclosures are eliminated, including the current requirement to disclose information on changes in unrecognized tax benefits in the next 12 months.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ASU is effective for SJW Group beginning with its annual financial statements for the year ending December 31, 2025. Early adoption is permitted.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Prospective, with retrospective application also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currently evaluating the requirements of ASU 2023-09.</w:t>
            </w:r>
          </w:p>
        </w:tc>
      </w:tr>
    </w:tbl>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2.Regulatory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and liabilities are comprised of the following as of June 30, 2024 and December 31, 2023:</w:t>
      </w:r>
    </w:p>
    <w:p>
      <w:pPr>
        <w:pStyle w:val="TextBody"/>
        <w:bidi w:val="0"/>
        <w:spacing w:before="120" w:after="283"/>
        <w:jc w:val="left"/>
        <w:rPr/>
      </w:pPr>
      <w:r>
        <w:rPr/>
      </w:r>
    </w:p>
    <w:tbl>
      <w:tblPr>
        <w:tblW w:w="8626" w:type="dxa"/>
        <w:jc w:val="left"/>
        <w:tblInd w:w="0" w:type="dxa"/>
        <w:tblLayout w:type="fixed"/>
        <w:tblCellMar>
          <w:top w:w="28" w:type="dxa"/>
          <w:left w:w="28" w:type="dxa"/>
          <w:bottom w:w="28" w:type="dxa"/>
          <w:right w:w="28" w:type="dxa"/>
        </w:tblCellMar>
      </w:tblPr>
      <w:tblGrid>
        <w:gridCol w:w="2030"/>
        <w:gridCol w:w="1786"/>
        <w:gridCol w:w="1793"/>
        <w:gridCol w:w="211"/>
        <w:gridCol w:w="826"/>
        <w:gridCol w:w="109"/>
        <w:gridCol w:w="109"/>
        <w:gridCol w:w="109"/>
        <w:gridCol w:w="109"/>
        <w:gridCol w:w="452"/>
        <w:gridCol w:w="452"/>
        <w:gridCol w:w="640"/>
      </w:tblGrid>
      <w:tr>
        <w:trPr/>
        <w:tc>
          <w:tcPr>
            <w:tcW w:w="203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temporary differences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157,669 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pensions and other postretirement benefits (b)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debt premium (c)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costs (d)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shd w:fill="FFFFFF" w:val="clear"/>
              </w:rPr>
              <w:t>Monterey Water Revenue Adjustment</w:t>
            </w:r>
            <w:r>
              <w:rPr>
                <w:color w:val="000000"/>
              </w:rPr>
              <w:t xml:space="preserve"> </w:t>
            </w:r>
            <w:r>
              <w:rPr>
                <w:rFonts w:ascii="Times New Roman;sans-serif" w:hAnsi="Times New Roman;sans-serif"/>
                <w:b w:val="false"/>
                <w:color w:val="000000"/>
                <w:sz w:val="20"/>
              </w:rPr>
              <w:t>Mechanism (“MWRAM”) (e)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Assistance Program (“CAP”) balancing account (f)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Catastrophic event memorandum accounts (“CEMA”) (g)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general rate case interim memorandum account (h)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supply costs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(j)</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240,186 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regulatory assets (k)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assets, less current portion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235,910 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removal (l)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346,418 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 benefits due to customers (m)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pensions and other postretirement benefits (b)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adjustment mechanisms (n)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supply costs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464,167 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regulatory liabilities (p)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liabilities, less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461,108 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6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4 to 100 years. </w:t>
      </w:r>
    </w:p>
    <w:p>
      <w:pPr>
        <w:pStyle w:val="TextBody"/>
        <w:bidi w:val="0"/>
        <w:spacing w:lineRule="auto" w:line="26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(b)Represents actuarial losses and gains and prior service cost that have not yet been recognized as components of net periodic benefit cost for certain pension and other postretirement benefit plans.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(c)Consists of debt fair value adjustments recognized through purchase accounting for the completed merger with CTWS in 2019.</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(d)Includes deferrals of pension and other postretirement benefit expense and cost of accrued benefits for vacation.</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(e)MWRAM is described in the following section.</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(f)Represents costs associated with SJWC’s CAP.</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(g)The California Public Utilities Commission (“CPUC”) has authorized water utilities to activate CEMA accounts in order to track savings and costs related to SJWC’s response to catastrophic events, which includes external labor and materials, increases in bad debt from suspension of shutoffs for non-payment, waived deposits and reconnection fees, and divergence from actual versus authorized usage. At December 31, 2023, balance primarily relates to increased bad debt expenses associated with SJWC’s response to COVID-19.</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(h)Represents the difference between revenues collected in interim rates in effect as of January 1, 2022 and revenues that would result from rates authorized in SJWC’s 2022 general rate case retroactive to January 1, 2022.</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(i)Reflects differences in actual water supply costs compared to amounts assumed in base rates, including applicable changes and variations in costs and quantities that affect the overall mix of the water supply.</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(j)Other includes other balancing and memorandum accounts and regulatory mechanisms, deferred costs for certain information technology activities, asset retirement obligations, tank painting, well reconditioning and rate case expenses.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(k)As of June 30, 2024, primarily relates to the current portion of CWC’s deferred well redevelopment and rate case costs. As of December 31, 2023, primarily relates to the current portion of MWRAM.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(l)Represents amounts collected in rates from customers for estimated costs to retire assets at the end of their expected useful lives before the costs are incurred.</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(m)On December 22, 2017 the Tax Cuts and Jobs Act of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 </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(n)Consists of Water Rate Adjustment mechanism (“WRA”) and Water Conservation Memorandum Account (“ WCMA”), which are described in the following section.</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(o)Other includes other balancing and memorandum accounts, other regulatory mechanisms and accrued tank painting costs.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(p)As of June 30, 2024 and December 31, 2023, primarily relates to the current portion of WRA.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has established balancing accounts for the purpose of tracking the under-collection or over-collection associated with expense changes and revenue authorized by the CPUC to offset those expense changes. SJWC has been authorized for the use of the Full Cost Balancing Account to track the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pStyle w:val="TextBody"/>
        <w:bidi w:val="0"/>
        <w:spacing w:lineRule="auto" w:line="288" w:before="120" w:after="283"/>
        <w:jc w:val="left"/>
        <w:rPr/>
      </w:pPr>
      <w:r>
        <w:rPr>
          <w:rFonts w:ascii="Times New Roman;sans-serif" w:hAnsi="Times New Roman;sans-serif"/>
          <w:b w:val="false"/>
          <w:color w:val="000000"/>
          <w:sz w:val="20"/>
        </w:rPr>
        <w:t xml:space="preserve">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WCMA allows SJWC to track lost revenue, net of related water costs, associated with reduced sales due to water conservation and associated calls for water use reductions, both mandatory and voluntary. SJWC records the lost revenue captured in the WCMA balancing accounts. Applicable drought surcharges collected are used to offset the revenue losses tracked in the WCMA. Mandatory water conservation requirements from </w:t>
      </w:r>
      <w:r>
        <w:rPr>
          <w:rFonts w:ascii="Times New Roman;sans-serif" w:hAnsi="Times New Roman;sans-serif"/>
          <w:b w:val="false"/>
          <w:color w:val="000000"/>
          <w:sz w:val="20"/>
          <w:shd w:fill="FFFFFF" w:val="clear"/>
        </w:rPr>
        <w:t xml:space="preserve">Santa Clara Valley Water District </w:t>
      </w:r>
      <w:r>
        <w:rPr>
          <w:rFonts w:ascii="Times New Roman;sans-serif" w:hAnsi="Times New Roman;sans-serif"/>
          <w:b w:val="false"/>
          <w:color w:val="000000"/>
          <w:sz w:val="20"/>
        </w:rPr>
        <w:t>(“Valley Water”)</w:t>
      </w:r>
      <w:r>
        <w:rPr>
          <w:color w:val="000000"/>
          <w:shd w:fill="FFFFFF" w:val="clear"/>
        </w:rPr>
        <w:t xml:space="preserve"> </w:t>
      </w:r>
      <w:r>
        <w:rPr>
          <w:rFonts w:ascii="Times New Roman;sans-serif" w:hAnsi="Times New Roman;sans-serif"/>
          <w:b w:val="false"/>
          <w:color w:val="000000"/>
          <w:sz w:val="20"/>
          <w:shd w:fill="FFFFFF" w:val="clear"/>
        </w:rPr>
        <w:t>ended on April 11, 2023, which also ended</w:t>
      </w:r>
      <w:r>
        <w:rPr>
          <w:color w:val="000000"/>
        </w:rPr>
        <w:t xml:space="preserve"> </w:t>
      </w:r>
      <w:r>
        <w:rPr>
          <w:rFonts w:ascii="Times New Roman;sans-serif" w:hAnsi="Times New Roman;sans-serif"/>
          <w:b w:val="false"/>
          <w:color w:val="000000"/>
          <w:sz w:val="20"/>
        </w:rPr>
        <w:t>SJWC’s Mandatory Conservation Plan, that included drought allocations and surcharges. On October 2, 2023, the CPUC approved the continuation of WCMA and Water Conservation Expense Memorandum Account under the voluntary call for conservation effective April 20, 2023.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CWC has been authorized by the Connecticut Public Utilities Regulatory Authority (“PURA”) to utilize a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SJW Group’s regulatory assets not earning a return primarily included unrecognized pensions and other postretirement benefits and business combination debt premiums. The total amount of regulatory assets not earning a return at June 30, 2024 and December 31, 2023, either by interest on the regulatory asset or as a component of rate base at the allowed rate of return, was $41,960 and $43,141,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3.Capitalization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SJW Group entered into Amendment No. 1 to the equity distribution agreement (the “Equity Distribution Agreement”), dated November 17, 2021, between SJW Group and J.P. Morgan Securities LLC, Janney Montgomery Scott LLC, RBC Capital Markets, LLC and Wells Fargo Securities, LLC, pursuant to which the company may offer and sell shares of its common stock, $0.001 par value per share, from time to time in “at-the-market” offerings, having an aggregate gross sales price of up to $240,000. For the three and six months ended June 30, 2024, SJW Group issued and sold a total of 458,605 and 584,630 shares of common stock, respectively, at a weighted average price of $56.13 and $56.35 per share, respectively, and received $25,296 and $32,302 in net proceeds, respectively, under the Equity Distribution Agreement. Since the inception of the Equity Distribution Agreement, SJW Group has issued and sold 2,589,287 shares of common stock at a weighted average price of $69.68 for a total net proceeds of $176,299 and has $59,567 of aggregate gross sales price of shares remaining to issue under the Equity Distribution Agreement. </w:t>
      </w:r>
    </w:p>
    <w:p>
      <w:pPr>
        <w:pStyle w:val="TextBody"/>
        <w:bidi w:val="0"/>
        <w:spacing w:before="0" w:after="0"/>
        <w:ind w:left="0" w:right="0" w:hanging="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4.Lines of Credit and Long-Term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contractual obligations and commitments include senior notes, bank term loans, revenue bonds, state revolving fund loans and other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Lines of Credit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interest rate on short-term borrowings outstanding at June 30, 2024, was 6.45% compared to 6.48% at December 31, 2023.</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Long-term Financing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15, 2023, CWC entered into a note purchase agreement with certain affiliates of American United Life Insurance, The State Life Insurance, Mutual of Omaha Insurance, and United of Omaha Life Insurance, pursuant to which the company sold an aggregate principal amount of $25,000 of its 6.46% Senior Notes, Series 2023 (“Series 2023 Notes”). The Series 2023 Notes are unsecured obligations of CWC and are due on January 1, 2054. Interest is payable semi-annually in arrears on January 15th and July 15th of each year. The closing of the notes purchase agreement occurred in January 2024.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income tax expense was $3,724 and 5,955, respectively. Income tax benefit for the three and six months ended June 30, 2023 was $1,512 and $434, respectively. The effective consolidated income tax rates were 15% and (9)% for the three months ended June 30, 2024 and 2023, respectively, and 16% and (1)% for the six months ended June 30, 2024 and 2023, respectively. The higher effective tax rate for the three and six months ended June 30, 2024 was primarily due to the partial release of an uncertain tax position reserve in the second quarter of 2023 and other discrete tax items.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had unrecognized tax benefits, before the impact of deductions of state taxes, excluding interest and penalties, of approximately $4,630 and $4,511 as of June 30, 2024 and December 31, 2023, respectively. SJW Group currently does not expect uncertain tax positions to change significantly over the next 12 months, except in the case of a lapse of the statute of limitations.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6.Commitments and Contingencies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7.Benefit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employees hired before March 1, 2012, and covered by a plan merged into the CWC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senior management hired before March 31, 2008, for SJWC and January 1, 2009 for CWC,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that are not pension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costs for the defined benefit plans and other postretirement benefits for the three and six months ended June 30, 2024 and 2023 are as follows:</w:t>
      </w:r>
    </w:p>
    <w:tbl>
      <w:tblPr>
        <w:tblW w:w="7391" w:type="dxa"/>
        <w:jc w:val="left"/>
        <w:tblInd w:w="0" w:type="dxa"/>
        <w:tblLayout w:type="fixed"/>
        <w:tblCellMar>
          <w:top w:w="28" w:type="dxa"/>
          <w:left w:w="28" w:type="dxa"/>
          <w:bottom w:w="28" w:type="dxa"/>
          <w:right w:w="28" w:type="dxa"/>
        </w:tblCellMar>
      </w:tblPr>
      <w:tblGrid>
        <w:gridCol w:w="1117"/>
        <w:gridCol w:w="982"/>
        <w:gridCol w:w="990"/>
        <w:gridCol w:w="211"/>
        <w:gridCol w:w="616"/>
        <w:gridCol w:w="109"/>
        <w:gridCol w:w="109"/>
        <w:gridCol w:w="109"/>
        <w:gridCol w:w="109"/>
        <w:gridCol w:w="344"/>
        <w:gridCol w:w="346"/>
        <w:gridCol w:w="156"/>
        <w:gridCol w:w="109"/>
        <w:gridCol w:w="109"/>
        <w:gridCol w:w="109"/>
        <w:gridCol w:w="211"/>
        <w:gridCol w:w="466"/>
        <w:gridCol w:w="109"/>
        <w:gridCol w:w="109"/>
        <w:gridCol w:w="109"/>
        <w:gridCol w:w="109"/>
        <w:gridCol w:w="269"/>
        <w:gridCol w:w="271"/>
        <w:gridCol w:w="213"/>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(gain) loss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47" w:type="dxa"/>
        <w:jc w:val="left"/>
        <w:tblInd w:w="0" w:type="dxa"/>
        <w:tblLayout w:type="fixed"/>
        <w:tblCellMar>
          <w:top w:w="28" w:type="dxa"/>
          <w:left w:w="28" w:type="dxa"/>
          <w:bottom w:w="28" w:type="dxa"/>
          <w:right w:w="28" w:type="dxa"/>
        </w:tblCellMar>
      </w:tblPr>
      <w:tblGrid>
        <w:gridCol w:w="1101"/>
        <w:gridCol w:w="968"/>
        <w:gridCol w:w="976"/>
        <w:gridCol w:w="211"/>
        <w:gridCol w:w="616"/>
        <w:gridCol w:w="109"/>
        <w:gridCol w:w="109"/>
        <w:gridCol w:w="109"/>
        <w:gridCol w:w="109"/>
        <w:gridCol w:w="344"/>
        <w:gridCol w:w="346"/>
        <w:gridCol w:w="156"/>
        <w:gridCol w:w="109"/>
        <w:gridCol w:w="109"/>
        <w:gridCol w:w="109"/>
        <w:gridCol w:w="211"/>
        <w:gridCol w:w="466"/>
        <w:gridCol w:w="109"/>
        <w:gridCol w:w="109"/>
        <w:gridCol w:w="109"/>
        <w:gridCol w:w="109"/>
        <w:gridCol w:w="269"/>
        <w:gridCol w:w="271"/>
        <w:gridCol w:w="213"/>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SJW Group expects to make required and discretionary cash contributions of up to $4,515 to the pension plans and other postretirement benefits. For the three and six months ended June 30, 2024, SJW Group has made $2,258 of contributions to such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8.Equity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long-term incentive plans provide employees, non-employee board members or the board of directors of any parent or subsidiary, consultants, and other independent advisors who provide services to the company or subsidiary the opportunity to acquire an equity interest in SJW Group. SJW Group also maintains stock plans in connection with its acquisition of CTWS which are no longer granting new stock awards. In addition, shares are issued to employees under SJW Group’s employee stock purchase plan (“ESPP”). As of June 30, 2024, 192,750 shares are issuable upon the vesting of outstanding restricted stock units and deferred restricted stock units and an additional 1,034,642 shares are available for award issuances under the long-term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compensation costs charged to income, by award type, and proceeds from the ESPP, are presented below for the three and six months ended June 30, 2024 and 2023:</w:t>
      </w:r>
    </w:p>
    <w:tbl>
      <w:tblPr>
        <w:tblW w:w="9647" w:type="dxa"/>
        <w:jc w:val="left"/>
        <w:tblInd w:w="0" w:type="dxa"/>
        <w:tblLayout w:type="fixed"/>
        <w:tblCellMar>
          <w:top w:w="28" w:type="dxa"/>
          <w:left w:w="28" w:type="dxa"/>
          <w:bottom w:w="28" w:type="dxa"/>
          <w:right w:w="28" w:type="dxa"/>
        </w:tblCellMar>
      </w:tblPr>
      <w:tblGrid>
        <w:gridCol w:w="1423"/>
        <w:gridCol w:w="1251"/>
        <w:gridCol w:w="1255"/>
        <w:gridCol w:w="294"/>
        <w:gridCol w:w="860"/>
        <w:gridCol w:w="152"/>
        <w:gridCol w:w="152"/>
        <w:gridCol w:w="152"/>
        <w:gridCol w:w="152"/>
        <w:gridCol w:w="308"/>
        <w:gridCol w:w="308"/>
        <w:gridCol w:w="156"/>
        <w:gridCol w:w="109"/>
        <w:gridCol w:w="109"/>
        <w:gridCol w:w="109"/>
        <w:gridCol w:w="268"/>
        <w:gridCol w:w="784"/>
        <w:gridCol w:w="138"/>
        <w:gridCol w:w="138"/>
        <w:gridCol w:w="138"/>
        <w:gridCol w:w="138"/>
        <w:gridCol w:w="308"/>
        <w:gridCol w:w="308"/>
        <w:gridCol w:w="156"/>
        <w:gridCol w:w="109"/>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costs charged to income:</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ESPP</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Restricted stock and deferred restricted stock</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costs charged to income</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proceeds</w:t>
            </w:r>
          </w:p>
        </w:tc>
        <w:tc>
          <w:tcPr>
            <w:tcW w:w="2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Restricted Stock and Deferred Restricted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SJW Group granted 24,692 and 9,610, respectively, one year and three year service-based restricted stock awards with a weighted average grant date fair value per unit of $50.04 and $75.28, respectively. For the six months ended June 30, 2024 and 2023, SJW Group granted 64,482 and 37,342, respectively, one year and three year service-based restricted stock awards with a weighted average grant date fair value per unit of $58.39 and $77.21,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SJW Group granted 356 target units of performance-based and market-based restricted stock awards with a weighted average grant date fair value per unit of $52.90 and no performance-based or market-based restricted stock awards were granted in the same period in 2023. For the six months ended June 30, 2024 and 2023, SJW Group granted 45,763 and 31,345 target units, respectively, of performance-based and market-based restricted stock awards with a weighted average grant date fair value per unit of $55.60 and $80.05, respectively.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total unrecognized compensation costs related to restricted and deferred restricted stock plans was $7,555. This cost is expected to be recognized over a weighted average period of 2.04 years.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recorded expenses for its ESPP were $106 and $203 for the three and six months ended June 30, 2024, respectively, and $106 and $196 for the three and six months ended June 30, 2023, respectively. The total unrecognized compensation costs related to the semi-annual offering period that ends July 31, 2024, for the ESPP is approximately $35. This cost is expected to be recognized during the third quarter of 2024.</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9.Segment and Non-Tariffed Business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a holding company with four subsidiaries: (i) SJWC, (ii) SJWTX Holdings, Inc., a holding company for TWC, its consolidated variable interest entity, Acequia Water Supply Corporation, TWOS and TWR, (iii) SJW Land Company, and (iv) SJWNE LLC, a holding company for CTWS and its subsidiaries, CWC, MWC, NEWUS and Chester Realty, Inc. The first segment provides water utility and utility-related services to its customers through SJW Group’s subsidiaries, SJWC, CWC, TWC, MWC, and NEWUS together referred to as “Water Utility Services.” Water Utility Services’ activities are water utility operations with both regulated and non-tariffed businesses. The second segment consists of property management and investment activity conducted by SJW Land Company and Chester Realty, Inc., referred to as “Real Estate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reportable segments have been determined based on information used by the chief operating decision maker. SJW Group’s chief operating decision maker includes the Chairman, President and Chief Executive Officer, and his executive staff. The executive staff reviews financial information presented on a consolidated basis that is accompanied by disaggregated information about operating revenue, net income and total assets, by subsidiary.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tbl>
      <w:tblPr>
        <w:tblW w:w="10521" w:type="dxa"/>
        <w:jc w:val="left"/>
        <w:tblInd w:w="0" w:type="dxa"/>
        <w:tblLayout w:type="fixed"/>
        <w:tblCellMar>
          <w:top w:w="28" w:type="dxa"/>
          <w:left w:w="28" w:type="dxa"/>
          <w:bottom w:w="28" w:type="dxa"/>
          <w:right w:w="28" w:type="dxa"/>
        </w:tblCellMar>
      </w:tblPr>
      <w:tblGrid>
        <w:gridCol w:w="577"/>
        <w:gridCol w:w="296"/>
        <w:gridCol w:w="298"/>
        <w:gridCol w:w="211"/>
        <w:gridCol w:w="826"/>
        <w:gridCol w:w="109"/>
        <w:gridCol w:w="109"/>
        <w:gridCol w:w="109"/>
        <w:gridCol w:w="109"/>
        <w:gridCol w:w="340"/>
        <w:gridCol w:w="340"/>
        <w:gridCol w:w="341"/>
        <w:gridCol w:w="109"/>
        <w:gridCol w:w="109"/>
        <w:gridCol w:w="109"/>
        <w:gridCol w:w="519"/>
        <w:gridCol w:w="271"/>
        <w:gridCol w:w="231"/>
        <w:gridCol w:w="109"/>
        <w:gridCol w:w="109"/>
        <w:gridCol w:w="109"/>
        <w:gridCol w:w="349"/>
        <w:gridCol w:w="349"/>
        <w:gridCol w:w="323"/>
        <w:gridCol w:w="109"/>
        <w:gridCol w:w="109"/>
        <w:gridCol w:w="109"/>
        <w:gridCol w:w="413"/>
        <w:gridCol w:w="413"/>
        <w:gridCol w:w="281"/>
        <w:gridCol w:w="109"/>
        <w:gridCol w:w="109"/>
        <w:gridCol w:w="109"/>
        <w:gridCol w:w="340"/>
        <w:gridCol w:w="340"/>
        <w:gridCol w:w="341"/>
        <w:gridCol w:w="109"/>
        <w:gridCol w:w="109"/>
        <w:gridCol w:w="109"/>
        <w:gridCol w:w="413"/>
        <w:gridCol w:w="413"/>
        <w:gridCol w:w="225"/>
      </w:tblGrid>
      <w:tr>
        <w:trPr/>
        <w:tc>
          <w:tcPr>
            <w:tcW w:w="5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0"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Three Months Ended June 30, 2024</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SJW Group</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132,249 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521" w:type="dxa"/>
        <w:jc w:val="left"/>
        <w:tblInd w:w="0" w:type="dxa"/>
        <w:tblLayout w:type="fixed"/>
        <w:tblCellMar>
          <w:top w:w="28" w:type="dxa"/>
          <w:left w:w="28" w:type="dxa"/>
          <w:bottom w:w="28" w:type="dxa"/>
          <w:right w:w="28" w:type="dxa"/>
        </w:tblCellMar>
      </w:tblPr>
      <w:tblGrid>
        <w:gridCol w:w="577"/>
        <w:gridCol w:w="296"/>
        <w:gridCol w:w="298"/>
        <w:gridCol w:w="211"/>
        <w:gridCol w:w="826"/>
        <w:gridCol w:w="109"/>
        <w:gridCol w:w="109"/>
        <w:gridCol w:w="109"/>
        <w:gridCol w:w="109"/>
        <w:gridCol w:w="340"/>
        <w:gridCol w:w="340"/>
        <w:gridCol w:w="341"/>
        <w:gridCol w:w="109"/>
        <w:gridCol w:w="109"/>
        <w:gridCol w:w="109"/>
        <w:gridCol w:w="519"/>
        <w:gridCol w:w="271"/>
        <w:gridCol w:w="231"/>
        <w:gridCol w:w="109"/>
        <w:gridCol w:w="109"/>
        <w:gridCol w:w="109"/>
        <w:gridCol w:w="349"/>
        <w:gridCol w:w="349"/>
        <w:gridCol w:w="323"/>
        <w:gridCol w:w="109"/>
        <w:gridCol w:w="109"/>
        <w:gridCol w:w="109"/>
        <w:gridCol w:w="413"/>
        <w:gridCol w:w="413"/>
        <w:gridCol w:w="281"/>
        <w:gridCol w:w="109"/>
        <w:gridCol w:w="109"/>
        <w:gridCol w:w="109"/>
        <w:gridCol w:w="340"/>
        <w:gridCol w:w="340"/>
        <w:gridCol w:w="341"/>
        <w:gridCol w:w="109"/>
        <w:gridCol w:w="109"/>
        <w:gridCol w:w="109"/>
        <w:gridCol w:w="413"/>
        <w:gridCol w:w="413"/>
        <w:gridCol w:w="225"/>
      </w:tblGrid>
      <w:tr>
        <w:trPr/>
        <w:tc>
          <w:tcPr>
            <w:tcW w:w="5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0"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Three Months Ended June 30, 2023</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SJW Group</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152,525 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156,886 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585" w:type="dxa"/>
        <w:jc w:val="left"/>
        <w:tblInd w:w="0" w:type="dxa"/>
        <w:tblLayout w:type="fixed"/>
        <w:tblCellMar>
          <w:top w:w="28" w:type="dxa"/>
          <w:left w:w="28" w:type="dxa"/>
          <w:bottom w:w="28" w:type="dxa"/>
          <w:right w:w="28" w:type="dxa"/>
        </w:tblCellMar>
      </w:tblPr>
      <w:tblGrid>
        <w:gridCol w:w="577"/>
        <w:gridCol w:w="296"/>
        <w:gridCol w:w="298"/>
        <w:gridCol w:w="211"/>
        <w:gridCol w:w="826"/>
        <w:gridCol w:w="109"/>
        <w:gridCol w:w="109"/>
        <w:gridCol w:w="109"/>
        <w:gridCol w:w="109"/>
        <w:gridCol w:w="340"/>
        <w:gridCol w:w="340"/>
        <w:gridCol w:w="341"/>
        <w:gridCol w:w="109"/>
        <w:gridCol w:w="109"/>
        <w:gridCol w:w="109"/>
        <w:gridCol w:w="519"/>
        <w:gridCol w:w="271"/>
        <w:gridCol w:w="231"/>
        <w:gridCol w:w="109"/>
        <w:gridCol w:w="109"/>
        <w:gridCol w:w="109"/>
        <w:gridCol w:w="360"/>
        <w:gridCol w:w="361"/>
        <w:gridCol w:w="323"/>
        <w:gridCol w:w="109"/>
        <w:gridCol w:w="109"/>
        <w:gridCol w:w="109"/>
        <w:gridCol w:w="413"/>
        <w:gridCol w:w="413"/>
        <w:gridCol w:w="281"/>
        <w:gridCol w:w="109"/>
        <w:gridCol w:w="109"/>
        <w:gridCol w:w="109"/>
        <w:gridCol w:w="360"/>
        <w:gridCol w:w="361"/>
        <w:gridCol w:w="341"/>
        <w:gridCol w:w="109"/>
        <w:gridCol w:w="109"/>
        <w:gridCol w:w="109"/>
        <w:gridCol w:w="413"/>
        <w:gridCol w:w="413"/>
        <w:gridCol w:w="225"/>
      </w:tblGrid>
      <w:tr>
        <w:trPr/>
        <w:tc>
          <w:tcPr>
            <w:tcW w:w="5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Six Months Ended June 30, 2024</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SJW Group</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316,961 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325,556 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250,030 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tbl>
      <w:tblPr>
        <w:tblW w:w="10585" w:type="dxa"/>
        <w:jc w:val="center"/>
        <w:tblInd w:w="0" w:type="dxa"/>
        <w:tblLayout w:type="fixed"/>
        <w:tblCellMar>
          <w:top w:w="28" w:type="dxa"/>
          <w:left w:w="28" w:type="dxa"/>
          <w:bottom w:w="28" w:type="dxa"/>
          <w:right w:w="28" w:type="dxa"/>
        </w:tblCellMar>
      </w:tblPr>
      <w:tblGrid>
        <w:gridCol w:w="577"/>
        <w:gridCol w:w="296"/>
        <w:gridCol w:w="298"/>
        <w:gridCol w:w="211"/>
        <w:gridCol w:w="826"/>
        <w:gridCol w:w="109"/>
        <w:gridCol w:w="109"/>
        <w:gridCol w:w="109"/>
        <w:gridCol w:w="109"/>
        <w:gridCol w:w="340"/>
        <w:gridCol w:w="340"/>
        <w:gridCol w:w="341"/>
        <w:gridCol w:w="109"/>
        <w:gridCol w:w="109"/>
        <w:gridCol w:w="109"/>
        <w:gridCol w:w="519"/>
        <w:gridCol w:w="271"/>
        <w:gridCol w:w="231"/>
        <w:gridCol w:w="109"/>
        <w:gridCol w:w="109"/>
        <w:gridCol w:w="109"/>
        <w:gridCol w:w="360"/>
        <w:gridCol w:w="361"/>
        <w:gridCol w:w="323"/>
        <w:gridCol w:w="109"/>
        <w:gridCol w:w="109"/>
        <w:gridCol w:w="109"/>
        <w:gridCol w:w="413"/>
        <w:gridCol w:w="413"/>
        <w:gridCol w:w="281"/>
        <w:gridCol w:w="109"/>
        <w:gridCol w:w="109"/>
        <w:gridCol w:w="109"/>
        <w:gridCol w:w="360"/>
        <w:gridCol w:w="361"/>
        <w:gridCol w:w="341"/>
        <w:gridCol w:w="109"/>
        <w:gridCol w:w="109"/>
        <w:gridCol w:w="109"/>
        <w:gridCol w:w="413"/>
        <w:gridCol w:w="413"/>
        <w:gridCol w:w="225"/>
      </w:tblGrid>
      <w:tr>
        <w:trPr/>
        <w:tc>
          <w:tcPr>
            <w:tcW w:w="5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Six Months Ended June 30, 2023</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SJW Group</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285,797 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294,182 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231,545 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    The “All Other” category for the three and six months ended June 30, 2024 and 2023, includes the accounts of SJW Group, SJWNE LLC, CTWS and SJWTX Holdings, Inc. on a stand-alone basis.</w:t>
      </w:r>
    </w:p>
    <w:p>
      <w:pPr>
        <w:pStyle w:val="TextBody"/>
        <w:bidi w:val="0"/>
        <w:spacing w:before="0" w:after="0"/>
        <w:ind w:left="0" w:right="0" w:hanging="720"/>
        <w:jc w:val="left"/>
        <w:rPr/>
      </w:pPr>
      <w:r>
        <w:rPr/>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SJW Group’s assets by segment are as follows:</w:t>
      </w:r>
    </w:p>
    <w:tbl>
      <w:tblPr>
        <w:tblW w:w="5518" w:type="dxa"/>
        <w:jc w:val="left"/>
        <w:tblInd w:w="0" w:type="dxa"/>
        <w:tblLayout w:type="fixed"/>
        <w:tblCellMar>
          <w:top w:w="28" w:type="dxa"/>
          <w:left w:w="28" w:type="dxa"/>
          <w:bottom w:w="28" w:type="dxa"/>
          <w:right w:w="28" w:type="dxa"/>
        </w:tblCellMar>
      </w:tblPr>
      <w:tblGrid>
        <w:gridCol w:w="825"/>
        <w:gridCol w:w="724"/>
        <w:gridCol w:w="730"/>
        <w:gridCol w:w="211"/>
        <w:gridCol w:w="976"/>
        <w:gridCol w:w="109"/>
        <w:gridCol w:w="109"/>
        <w:gridCol w:w="109"/>
        <w:gridCol w:w="109"/>
        <w:gridCol w:w="488"/>
        <w:gridCol w:w="488"/>
        <w:gridCol w:w="640"/>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4,199,172 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Non-tariffed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utility services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4,242,704 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4,345,067 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4,199,172 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Non-tariffed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4,345,067 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10.Acquisitions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TWC reached an agreement to acquire KT Water Development Ltd. (“KT Water Development”) and SJWTX Holdings, Inc. reached an agreement to acquire KT Water Resources, L.P. (“KT Water Resources”). The agreement between SJWTX Holdings, Inc. and KT Water Resources was assigned to TWR prior to closing. KT Water Development was an investor-owned water utility providing water to approximately 1,725 people through over 570 service connections in the Rockwall Ranch subdivision in southern Comal County, Texas. KT Water Resources was a wholesale groundwater resource supplier to KT Water Development formed to develop wholesale water supplies for the fast-growing utilities of Comal County, Texas. The Public Utility Commission of Texas (“PUCT”) approved the proposed KT Water Development acquisition on July 24, 2023. The acquisition of KT Water Resources did not require PUCT approval. Both transactions closed on August 14, 2023. Further information regarding each of the acquisitions is set forth below.</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KT Water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of KT Water Development was $7,338, all of which was cash, and was determined in accordance with a fair market value process defined under the Texas Water Code. The transaction was accounted for as a business combination in accordance with Accounting Standards Codification (“ASC”) Topic 805—“Business Combinations.” The transaction consideration was allocated to utility plant. The final purchase price allocation was completed during the quarter ended March 31, 2024, with no change from the preliminary purchase price allocation. Transaction costs were not material. The results of KT Water Development are included in SJW Group’s consolidated statements of comprehensive income since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ind w:left="0" w:right="0" w:hanging="216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were not material. Pro forma financial information has not been presented because the acquisition was not material to SJW Group’s consolidated financial statements.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KT Water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purchase price of KT Water Resources of $39,891 and consisted of a $24,491 up-front cash payment and an obligation for a post-closing production payment with an acquisition date fair value of $15,400. Considering transaction costs of $170, the total cost of the acquisition was $40,061. The KT Water Resources acquisition was accounted for as an asset acquisition in accordance with ASC Topic 805.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cost was allocated as follows based on the fair values of the assets acquired: $28,386 to other intangible asset, $11,684 to nonutility property, and $9 to other current liabilities. The other intangible asset represents indefinite life water rights. The nonutility property consists of wells, land, easements, and construction work in progress.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post-closing production payment represents an obligation to pay a total amount of $29,000 to the seller over a period up to 29 years. The repayment schedule is based on the quantity of groundwater produced from the acquired wells, subject to certain provisions in the purchase agreement. The fair value of the post-closing payment as of the acquisition date was determined by discounting forecasted repayments based on management’s estimates of future groundwater production. The difference between the fair value of $15,400 and the gross obligation of $29,000 was recorded as a debt discount and is being amortized as interest expense using the effective interest method over the life of the obligation. The post-closing production payment obligation is classified as long-term debt in the condensed consolidated balance sheets.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2.MANAGEMENT’S DISCUSSION AND ANALYSIS OF FINANCIAL CONDITION AND RESULTS OF OPERATIONS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(Dollar amounts in thousands, except per share amounts and where otherwise noted)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2023.</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SJW Group’s Annual Report on Form 10-K for the year ended December 31, 2023 under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a holding company whose primary business involves ownership of public utilities that provide water and wastewater services, including the production, purchase, storage, purification, distribution, wholesale and retail sale of water. The water utility business of SJW Group is conducted through four wholly owned subsidiaries: San Jose Water Company (“SJWC”), Connecticut Water Company (“CWC”), The Maine Water Company (“MWC”) and SJWTX, Inc. doing business as Texas Water Company (“TWC”). These subsidiaries provide water service to approximately 403,000 connections and wastewater service to approximately 4,000 connections and serve a combined population of over 1.5 million people in California, Connecticut, Maine and Texas. Water utility services provided by these businesses are subject to regulation by the applicable state public utility commissions. These subsidiaries also engage in non-tariffed operations that are not subject to public utility commission regulation, including contract water and sewer operations, maintenance agreements, and antenna site leases. Collectively, these water utility and utility-related services form our “Water Utility Services” segment.</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Group’s second segment, “Real Estate Services,” consists of property management and investment activity conducted by SJW Land Company and Chester Realty, Inc., which own undeveloped land and operate commercial buildings in California and Connecticut. In the second quarter of 2024, SJW Land Company completed the sale of its Tennessee properties.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Business Strategy for Water Utility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focuses its business initiatives in three strategic areas: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(1)Investing in regional regulated water utility operations to support the health, safety and quality of life of our customers;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(2)Regional non-tariffed water utility-related services provided in accordance with the guidelines established by the CPUC in California, the Public Utilities Regulatory Authority (“PURA”) in Connecticut, the Public Utilities Commission of Texas (“PUCT”) in Texas, and the Maine Public Utilities Commission (“MPUC”) in Maine;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(3)Out-of-region water and utility-related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pursuit of the above three strategic areas, we consider from time to time opportunities to acquire businesses and assets. However, we cannot be certain we will be successful in identifying and consummating any strategic business combinations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Please also see </w:t>
      </w:r>
      <w:hyperlink w:anchor="iee4c391d23c646499961bd95b954071a_64">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of “Notes to Condensed Consolidated Financial Statements” for SJW Group’s recent acquisition activities.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Real Estate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real estate investment activity is conducted through SJW Land Company and Chester Realty, Inc. SJW Land Company owns undeveloped land in California. At the end of the second quarter of 2024, all of Tennessee properties have been sold. Chester Realty, Inc. owns and operates land and commercial buildings in Connecticut. SJW Land Company and Chester Realty, Inc. manage their acquired income-producing and other properties until such time a determination is made to reinvest proceeds from the sale of such properties.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on the accounting policies used and disclosed in our 2023 consolidated financial statements and accompanying notes that were prepared in accordance with accounting principles generally accepted in the United States of America and included as part of our annual report on Form 10-K for the year ended December 31, 2023, that was filed with the Securities and Exchange Commission on February 23,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described in Management’s Discussion and Analysis of Financial Condition and Results of Operations included in our annual report on Form 10-K for the year ended December 31, 2023. Our significant accounting policies are described in the notes to the 2023 consolidated financial statements included in our annual report on Form 10-K for the year ended December 31, 2023. There have been no changes to our critical or significant accounting policies during the three and six months ended June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1 of “Notes to Unaudited Condensed Consolidated Financial Statements” for a discussion of new accounting pronouncements.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 </w:t>
      </w:r>
    </w:p>
    <w:p>
      <w:pPr>
        <w:pStyle w:val="TextBody"/>
        <w:bidi w:val="0"/>
        <w:spacing w:lineRule="auto" w:line="288" w:before="12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Overview</w:t>
      </w:r>
    </w:p>
    <w:p>
      <w:pPr>
        <w:pStyle w:val="TextBody"/>
        <w:bidi w:val="0"/>
        <w:spacing w:lineRule="auto" w:line="288" w:before="120" w:after="283"/>
        <w:jc w:val="left"/>
        <w:rPr/>
      </w:pPr>
      <w:r>
        <w:rPr>
          <w:rFonts w:ascii="Times New Roman;sans-serif" w:hAnsi="Times New Roman;sans-serif"/>
          <w:b w:val="false"/>
          <w:color w:val="000000"/>
          <w:sz w:val="20"/>
        </w:rPr>
        <w:t>SJW Group’s consolidated net income for the three months ended June 30, 2024 was $20,696, an increase of $2,410, or approximately 13%, from $18,286 for the same period in 2023. SJW Group’s consolidated net income for the six months ended June 30, 2024 was</w:t>
      </w:r>
      <w:r>
        <w:rPr>
          <w:color w:val="EE2724"/>
        </w:rPr>
        <w:t xml:space="preserve"> </w:t>
      </w:r>
      <w:r>
        <w:rPr>
          <w:rFonts w:ascii="Times New Roman;sans-serif" w:hAnsi="Times New Roman;sans-serif"/>
          <w:b w:val="false"/>
          <w:color w:val="000000"/>
          <w:sz w:val="20"/>
        </w:rPr>
        <w:t xml:space="preserve">$32,395, an increase of $2,579, or approximately 9%, from $29,816 for the same period in 2023. The increase in net income in both periods was primarily driven by rate increases in California, increases in Texas from customer growth, and an increase from higher customer usage driven primarily by weather conditions and the end of California mandatory water conservation requirements in April 2023. These factors were offset by higher water production expenses, increased depreciation and amortization for new utility plant placed in service, and higher interest and income tax expense.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Revenue</w:t>
      </w:r>
    </w:p>
    <w:tbl>
      <w:tblPr>
        <w:tblW w:w="7884" w:type="dxa"/>
        <w:jc w:val="left"/>
        <w:tblInd w:w="0" w:type="dxa"/>
        <w:tblLayout w:type="fixed"/>
        <w:tblCellMar>
          <w:top w:w="28" w:type="dxa"/>
          <w:left w:w="28" w:type="dxa"/>
          <w:bottom w:w="28" w:type="dxa"/>
          <w:right w:w="28" w:type="dxa"/>
        </w:tblCellMar>
      </w:tblPr>
      <w:tblGrid>
        <w:gridCol w:w="749"/>
        <w:gridCol w:w="658"/>
        <w:gridCol w:w="663"/>
        <w:gridCol w:w="260"/>
        <w:gridCol w:w="1019"/>
        <w:gridCol w:w="134"/>
        <w:gridCol w:w="134"/>
        <w:gridCol w:w="134"/>
        <w:gridCol w:w="134"/>
        <w:gridCol w:w="413"/>
        <w:gridCol w:w="413"/>
        <w:gridCol w:w="156"/>
        <w:gridCol w:w="109"/>
        <w:gridCol w:w="109"/>
        <w:gridCol w:w="109"/>
        <w:gridCol w:w="236"/>
        <w:gridCol w:w="927"/>
        <w:gridCol w:w="122"/>
        <w:gridCol w:w="122"/>
        <w:gridCol w:w="122"/>
        <w:gridCol w:w="122"/>
        <w:gridCol w:w="413"/>
        <w:gridCol w:w="413"/>
        <w:gridCol w:w="213"/>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Revenue by Segment</w:t>
            </w:r>
          </w:p>
        </w:tc>
      </w:tr>
      <w:tr>
        <w:trPr/>
        <w:tc>
          <w:tcPr>
            <w:tcW w:w="2070" w:type="dxa"/>
            <w:gridSpan w:val="3"/>
            <w:vMerge w:val="continue"/>
            <w:tcBorders/>
            <w:tcMar>
              <w:top w:w="0" w:type="dxa"/>
              <w:left w:w="0" w:type="dxa"/>
              <w:bottom w:w="0" w:type="dxa"/>
              <w:right w:w="0" w:type="dxa"/>
            </w:tcMar>
            <w:vAlign w:val="center"/>
          </w:tcPr>
          <w:p>
            <w:pPr>
              <w:pStyle w:val="Normal"/>
              <w:bidi w:val="0"/>
              <w:jc w:val="left"/>
              <w:rPr/>
            </w:pPr>
            <w:r>
              <w:rPr/>
            </w:r>
          </w:p>
        </w:tc>
        <w:tc>
          <w:tcPr>
            <w:tcW w:w="2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175,397 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176,174 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156,886 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325,556 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294,182 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consolidated operating revenues was due to the following factors:</w:t>
      </w:r>
    </w:p>
    <w:tbl>
      <w:tblPr>
        <w:tblW w:w="7371" w:type="dxa"/>
        <w:jc w:val="left"/>
        <w:tblInd w:w="0" w:type="dxa"/>
        <w:tblLayout w:type="fixed"/>
        <w:tblCellMar>
          <w:top w:w="28" w:type="dxa"/>
          <w:left w:w="28" w:type="dxa"/>
          <w:bottom w:w="28" w:type="dxa"/>
          <w:right w:w="28" w:type="dxa"/>
        </w:tblCellMar>
      </w:tblPr>
      <w:tblGrid>
        <w:gridCol w:w="1053"/>
        <w:gridCol w:w="924"/>
        <w:gridCol w:w="932"/>
        <w:gridCol w:w="211"/>
        <w:gridCol w:w="721"/>
        <w:gridCol w:w="109"/>
        <w:gridCol w:w="109"/>
        <w:gridCol w:w="109"/>
        <w:gridCol w:w="109"/>
        <w:gridCol w:w="203"/>
        <w:gridCol w:w="203"/>
        <w:gridCol w:w="271"/>
        <w:gridCol w:w="109"/>
        <w:gridCol w:w="109"/>
        <w:gridCol w:w="109"/>
        <w:gridCol w:w="211"/>
        <w:gridCol w:w="721"/>
        <w:gridCol w:w="109"/>
        <w:gridCol w:w="109"/>
        <w:gridCol w:w="109"/>
        <w:gridCol w:w="109"/>
        <w:gridCol w:w="203"/>
        <w:gridCol w:w="203"/>
        <w:gridCol w:w="316"/>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Increase/(decrease) in Operating Revenues</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June 30,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Consumption changes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increases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mechanisms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operating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Expense</w:t>
      </w:r>
    </w:p>
    <w:tbl>
      <w:tblPr>
        <w:tblW w:w="7898" w:type="dxa"/>
        <w:jc w:val="left"/>
        <w:tblInd w:w="0" w:type="dxa"/>
        <w:tblLayout w:type="fixed"/>
        <w:tblCellMar>
          <w:top w:w="28" w:type="dxa"/>
          <w:left w:w="28" w:type="dxa"/>
          <w:bottom w:w="28" w:type="dxa"/>
          <w:right w:w="28" w:type="dxa"/>
        </w:tblCellMar>
      </w:tblPr>
      <w:tblGrid>
        <w:gridCol w:w="754"/>
        <w:gridCol w:w="662"/>
        <w:gridCol w:w="668"/>
        <w:gridCol w:w="260"/>
        <w:gridCol w:w="1019"/>
        <w:gridCol w:w="134"/>
        <w:gridCol w:w="134"/>
        <w:gridCol w:w="134"/>
        <w:gridCol w:w="134"/>
        <w:gridCol w:w="413"/>
        <w:gridCol w:w="413"/>
        <w:gridCol w:w="156"/>
        <w:gridCol w:w="109"/>
        <w:gridCol w:w="109"/>
        <w:gridCol w:w="109"/>
        <w:gridCol w:w="236"/>
        <w:gridCol w:w="927"/>
        <w:gridCol w:w="122"/>
        <w:gridCol w:w="122"/>
        <w:gridCol w:w="122"/>
        <w:gridCol w:w="122"/>
        <w:gridCol w:w="413"/>
        <w:gridCol w:w="413"/>
        <w:gridCol w:w="213"/>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Expense by Segment</w:t>
            </w:r>
          </w:p>
        </w:tc>
      </w:tr>
      <w:tr>
        <w:trPr/>
        <w:tc>
          <w:tcPr>
            <w:tcW w:w="2084" w:type="dxa"/>
            <w:gridSpan w:val="3"/>
            <w:vMerge w:val="continue"/>
            <w:tcBorders/>
            <w:tcMar>
              <w:top w:w="0" w:type="dxa"/>
              <w:left w:w="0" w:type="dxa"/>
              <w:bottom w:w="0" w:type="dxa"/>
              <w:right w:w="0" w:type="dxa"/>
            </w:tcMar>
            <w:vAlign w:val="center"/>
          </w:tcPr>
          <w:p>
            <w:pPr>
              <w:pStyle w:val="Normal"/>
              <w:bidi w:val="0"/>
              <w:jc w:val="left"/>
              <w:rPr/>
            </w:pPr>
            <w:r>
              <w:rPr/>
            </w:r>
          </w:p>
        </w:tc>
        <w:tc>
          <w:tcPr>
            <w:tcW w:w="2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234,748 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257,073 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237,846 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consolidated operating expense was due to the following factors:</w:t>
      </w:r>
    </w:p>
    <w:tbl>
      <w:tblPr>
        <w:tblW w:w="10205" w:type="dxa"/>
        <w:jc w:val="left"/>
        <w:tblInd w:w="0" w:type="dxa"/>
        <w:tblLayout w:type="fixed"/>
        <w:tblCellMar>
          <w:top w:w="28" w:type="dxa"/>
          <w:left w:w="28" w:type="dxa"/>
          <w:bottom w:w="28" w:type="dxa"/>
          <w:right w:w="28" w:type="dxa"/>
        </w:tblCellMar>
      </w:tblPr>
      <w:tblGrid>
        <w:gridCol w:w="2200"/>
        <w:gridCol w:w="1821"/>
        <w:gridCol w:w="1826"/>
        <w:gridCol w:w="211"/>
        <w:gridCol w:w="616"/>
        <w:gridCol w:w="109"/>
        <w:gridCol w:w="109"/>
        <w:gridCol w:w="109"/>
        <w:gridCol w:w="109"/>
        <w:gridCol w:w="202"/>
        <w:gridCol w:w="204"/>
        <w:gridCol w:w="271"/>
        <w:gridCol w:w="109"/>
        <w:gridCol w:w="109"/>
        <w:gridCol w:w="109"/>
        <w:gridCol w:w="211"/>
        <w:gridCol w:w="721"/>
        <w:gridCol w:w="109"/>
        <w:gridCol w:w="109"/>
        <w:gridCol w:w="109"/>
        <w:gridCol w:w="109"/>
        <w:gridCol w:w="202"/>
        <w:gridCol w:w="204"/>
        <w:gridCol w:w="317"/>
      </w:tblGrid>
      <w:tr>
        <w:trPr/>
        <w:tc>
          <w:tcPr>
            <w:tcW w:w="2200"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84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 in Operating Expense</w:t>
            </w:r>
          </w:p>
        </w:tc>
      </w:tr>
      <w:tr>
        <w:trPr/>
        <w:tc>
          <w:tcPr>
            <w:tcW w:w="5847" w:type="dxa"/>
            <w:gridSpan w:val="3"/>
            <w:vMerge w:val="continue"/>
            <w:tcBorders/>
            <w:tcMar>
              <w:top w:w="0" w:type="dxa"/>
              <w:left w:w="0" w:type="dxa"/>
              <w:bottom w:w="0" w:type="dxa"/>
              <w:right w:w="0" w:type="dxa"/>
            </w:tcMar>
            <w:vAlign w:val="center"/>
          </w:tcPr>
          <w:p>
            <w:pPr>
              <w:pStyle w:val="Normal"/>
              <w:bidi w:val="0"/>
              <w:jc w:val="left"/>
              <w:rPr/>
            </w:pPr>
            <w:r>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June 30,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production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surface water use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usage and new customers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 and groundwater extraction charge, energy price change and other production expenses,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Balancing and memorandum accounts cost recovery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production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operating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r>
        <w:trPr/>
        <w:tc>
          <w:tcPr>
            <w:tcW w:w="58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Sources of Water Supply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SJWC’s water supply consists of groundwater from wells, surface water from watershed run-off and diversion, reclaimed water, and imported water purchased from Santa Clara Valley Water District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charges and purchased power are tracked in SJWC’s Full Cost Balancing Account authorized by the CPUC.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water conditions remained positive across the State of California. As a result, the California Department of Water Resources (“DWR”) announced an increase in the State Water Project allocation from 15% to 30% of contract amount during the first quarter of 2024 and the U.S Bureau of Reclamation announced an increase in the Central Valley Project allocation from 65% to 75% during the same period. The DWR further announced an increase in the State Water Project allocation from 30% to 40% of contract amount during the second quarter of 2024 while the U.S Bureau of Reclamation’s Central Valley Project allocation remained at 75% during the same period. On July 1, 2024, Valley Water’s 10 reservoirs were 34% of capacity, or 91% of restricted capacity, with 18.6 billion gallons of water in storage. Valley Water’s largest reservoir, Anderson, remained drained for a dam seismic retrofit project. Valley Water also reported that the managed groundwater recharge from January to June in the Santa Clara Plain was 142% of the five-year average. The groundwater level in the Santa Clara Plain is approximately four feet lower than June 2023. According to Valley Water, the projected total groundwater storage at the end of 2024 is expected to be in the Normal Stage of the Water Shortage Contingency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SJWC’s Lake Elsman was 98.1% of capacity with 2.0 billion gallons of water, approximately 173.8% of the five-year seasonal average. In addition, the rainfall at SJWC’s Lake Elsman was measured at 49.98 inches for the period from July 1, 2023 through June 30, 2024, which is 106.3% of the five-year average. SJWC’s Montevina Water Treatment Plant treated 2.2 billion gallons of water for the six months ended June 30, 2024, which is 140% of the five-year average. SJWC’s Saratoga Water Treatment Plant remains offline until the next rain season (November to March). SJWC believes that its various sources of water supply will be sufficient to meet customer demand through the remainder of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CWC’s water sources vary among the individual systems, but overall, approximately 80% of the total dependable yield comes from surface water supplies and 20% from wells. In addition, CWC has water supply agreements to supplement its water supply with the South Central Connecticut Regional Water Authority and The Metropolitan District that expire in 2058 and 2053,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TWC’s water supply consists of groundwater from wells and purchased treated and untreated raw water from local water agencies. TWC has long-term agreements with the Guadalupe-Blanco River Authority (“GBRA”), which expire in 2037, 2040, 2044 and 2050. The agreements, which are take-or-pay contracts, provide TWC with an aggregate of 7,650 acre-feet of water per year from Canyon Lake at prices that may be adjusted periodically by GBRA. TWC also has raw water supply agreements with the Lower Colorado River Authority and West Travis Public Utility Agency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the KT Water System continues with eight wells and the associated water rights. These wells have been projected to yield an additional 6,000 acre-feet per year or more. Our staff is currently working on acquiring easements and routing of the waterline and infrastructure needed to move this water into our Triple Peak water system to serve existing customers and planned new developments.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Texas service area is currently experiencing drought conditions; current day activities include a stoppage of bulk hauling and enacting Stage 4 drought restrictions halting all outdoor watering in July. These water usage restrictions will likely impact revenue in 2024. TWC began a water supply study to update its Drought Management Plan submitted previously to the Texas Commission of Environmental Quality. Based on draft results, future capital investment of transmission main and storage is planned with TWC working to further develop supply sources to meet customer demands.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sources at MWC vary among the individual systems, but overall, approximately 90% of the total dependable yield comes from surface water supplies and 10% from wells. MWC has a water supply agreement with the Kennebec Water District expiring in 2040.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 in sources of water supply, in billion gallons, for Water Utility Services:</w:t>
      </w:r>
    </w:p>
    <w:tbl>
      <w:tblPr>
        <w:tblW w:w="10205" w:type="dxa"/>
        <w:jc w:val="left"/>
        <w:tblInd w:w="0" w:type="dxa"/>
        <w:tblLayout w:type="fixed"/>
        <w:tblCellMar>
          <w:top w:w="28" w:type="dxa"/>
          <w:left w:w="28" w:type="dxa"/>
          <w:bottom w:w="28" w:type="dxa"/>
          <w:right w:w="28" w:type="dxa"/>
        </w:tblCellMar>
      </w:tblPr>
      <w:tblGrid>
        <w:gridCol w:w="520"/>
        <w:gridCol w:w="392"/>
        <w:gridCol w:w="360"/>
        <w:gridCol w:w="309"/>
        <w:gridCol w:w="217"/>
        <w:gridCol w:w="156"/>
        <w:gridCol w:w="156"/>
        <w:gridCol w:w="156"/>
        <w:gridCol w:w="156"/>
        <w:gridCol w:w="309"/>
        <w:gridCol w:w="217"/>
        <w:gridCol w:w="156"/>
        <w:gridCol w:w="109"/>
        <w:gridCol w:w="109"/>
        <w:gridCol w:w="109"/>
        <w:gridCol w:w="266"/>
        <w:gridCol w:w="266"/>
        <w:gridCol w:w="267"/>
        <w:gridCol w:w="109"/>
        <w:gridCol w:w="109"/>
        <w:gridCol w:w="109"/>
        <w:gridCol w:w="284"/>
        <w:gridCol w:w="211"/>
        <w:gridCol w:w="527"/>
        <w:gridCol w:w="109"/>
        <w:gridCol w:w="109"/>
        <w:gridCol w:w="109"/>
        <w:gridCol w:w="283"/>
        <w:gridCol w:w="228"/>
        <w:gridCol w:w="148"/>
        <w:gridCol w:w="148"/>
        <w:gridCol w:w="148"/>
        <w:gridCol w:w="148"/>
        <w:gridCol w:w="283"/>
        <w:gridCol w:w="228"/>
        <w:gridCol w:w="148"/>
        <w:gridCol w:w="109"/>
        <w:gridCol w:w="109"/>
        <w:gridCol w:w="109"/>
        <w:gridCol w:w="266"/>
        <w:gridCol w:w="266"/>
        <w:gridCol w:w="267"/>
        <w:gridCol w:w="109"/>
        <w:gridCol w:w="109"/>
        <w:gridCol w:w="109"/>
        <w:gridCol w:w="280"/>
        <w:gridCol w:w="202"/>
        <w:gridCol w:w="602"/>
      </w:tblGrid>
      <w:tr>
        <w:trPr/>
        <w:tc>
          <w:tcPr>
            <w:tcW w:w="52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2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Change</w:t>
            </w:r>
          </w:p>
        </w:tc>
      </w:tr>
      <w:tr>
        <w:trPr/>
        <w:tc>
          <w:tcPr>
            <w:tcW w:w="1272" w:type="dxa"/>
            <w:gridSpan w:val="3"/>
            <w:vMerge w:val="continue"/>
            <w:tcBorders/>
            <w:tcMar>
              <w:top w:w="0" w:type="dxa"/>
              <w:left w:w="0" w:type="dxa"/>
              <w:bottom w:w="0" w:type="dxa"/>
              <w:right w:w="0" w:type="dxa"/>
            </w:tcMar>
            <w:vAlign w:val="center"/>
          </w:tcPr>
          <w:p>
            <w:pPr>
              <w:pStyle w:val="Normal"/>
              <w:bidi w:val="0"/>
              <w:jc w:val="left"/>
              <w:rPr/>
            </w:pPr>
            <w:r>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(billion gallons)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(billion gallons)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Groundwater</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water</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Reclaimed water</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source of supply mix were consistent with the changes in the water production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SJWC’s unaccounted-for water on a 12-month-to-date basis for June 30, 2024 and 2023 approximated 7.4% and 10.1%, respectively, as a percentage of total production. The unaccounted-for water estimate is based on the results of past experience and the impact of flows through the system, partially offset by SJWC’s main replacements and lost water reduction programs.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 Water Service, Inc. (“CTWS”)’s unaccounted-for water on a 12-month-to-date basis for June 30, 2024 and 2023 approximated 13.6% and 13.8%, respectively, as a percentage of total production.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Water Production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water production expenses of $8,584 for the three months ended June 30, 2024, compared to the same period in 2023, was primarily attributable to increases in average per unit costs for purchased water, groundwater extraction, and other production expenses, and increases in customer usage, offset by decreases resulting from other production costs and regulatory adjustments for SJWC’s Full Cost Balancing Account.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water production expenses of $13,359 for the six months ended June 30, 2024, compared to the same period in 2023, was primarily attributable to increases in average per unit costs for purchased water, groundwater extraction, and other production expenses, customer usage, and increases resulting from other production costs and regulatory adjustments.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July 1, 2023, Valley Water increased the unit price of purchased water by approximately 14% and the groundwater extraction charge by approximately 15%. SJWC was notified by Valley Water that the unit price of purchased water and the groundwater extraction charge was increased 12% and 13%, respectively, effective July 1, 2024.</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excluding water production expenses, increased $1,292 for the three months ended June 30, 2024, compared to the same period in 2023. The increase was primarily attributable to increases in depreciation related to new utility plant additions, adjustments to certain regulatory assets as a result of the final decision in the CWC rate case, and security expenses, offset by decreases in administrative and general expenses primarily from decreases in the allowance for credit losses of $5,009 and higher allocations to construction activities, offset by inflationary increases.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excluding water production expenses, increased $5,868 for the six months ended June 30, 2024, compared to the same period in 2023. The increase was primarily attributable to increases in depreciation and amortization for new utility plant placed in service, adjustments to certain regulatory assets as a result of the final decision in the CWC rate case, security expenses, and compensation costs offset by decreases in administrative and general expenses primarily from decreases in the allowance for credit losses of $6,261 and higher allocations to construction activities, offset by inflationary increases. The higher allocations and inflationary increases are expected to impact the remainder of 2024.</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(Expense)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compared to the same period in 2023, the change in other (expense) income was primarily due to an increase in interest expense due to an increase in higher average balances and interest rates on lines of credit borrowings and a $909 loss on sale of real estate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compared to the same period in 2023, the change in other (expense) income was primarily due to an increase in interest expense due to higher average balances and interest rates, decreases in pension non-service cost, decreases in gains from real estate sale transactions of $1,473, and increases from changes in the Rabbi Trust and life insurance policy values.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compared to the same period in 2023, income tax expense increased $5,236 and $6,389, respectively. The increase in income tax expense for the three and six months ended June 30, 2024 was primarily due to the higher pre-tax income in 2024 and partial release of an uncertain tax position reserve in the second quarter of 2023. The effective consolidated income tax rates were 15% and (9)% for the three months ended June 30, 2024 and 2023, respectively, and 16% and (1)% for the six months ended June 30, 2024 and 2023, respectively. The higher effective tax rate for the three and six months ended June 30, 2024, was primarily due to the partial release of an uncertain tax position reserve in the second quarter of 2023 and other discrete tax items.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Regulation and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Almost all of the operating revenue of SJW Group results from the sale of water at rates authorized by the subsidiaries’ respective state utilities commissions. The state utilities commissions set rates that are intended to provide revenue sufficient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 operating expenses and the opportunity to achieve a specified return on common equity. The timing of rate decisions could have an impact on the results of operations.</w:t>
      </w:r>
    </w:p>
    <w:p>
      <w:pPr>
        <w:pStyle w:val="TextBody"/>
        <w:bidi w:val="0"/>
        <w:spacing w:lineRule="auto" w:line="256" w:before="160" w:after="283"/>
        <w:jc w:val="left"/>
        <w:rPr/>
      </w:pPr>
      <w:r>
        <w:rPr>
          <w:rFonts w:ascii="Times New Roman;sans-serif" w:hAnsi="Times New Roman;sans-serif"/>
          <w:b w:val="false"/>
          <w:color w:val="000000"/>
          <w:sz w:val="20"/>
        </w:rPr>
        <w:t xml:space="preserve">Please also see </w:t>
      </w:r>
      <w:hyperlink w:anchor="iee4c391d23c646499961bd95b954071a_37">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of “Notes to Condensed Consolidated Financial Statements.”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California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601 on October 13, 2023, to inform the CPUC that the Water Cost of Capital Mechanism (“WCCM”) authorized in Decision No. 23-06-025 required an update to SJWC’s authorized rate of return effective January 1, 2024. The filing requested an adjusted return on equity of 10.01%, a cost of debt of 5.28%, and a resulting authorized rate of return of 7.86%. Advice Letter No. 601 was approved with an effective date of January 1, 2024. Separate from the filing, the return on equity was further adjusted by a 20 bps reduction for the reimplementation of the Water Conservation Memorandum Account resulting in an overall rate of return of 7.75%.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603 on November 14, 2023, to establish a Group Insurance Balancing Account to track the difference between the company’s authorized versus actual costs for medical, dental, and opt-out insurance expenses. Advice Letter No. 603 was approved with an effective date of January 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605 on November 21, 2023, to increase the authorized revenue requirement by $21,270, or 4.16%, for the attrition year increase in accordance with the 2022 GRC Decision and the adjusted Rate of Return approved in Advice Letter No. 601. Advice Letter No. 605 was approved with an effective date of January 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15, 2023, SJWC, along with three other California water utilities, filed a joint request for one-year deferment on the cost of capital filings which would otherwise be due on May 1, 2024. Postponing the filing a year alleviates administrative processing costs on the utilities as well as the CPUC staff, and provides relief for both CPUC and utility resources already strained by numerous other proceedings. The request is conditioned on leaving the current WCCM in place such that any adjustments will be made to the respective utilities’ cost of capital during the one-year deferment based on the mechanism. The request was approved on February 2,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 2024, SJWC filed General Rate Case Application No. 24-01-001 with the CPUC to increase rates charged for water service by $55,196 or 11.11% in 2025, by $22,041 or 3.99% in 2026, and by $25,809 or 4.49% in 2027. The application proposed a $540,000 three-year capital budget and includes requests to recover $23,462 from balancing and memorandum accounts, further alignment between actual and authorized usage, and a shift to greater revenue collection in the service charge. The application will undergo a year-long review process and new rates, if approved, are expected to be effective January 1, 2025. On June 14, 2024, SJWC notified the CPUC that it had reached an all-party settlement agreement in principle with the Public Advocates Office and Water Rate Advocates for Transparency, Equity and Sustainability, also known as WRATES, in its 2025 through 2027 general rate case application on all but two policy issues that will be litigated. Per the procedural ruling, the formal settlement motion and agreement will be submitted by August 19, 2024. Briefs on the two policy issues will also be submitted by August 19, 2024. A decision on the GRC and/or the settlement agreement is expected by the CPUC in the fourth quarter of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609 on May 16, 2024, to increase the authorized revenue requirement by $28,275, or 5.3%, to offset the increases to purchased potable water charges, the groundwater extraction fee, and purchased recycled water charges from its water wholesalers effective July 1, 2024. Advice Letter No. 609 was approved with an effective date of July 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610/610A on May 23, 2024, to increase the authorized revenue requirement by $768, or 0.14%, to recover revenue related the plant additions for the Advanced Metering Infrastructure project. Advice Letter No. 610/610A was approved with an effective date of July 1, 2024.</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Connecticut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2023, CWC filed an application with PURA to adjust customer rates. The proposal requested an increase in annual revenues of approximately $21,400, or 18.1%, over current authorized revenues. On June 28, 2024, PURA issued a final decision authorizing an increase in annual revenues of $6,455, or 5.5%, with the ability to earn additional revenue of $1,116 through the annual Water Revenue Adjustment (“WRA”) filing for achievement of certain performance metrics. In addition, the decision authorized a return on equity of 9.3% on a capital structure comprised of 53% equity and 47% long term debt. New rates became effective on July 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2023, CWC submitted an application to PURA for the approval to issue unsecured notes in the amount of $25,000. A decision from PURA approving the application was received on January 10,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26, 2024, CWC filed its 2023 Water Infrastructure Conservation Adjustment (“WICA”) reconciliation with PURA. The reconciliation, approved by PURA on March 27, 2024 and effective for 12 months beginning April 1, 2024, replaced the expiring 2022 reconciliation credit of 0.16% with a credit of 0.13%. The cumulative WICA surcharge as of April 1, 2024 is 7.41%, collecting $7,835 on an annual basis. Based on the general rate case decision, as of July 1, 2024, the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WICA surcharge will be reset to zero; however, the credit of 0.13% for 2023 reconciliation will continue to apply into 2025.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CWC filed its 2023 WRA. The mechanism reconciles 2023 revenues as authorized in the CWC’s most recent rate case. The 2023 WRA, as approved by PURA on March 11, 2024 and effective for 12 months beginning on April 1, 2024, imposed a 2.11% sur-credit on customer bills to refund the 2022 revenues over-collection.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2024, CWC submitted an application to PURA for the approval to issue unsecured notes in an amount of up to $150,000. PURA has 60 days to issue an order in the docket. </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Texas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TWC has no current general rate case pending. However, it filed its application to establish a System Improvement Charge (“SIC”) with the PUCT under Docket No. 54430 on December 30, 2022. SIC filings are used to include certain utility plant additions made since 2020 to its rate base, thereby increasing revenue and avoiding the immediate need for a general rate case. On March 21, 2024, the PUCT filed the final order approving TWC’s request to implement its SIC. As a result of the final order, the SIC is projected to increase TWC’s water revenue by $1,574 and sewer revenue by $28 within one year of the approval. Additionally, TWC is required to file a general rate case within four years. TWC plans to incrementally increase its SIC annually until its next rate case. Notwithstanding the SIC filing, TWC will continue to file its annual adjustments for the Water Pass-through Charges (“WPC”) for Canyon Lake, Deer Creek and Kendall West customers. All water supply cost increases are recoverable when the next annual WPC adjustment for each system is filed.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10, 2023, TWC filed an application with the PUCT to acquire the Elm Ridge water system that serves 21 residential customers. TWC has asked for filed rate doctrine treatment, which allows the acquiring utility’s current rates to be applied at the time of acquisition. On December 12, 2023, the Administrative Law Judge filed Order No. 11, which allowed TWC to proceed and the acquisition closed on January 26, 2024. The final order, which transfers the Certificate of Convenience and Necessity (“CCN”) and allows filed rate doctrine, is expected to be approved during the third quarter of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24, 2023, the PUCT approved TWC's application to acquire KT Water Development Ltd. (“KT Water Development”). KT Water Development provides service to approximately 570 residential water connections. On August 14, 2023, TWC closed on the acquisition. On March 7, 2024, the PUCT filed the final order which transferred the CCN to TWC, approved the fair market value, and allowed TWC to charge its existing rates to the customers of KT Water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5, 2024, TWC filed an application with the PUCT to acquire the 3009 Water Company LLC water system that serves approximately 270 residential connections. TWC requested fair market value and to apply TWC’s existing rates to the customers being acquired. TWC received the PUCT’s approval to proceed with the transaction and expects to close during the second half of 2024.</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Maine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rates approved in the Biddeford Saco division by the April 5, 2022 stipulated agreement, which authorized a rate increase of $6,313, or 72.5% went into effect on July 1, 2022. The Saco River Drinking Water Resource Center began supplying the water distribution system on June 16, 2022. As part of the stipulated agreement, MWC agreed to file a final phase of the rate case by April 1, 2023. The third filing was submitted on March 31, 2023. Step 3 of the planned multi-year rate filings for the Saco River Drinking Water Resource Center was filed in accordance with the MPUC order on March 31, 2023. The filing requested an increase in revenue requirement of $2,949, or 19.9% and requested that the increase be implemented over two years with a 12% increase effective July 1, 2023 followed by a 9% increase effective July 1, 2024 with a slight decrease in year three to reach the overall 19.9% requested. On August 25, 2023, the MPUC issued an order granting a temporary rate increase of $1,495 or 10% while the case and the company’s full request were litigated. The company reached a settlement agreement with staff and the Office of the Public Advocate and filed a stipulated settlement agreement with the MPUC on December 22, 2023. The MPUC approved the stipulation in deliberations on January 5, 2024, with an increase in authorized annual revenue of $2,603, or 17.6%, effective January 1, 2024. The Biddeford Saco division’s increase in rates is based on an authorized return on equity of 9.5% along with a capital structure of 49% debt and 51% equity. This return on equity and capital structure will be used for any future Water Infrastructure Surcharge (“WISC”) calculations for all divisions until the MPUC has authorized or approved a different return on equity structure in a different proceeding.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MWC filed a WISC for the Camden-Rockland division. The requested surcharge is 2.34% or $158. The MPUC issued an order approving the surcharge on March 22,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24, 2024, MWC filed a WISC in both the Freeport and Oakland divisions. The combined requested surcharge is 3.00% or $52. The MPUC is expected to issue a decision in the third quarter of 2024. </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Regulatory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the U.S. Environmental Protection Agency issued final new national primary drinking water regulations for six PFAS. The regulations impose maximum contaminant levels and monitoring requirements for the nation’s water systems for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PFAS chemicals under the Safe Drinking Water Act. The final regulation requires water systems to comply with PFAS monitoring and reporting requirements by 2027, and to comply with the maximum contaminant levels by 2029. SJW Group estimates capital expenditures of approximately $230,000 for PFAS treatment based on finalized maximum contaminant levels. See discussion below under “Liquidity” for additional information on capital expenditures.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SJW Group generated cash flows from operations of approximately $100,500, compared to approximately $97,400 for the same period in 2023.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approximately $3,100. This increase was the result of a combination of the following factors: (1) increased tax accruals of $7,000 compared to the prior period, and (2) an increase of $3,000 attributable to changes in payments of amounts previously invoiced and accrued including accrued production costs, (3) general working capital and net income, adjusted for non-cash items, increased by $2,800, and offset by (4) a decrease of $3,600 attributable to changes in regulatory assets and liabilities, including the effect of lower surcharge collections on balancing and memorandum accounts, and (5) a decrease attributable to accounts receivable and accrued unbilled utility revenue of $6,100, primarily related to the decrease in the allowance for credit losses. </w:t>
      </w:r>
    </w:p>
    <w:p>
      <w:pPr>
        <w:pStyle w:val="TextBody"/>
        <w:bidi w:val="0"/>
        <w:spacing w:lineRule="auto" w:line="288" w:before="120" w:after="283"/>
        <w:jc w:val="left"/>
        <w:rPr/>
      </w:pPr>
      <w:r>
        <w:rPr>
          <w:rFonts w:ascii="Times New Roman;sans-serif" w:hAnsi="Times New Roman;sans-serif"/>
          <w:b w:val="false"/>
          <w:color w:val="000000"/>
          <w:sz w:val="20"/>
        </w:rPr>
        <w:t>As of June 30, 2024, Water Utility Services’ write-offs for uncollectible accounts represented less than 1% of its total revenue, which decreased from 1% as of June 30, 2023. Management believes that the collection rate will continue to improve for its accounts receivables as service disconnections return to normal operations. On December 28, 2023, SJWC submitted the application through the State of California Water and Wastewater Arrearages Payment Program to relieve outstanding payment delinquencies for customer accounts greater than 60-days past due as of December 31, 2022.</w:t>
      </w:r>
      <w:r>
        <w:rPr>
          <w:color w:val="000000"/>
          <w:shd w:fill="FFFFFF" w:val="clear"/>
        </w:rPr>
        <w:t xml:space="preserve"> </w:t>
      </w:r>
      <w:r>
        <w:rPr>
          <w:rFonts w:ascii="Times New Roman;sans-serif" w:hAnsi="Times New Roman;sans-serif"/>
          <w:b w:val="false"/>
          <w:color w:val="000000"/>
          <w:sz w:val="20"/>
        </w:rPr>
        <w:t xml:space="preserve">We received $9,130 in the second quarter of 2024 under the State of California Water and Wastewater Arrearages Payment Program.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SJW Group used cash flows from investing activities of approximately $131,000, compared to approximately $125,400 for the same period in 2023. This increase was primarily driven by additions to utility plant, offset by proceeds of $40,600 for the completed sales of the Tennessee properties. SJW Group used approximately: (1) $158,400 of cash for company-funded utility capital expenditures and (2) $11,800 for developer-funded utility capital expenditures during the six months ended June 30, 2024. For the same period in 2023, SJW Group used approximately: (1) $115,700 of cash for company-funded utility capital expenditures and (2) $9,300 for developer-funded utility capital expenditures, and (3) $500 for utility plant retirements.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Water Utility Services’ estimated utility capital expenditures for 2024, exclusive of capital expenditures financed by customer contributions and advances, are anticipated to be approximately $332,000. As of June 30, 2024, approximately $158,400, or 48%, of the $332,000 has been invested.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 capital expenditures are incurred in connection with normal upgrading and expansion of existing facilities and to comply with environmental regulations. Over the next five years, Water Utility Services expects to incur approximately $1,621,000 in capital expenditures, which includes replacement of pipes and mains, maintaining water systems, and installing PFAS treatment.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six months ended June 30, 2024 increased by approximately $2,400 from the same period in the prior year, primarily as a result of (1) an increase in net borrowings and repayments on our lines of credit of $121,400, offset by (2) a decrease in net borrowings and repayments on long-term debt of $84,900, and (3) a decrease in net proceeds from our common stock equity offerings of $31,500.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Sources of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Financing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and its subsidiaries have unsecured line of credit agreements where borrowings are used to refinance existing debt, for working capital, and for general corporate purposes.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line of credit agreements as of June 30, 2024 are as follows:</w:t>
      </w:r>
    </w:p>
    <w:tbl>
      <w:tblPr>
        <w:tblW w:w="9406" w:type="dxa"/>
        <w:jc w:val="left"/>
        <w:tblInd w:w="0" w:type="dxa"/>
        <w:tblLayout w:type="fixed"/>
        <w:tblCellMar>
          <w:top w:w="28" w:type="dxa"/>
          <w:left w:w="28" w:type="dxa"/>
          <w:bottom w:w="28" w:type="dxa"/>
          <w:right w:w="28" w:type="dxa"/>
        </w:tblCellMar>
      </w:tblPr>
      <w:tblGrid>
        <w:gridCol w:w="1042"/>
        <w:gridCol w:w="917"/>
        <w:gridCol w:w="920"/>
        <w:gridCol w:w="449"/>
        <w:gridCol w:w="449"/>
        <w:gridCol w:w="451"/>
        <w:gridCol w:w="109"/>
        <w:gridCol w:w="109"/>
        <w:gridCol w:w="109"/>
        <w:gridCol w:w="211"/>
        <w:gridCol w:w="826"/>
        <w:gridCol w:w="109"/>
        <w:gridCol w:w="109"/>
        <w:gridCol w:w="109"/>
        <w:gridCol w:w="109"/>
        <w:gridCol w:w="564"/>
        <w:gridCol w:w="564"/>
        <w:gridCol w:w="566"/>
        <w:gridCol w:w="109"/>
        <w:gridCol w:w="109"/>
        <w:gridCol w:w="109"/>
        <w:gridCol w:w="426"/>
        <w:gridCol w:w="400"/>
        <w:gridCol w:w="531"/>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Unused Portion</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Syndicated credit agreement:</w:t>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TWC</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syndicated credit agreement</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 credit agreement</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 credit agreement</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217,495 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132,505 </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cost of borrowing on the lines of credit averaged 6.53% compared to 5.96% in the same period in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June 30, 2024, SJW Group and its subsidiaries were in compliance with all covenants on their lines of credit.</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Long-term Financing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15, 2023, CWC entered into a note purchase agreement with certain affiliates of American United Life Insurance, The State Life Insurance, Mutual of Omaha Insurance, and United of Omaha Life Insurance, pursuant to which the company sold an aggregate principal amount of $25,000 of its 6.46% Senior Notes, Series 2023 (“Series 2023 Notes”). The Series 2023 Notes are unsecured obligations of CWC and are due on January 1, 2054. Interest is payable semi-annually in arrears on January 15th and July 15th of each year. The closing of the notes purchase agreement occurred on January 22,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June 30, 2024, SJW Group and its subsidiaries were in compliance with all covenants in their long-term debt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balance of 2024, SJW Group subsidiaries plan to raise approximately $160,000 in long-term debt to pay down the line of credit agreements.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Financing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SJW Group entered into Amendment No. 1 to the equity distribution agreement (the “Equity Distribution Agreement”), dated November 17, 2021, between SJW Group and J.P. Morgan Securities LLC, Janney Montgomery Scott LLC, RBC Capital Markets, LLC and Wells Fargo Securities, LLC, pursuant to which the company may offer and sell shares of its common stock, $0.001 par value per share, from time to time in “at-the-market” offerings, having an aggregate gross sales price of up to $240,000. For the three and six months ended June 30, 2024, SJW Group issued and sold a total of 458,605 and 584,630 shares of common stock, respectively, with a weighted average price of $56.13 and $56.35 per share, respectively, and received $25,296 and $32,302 in net proceeds, respectively, under the Equity Distribution Agreement. Since the inception of the Equity Distribution Agreement, SJW Group has issued and sold 2,589,287 shares of common stock at a weighted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price of $69.68 for a total net proceeds of $176,299 and has $59,567 of aggregate gross sales price of shares remaining to issue under the Equity Distribution Agreement.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Credit Rating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2024 and 2023 activities, we will have access to the external funding sources necessary to implement our ongoing capital investment programs in the future. SJW Group, CTWS and CWC were put on negative watch on September 19, 2023. Standard &amp; Poor’s noted the change in outlook is due to recent regulatory and legislative developments in Connecticut that are not consistent with Standard &amp; Poor’s view of the regulatory framework for investor owned utilities.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are the current Standard &amp; Poor’s Rating Service assigned company ratings:</w:t>
      </w:r>
    </w:p>
    <w:tbl>
      <w:tblPr>
        <w:tblW w:w="3176" w:type="dxa"/>
        <w:jc w:val="left"/>
        <w:tblInd w:w="0" w:type="dxa"/>
        <w:tblLayout w:type="fixed"/>
        <w:tblCellMar>
          <w:top w:w="28" w:type="dxa"/>
          <w:left w:w="28" w:type="dxa"/>
          <w:bottom w:w="28" w:type="dxa"/>
          <w:right w:w="28" w:type="dxa"/>
        </w:tblCellMar>
      </w:tblPr>
      <w:tblGrid>
        <w:gridCol w:w="374"/>
        <w:gridCol w:w="328"/>
        <w:gridCol w:w="333"/>
        <w:gridCol w:w="109"/>
        <w:gridCol w:w="109"/>
        <w:gridCol w:w="109"/>
        <w:gridCol w:w="200"/>
        <w:gridCol w:w="200"/>
        <w:gridCol w:w="201"/>
        <w:gridCol w:w="109"/>
        <w:gridCol w:w="109"/>
        <w:gridCol w:w="109"/>
        <w:gridCol w:w="259"/>
        <w:gridCol w:w="259"/>
        <w:gridCol w:w="368"/>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Outlook</w:t>
            </w:r>
          </w:p>
        </w:tc>
      </w:tr>
      <w:tr>
        <w:trPr/>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 Group’s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 </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has no derivative financial instruments, financial instruments with significant off-balance sheet risks, or financial instruments with concentrations of credit risk.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ans-serif" w:hAnsi="Times New Roman;sans-serif"/>
          <w:b/>
          <w:color w:val="000000"/>
          <w:sz w:val="20"/>
        </w:rPr>
        <w:t>ITEM 4.</w:t>
      </w:r>
      <w:r>
        <w:rPr>
          <w:color w:val="000000"/>
        </w:rPr>
        <w:t> </w:t>
      </w:r>
      <w:r>
        <w:rPr>
          <w:rFonts w:ascii="Times New Roman;sans-serif" w:hAnsi="Times New Roman;sans-serif"/>
          <w:b/>
          <w:color w:val="000000"/>
          <w:sz w:val="20"/>
        </w:rPr>
        <w:t>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internal control over financial reporting during the second fiscal quarter of 2024 that has materially affected, or is reasonably likely to materially affect, the internal controls over financial reporting of SJW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subject to ordinary routine litigation incidental to its business. In October 2023, The Connecticut Water Company, a subsidiary of SJW Group, was named as a defendant in a class action lawsuit alleging that the water provided by Connecticut Water contained contaminants. Connecticut Water intends to vigorously defend itself in this lawsuit.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factors discussed in the “Risk Factors” in SJW Group’s annual report on Form 10-K for the year ended December 31, 2023 and our other public filings, which could materially affect our business, financial condition or future results. There have been no material changes from risk factors previously disclosed in “Risk Factors” in SJW Group’s annual report on Form 10-K for the year ended December 31, 2023.</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Quarterly Dividend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24, 2024, the Board of Directors of SJW Group declared the regular quarterly dividend of $0.40 per share of common stock. The dividend will be paid on September 3, 2024, to stockholders of record as of the close of business on August 5, 2024.</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Insider Trading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quarter ended June 30, 2024,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Information Web Sites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posts information about the operating and financial performance of SJW Group and its subsidiaries on its web sites at www.sjwgroup.com, www.sjwater.com, www.ctwater.com, www.txwaterco.com, and www.mainewater.com from time to time. The information on our web sites is not a part of and should not be considered incorporated by reference into this Form 10-Q.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4"/>
        <w:gridCol w:w="251"/>
        <w:gridCol w:w="252"/>
        <w:gridCol w:w="109"/>
        <w:gridCol w:w="109"/>
        <w:gridCol w:w="109"/>
        <w:gridCol w:w="2709"/>
        <w:gridCol w:w="2628"/>
        <w:gridCol w:w="3754"/>
      </w:tblGrid>
      <w:tr>
        <w:trPr/>
        <w:tc>
          <w:tcPr>
            <w:tcW w:w="28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20"/>
                  <w:u w:val="single"/>
                </w:rPr>
                <w:t>C</w:t>
              </w:r>
            </w:hyperlink>
            <w:hyperlink r:id="rId3">
              <w:r>
                <w:rPr>
                  <w:rStyle w:val="InternetLink"/>
                  <w:rFonts w:ascii="Times New Roman;sans-serif" w:hAnsi="Times New Roman;sans-serif"/>
                  <w:b w:val="false"/>
                  <w:color w:val="000080"/>
                  <w:sz w:val="20"/>
                  <w:u w:val="single"/>
                </w:rPr>
                <w:t xml:space="preserve">ertificate of Amendment of the Certificate of Incorporation of SJW Group, dated </w:t>
              </w:r>
            </w:hyperlink>
            <w:hyperlink r:id="rId4">
              <w:r>
                <w:rPr>
                  <w:rStyle w:val="InternetLink"/>
                  <w:rFonts w:ascii="Times New Roman;sans-serif" w:hAnsi="Times New Roman;sans-serif"/>
                  <w:b w:val="false"/>
                  <w:color w:val="000080"/>
                  <w:sz w:val="20"/>
                  <w:u w:val="single"/>
                </w:rPr>
                <w:t>June 20, 2024. In</w:t>
              </w:r>
            </w:hyperlink>
            <w:hyperlink r:id="rId5">
              <w:r>
                <w:rPr>
                  <w:rStyle w:val="InternetLink"/>
                  <w:rFonts w:ascii="Times New Roman;sans-serif" w:hAnsi="Times New Roman;sans-serif"/>
                  <w:b w:val="false"/>
                  <w:color w:val="000080"/>
                  <w:sz w:val="20"/>
                  <w:u w:val="single"/>
                </w:rPr>
                <w:t xml:space="preserve">corporated by reference to Exhibit 3.1 to </w:t>
              </w:r>
            </w:hyperlink>
            <w:hyperlink r:id="rId6">
              <w:r>
                <w:rPr>
                  <w:rStyle w:val="InternetLink"/>
                  <w:rFonts w:ascii="Times New Roman;sans-serif" w:hAnsi="Times New Roman;sans-serif"/>
                  <w:b w:val="false"/>
                  <w:color w:val="000080"/>
                  <w:sz w:val="20"/>
                  <w:u w:val="single"/>
                </w:rPr>
                <w:t>Form 8-K filed on June 2</w:t>
              </w:r>
            </w:hyperlink>
            <w:hyperlink r:id="rId7">
              <w:r>
                <w:rPr>
                  <w:rStyle w:val="InternetLink"/>
                  <w:rFonts w:ascii="Times New Roman;sans-serif" w:hAnsi="Times New Roman;sans-serif"/>
                  <w:b w:val="false"/>
                  <w:color w:val="000080"/>
                  <w:sz w:val="20"/>
                  <w:u w:val="single"/>
                </w:rPr>
                <w:t>1</w:t>
              </w:r>
            </w:hyperlink>
            <w:hyperlink r:id="rId8">
              <w:r>
                <w:rPr>
                  <w:rStyle w:val="InternetLink"/>
                  <w:rFonts w:ascii="Times New Roman;sans-serif" w:hAnsi="Times New Roman;sans-serif"/>
                  <w:b w:val="false"/>
                  <w:color w:val="000080"/>
                  <w:sz w:val="20"/>
                  <w:u w:val="single"/>
                </w:rPr>
                <w:t>, 2024.</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80"/>
                  <w:sz w:val="20"/>
                  <w:u w:val="single"/>
                </w:rPr>
                <w:t>R</w:t>
              </w:r>
            </w:hyperlink>
            <w:hyperlink r:id="rId10">
              <w:r>
                <w:rPr>
                  <w:rStyle w:val="InternetLink"/>
                  <w:rFonts w:ascii="Times New Roman;sans-serif" w:hAnsi="Times New Roman;sans-serif"/>
                  <w:b w:val="false"/>
                  <w:color w:val="000080"/>
                  <w:sz w:val="20"/>
                  <w:u w:val="single"/>
                </w:rPr>
                <w:t xml:space="preserve">estated Certificate of Incorporation of SJW Group, dated June 20, 2024. Incorporated by reference to Exhibit 3.2 to </w:t>
              </w:r>
            </w:hyperlink>
            <w:hyperlink r:id="rId11">
              <w:r>
                <w:rPr>
                  <w:rStyle w:val="InternetLink"/>
                  <w:rFonts w:ascii="Times New Roman;sans-serif" w:hAnsi="Times New Roman;sans-serif"/>
                  <w:b w:val="false"/>
                  <w:color w:val="000080"/>
                  <w:sz w:val="20"/>
                  <w:u w:val="single"/>
                </w:rPr>
                <w:t>Fo</w:t>
              </w:r>
            </w:hyperlink>
            <w:hyperlink r:id="rId12">
              <w:r>
                <w:rPr>
                  <w:rStyle w:val="InternetLink"/>
                  <w:rFonts w:ascii="Times New Roman;sans-serif" w:hAnsi="Times New Roman;sans-serif"/>
                  <w:b w:val="false"/>
                  <w:color w:val="000080"/>
                  <w:sz w:val="20"/>
                  <w:u w:val="single"/>
                </w:rPr>
                <w:t>rm 8-K filed on June 2</w:t>
              </w:r>
            </w:hyperlink>
            <w:hyperlink r:id="rId13">
              <w:r>
                <w:rPr>
                  <w:rStyle w:val="InternetLink"/>
                  <w:rFonts w:ascii="Times New Roman;sans-serif" w:hAnsi="Times New Roman;sans-serif"/>
                  <w:b w:val="false"/>
                  <w:color w:val="000080"/>
                  <w:sz w:val="20"/>
                  <w:u w:val="single"/>
                </w:rPr>
                <w:t>1</w:t>
              </w:r>
            </w:hyperlink>
            <w:hyperlink r:id="rId14">
              <w:r>
                <w:rPr>
                  <w:rStyle w:val="InternetLink"/>
                  <w:rFonts w:ascii="Times New Roman;sans-serif" w:hAnsi="Times New Roman;sans-serif"/>
                  <w:b w:val="false"/>
                  <w:color w:val="000080"/>
                  <w:sz w:val="20"/>
                  <w:u w:val="single"/>
                </w:rPr>
                <w:t>, 2024.</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63024xex311.htm">
              <w:r>
                <w:rPr>
                  <w:rStyle w:val="InternetLink"/>
                  <w:rFonts w:ascii="Times New Roman;sans-serif" w:hAnsi="Times New Roman;sans-serif"/>
                  <w:b w:val="false"/>
                  <w:color w:val="0000FF"/>
                  <w:sz w:val="20"/>
                  <w:u w:val="single"/>
                </w:rPr>
                <w:t>Certification Pursuant to Rule 13a-14(a)/15d-14(a) by Chairman, President and Chief Executive Officer.</w:t>
              </w:r>
            </w:hyperlink>
            <w:r>
              <w:rPr>
                <w:color w:val="000000"/>
              </w:rPr>
              <w:t xml:space="preserve"> </w:t>
            </w:r>
            <w:r>
              <w:rPr>
                <w:rFonts w:ascii="Times New Roman;sans-serif" w:hAnsi="Times New Roman;sans-serif"/>
                <w:b w:val="false"/>
                <w:color w:val="000000"/>
                <w:sz w:val="20"/>
              </w:rPr>
              <w:t>(1)</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63024xex312.htm">
              <w:r>
                <w:rPr>
                  <w:rStyle w:val="InternetLink"/>
                  <w:rFonts w:ascii="Times New Roman;sans-serif" w:hAnsi="Times New Roman;sans-serif"/>
                  <w:b w:val="false"/>
                  <w:color w:val="000080"/>
                  <w:sz w:val="20"/>
                  <w:u w:val="single"/>
                </w:rPr>
                <w:t>Certification Pursuant to Rule 13a-14(a)/15d-14(a) by Chief Financial Officer, Treasurer</w:t>
              </w:r>
            </w:hyperlink>
            <w:hyperlink w:anchor="sjw-63024xex312.htm">
              <w:r>
                <w:rPr>
                  <w:rStyle w:val="InternetLink"/>
                  <w:rFonts w:ascii="Times New Roman;sans-serif" w:hAnsi="Times New Roman;sans-serif"/>
                  <w:b w:val="false"/>
                  <w:color w:val="000080"/>
                  <w:sz w:val="20"/>
                  <w:u w:val="single"/>
                </w:rPr>
                <w:t xml:space="preserve"> and Interim Principal Accounting Officer.</w:t>
              </w:r>
            </w:hyperlink>
            <w:r>
              <w:rPr>
                <w:color w:val="000000"/>
              </w:rPr>
              <w:t xml:space="preserve"> </w:t>
            </w:r>
            <w:r>
              <w:rPr>
                <w:rFonts w:ascii="Times New Roman;sans-serif" w:hAnsi="Times New Roman;sans-serif"/>
                <w:b w:val="false"/>
                <w:color w:val="000000"/>
                <w:sz w:val="20"/>
              </w:rPr>
              <w:t>(1)</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63024xex321.htm">
              <w:r>
                <w:rPr>
                  <w:rStyle w:val="InternetLink"/>
                  <w:rFonts w:ascii="Times New Roman;sans-serif" w:hAnsi="Times New Roman;sans-serif"/>
                  <w:b w:val="false"/>
                  <w:color w:val="0000FF"/>
                  <w:sz w:val="20"/>
                  <w:u w:val="single"/>
                </w:rPr>
                <w:t>Certification Pursuant to 18 U.S.C. Section 1350 by Chairman, President and Chief Executive Officer, as adopted pursuant to Section 906 of the Sarbanes-Oxley Act of 2002.</w:t>
              </w:r>
            </w:hyperlink>
            <w:r>
              <w:rPr>
                <w:color w:val="000000"/>
              </w:rPr>
              <w:t xml:space="preserve"> </w:t>
            </w:r>
            <w:r>
              <w:rPr>
                <w:rFonts w:ascii="Times New Roman;sans-serif" w:hAnsi="Times New Roman;sans-serif"/>
                <w:b w:val="false"/>
                <w:color w:val="000000"/>
                <w:sz w:val="20"/>
              </w:rPr>
              <w:t>(1)</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63024xex322.htm">
              <w:r>
                <w:rPr>
                  <w:rStyle w:val="InternetLink"/>
                  <w:rFonts w:ascii="Times New Roman;sans-serif" w:hAnsi="Times New Roman;sans-serif"/>
                  <w:b w:val="false"/>
                  <w:color w:val="000080"/>
                  <w:sz w:val="20"/>
                  <w:u w:val="single"/>
                </w:rPr>
                <w:t>Certification Pursuant to 18 U.S.C. Section 1350 by Chief Financial Officer</w:t>
              </w:r>
            </w:hyperlink>
            <w:hyperlink w:anchor="sjw-63024xex322.htm">
              <w:r>
                <w:rPr>
                  <w:rStyle w:val="InternetLink"/>
                  <w:rFonts w:ascii="Times New Roman;sans-serif" w:hAnsi="Times New Roman;sans-serif"/>
                  <w:b w:val="false"/>
                  <w:color w:val="000080"/>
                  <w:sz w:val="20"/>
                  <w:u w:val="single"/>
                </w:rPr>
                <w:t>,</w:t>
              </w:r>
            </w:hyperlink>
            <w:hyperlink w:anchor="sjw-63024xex322.htm">
              <w:r>
                <w:rPr>
                  <w:rStyle w:val="InternetLink"/>
                  <w:rFonts w:ascii="Times New Roman;sans-serif" w:hAnsi="Times New Roman;sans-serif"/>
                  <w:b w:val="false"/>
                  <w:color w:val="000080"/>
                  <w:sz w:val="20"/>
                  <w:u w:val="single"/>
                </w:rPr>
                <w:t xml:space="preserve"> Treasurer</w:t>
              </w:r>
            </w:hyperlink>
            <w:hyperlink w:anchor="sjw-63024xex322.htm">
              <w:r>
                <w:rPr>
                  <w:rStyle w:val="InternetLink"/>
                  <w:rFonts w:ascii="Times New Roman;sans-serif" w:hAnsi="Times New Roman;sans-serif"/>
                  <w:b w:val="false"/>
                  <w:color w:val="000080"/>
                  <w:sz w:val="20"/>
                  <w:u w:val="single"/>
                </w:rPr>
                <w:t xml:space="preserve"> and Interim Principal Accounting Officer</w:t>
              </w:r>
            </w:hyperlink>
            <w:hyperlink w:anchor="sjw-63024xex322.htm">
              <w:r>
                <w:rPr>
                  <w:rStyle w:val="InternetLink"/>
                  <w:rFonts w:ascii="Times New Roman;sans-serif" w:hAnsi="Times New Roman;sans-serif"/>
                  <w:b w:val="false"/>
                  <w:color w:val="000080"/>
                  <w:sz w:val="20"/>
                  <w:u w:val="single"/>
                </w:rPr>
                <w:t xml:space="preserve"> as adopted pursuant to Section 906 of the Sarbanes-Oxley Act of 2002.</w:t>
              </w:r>
            </w:hyperlink>
            <w:r>
              <w:rPr>
                <w:color w:val="000000"/>
              </w:rPr>
              <w:t xml:space="preserve"> </w:t>
            </w:r>
            <w:r>
              <w:rPr>
                <w:rFonts w:ascii="Times New Roman;sans-serif" w:hAnsi="Times New Roman;sans-serif"/>
                <w:b w:val="false"/>
                <w:color w:val="000000"/>
                <w:sz w:val="20"/>
              </w:rPr>
              <w:t>(1)</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(1)Filed currently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9145" w:type="dxa"/>
        <w:jc w:val="left"/>
        <w:tblInd w:w="0" w:type="dxa"/>
        <w:tblLayout w:type="fixed"/>
        <w:tblCellMar>
          <w:top w:w="28" w:type="dxa"/>
          <w:left w:w="28" w:type="dxa"/>
          <w:bottom w:w="28" w:type="dxa"/>
          <w:right w:w="28" w:type="dxa"/>
        </w:tblCellMar>
      </w:tblPr>
      <w:tblGrid>
        <w:gridCol w:w="206"/>
        <w:gridCol w:w="181"/>
        <w:gridCol w:w="183"/>
        <w:gridCol w:w="414"/>
        <w:gridCol w:w="414"/>
        <w:gridCol w:w="417"/>
        <w:gridCol w:w="134"/>
        <w:gridCol w:w="134"/>
        <w:gridCol w:w="136"/>
        <w:gridCol w:w="109"/>
        <w:gridCol w:w="109"/>
        <w:gridCol w:w="109"/>
        <w:gridCol w:w="1930"/>
        <w:gridCol w:w="1930"/>
        <w:gridCol w:w="2739"/>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SJW GROUP</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July 25,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ANDREW F. WALTERS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Andrew F. Walters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Chief Financial Officer, Treasurer and Interim Principal Accounting Officer</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31.1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Eric W. Thornburg,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SJW Group (the “registrant”);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6915"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504"/>
        <w:gridCol w:w="1504"/>
        <w:gridCol w:w="21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 THORNBURG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 Thornburg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31.2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F. Walters,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SJW Group (the “registrant”);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7980"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818"/>
        <w:gridCol w:w="1818"/>
        <w:gridCol w:w="257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ANDREWS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Treasurer and Interim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SJW Group (the “Company”) on Form 10-Q for the quarter ended June 30, 2024, as filed with the Securities and Exchange Commission on the date hereof (the “Report”), I, Eric W. Thornburg, President, Chief Executive Officer and Chairman of the Board of the Company,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5486" w:type="dxa"/>
        <w:jc w:val="center"/>
        <w:tblInd w:w="0" w:type="dxa"/>
        <w:tblLayout w:type="fixed"/>
        <w:tblCellMar>
          <w:top w:w="28" w:type="dxa"/>
          <w:left w:w="28" w:type="dxa"/>
          <w:bottom w:w="28" w:type="dxa"/>
          <w:right w:w="28" w:type="dxa"/>
        </w:tblCellMar>
      </w:tblPr>
      <w:tblGrid>
        <w:gridCol w:w="1850"/>
        <w:gridCol w:w="1630"/>
        <w:gridCol w:w="1634"/>
        <w:gridCol w:w="109"/>
        <w:gridCol w:w="109"/>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 THORNBURG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 Thornburg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SJW Group (the “Company”) on Form 10-Q for the quarter ended June 30, 2024, as filed with the Securities and Exchange Commission on the date hereof (the “Report”), I, Andrew F. Walters, Chief Financial Officer, Treasurer and Interim Principal Accounting Officer of the Company,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6552" w:type="dxa"/>
        <w:jc w:val="center"/>
        <w:tblInd w:w="0" w:type="dxa"/>
        <w:tblLayout w:type="fixed"/>
        <w:tblCellMar>
          <w:top w:w="28" w:type="dxa"/>
          <w:left w:w="28" w:type="dxa"/>
          <w:bottom w:w="28" w:type="dxa"/>
          <w:right w:w="28" w:type="dxa"/>
        </w:tblCellMar>
      </w:tblPr>
      <w:tblGrid>
        <w:gridCol w:w="2237"/>
        <w:gridCol w:w="1969"/>
        <w:gridCol w:w="1974"/>
        <w:gridCol w:w="109"/>
        <w:gridCol w:w="109"/>
        <w:gridCol w:w="154"/>
      </w:tblGrid>
      <w:tr>
        <w:trPr/>
        <w:tc>
          <w:tcPr>
            <w:tcW w:w="223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Treasurer and Interim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66829/000076682924000062/exhibit31-certificateofinc.htm" TargetMode="External"/><Relationship Id="rId3" Type="http://schemas.openxmlformats.org/officeDocument/2006/relationships/hyperlink" Target="https://www.sec.gov/Archives/edgar/data/766829/000076682924000062/exhibit31-certificateofinc.htm" TargetMode="External"/><Relationship Id="rId4" Type="http://schemas.openxmlformats.org/officeDocument/2006/relationships/hyperlink" Target="https://www.sec.gov/Archives/edgar/data/766829/000076682924000062/exhibit31-certificateofinc.htm" TargetMode="External"/><Relationship Id="rId5" Type="http://schemas.openxmlformats.org/officeDocument/2006/relationships/hyperlink" Target="https://www.sec.gov/Archives/edgar/data/766829/000076682924000062/exhibit31-certificateofinc.htm" TargetMode="External"/><Relationship Id="rId6" Type="http://schemas.openxmlformats.org/officeDocument/2006/relationships/hyperlink" Target="https://www.sec.gov/Archives/edgar/data/766829/000076682924000062/exhibit31-certificateofinc.htm" TargetMode="External"/><Relationship Id="rId7" Type="http://schemas.openxmlformats.org/officeDocument/2006/relationships/hyperlink" Target="https://www.sec.gov/Archives/edgar/data/766829/000076682924000062/exhibit31-certificateofinc.htm" TargetMode="External"/><Relationship Id="rId8" Type="http://schemas.openxmlformats.org/officeDocument/2006/relationships/hyperlink" Target="https://www.sec.gov/Archives/edgar/data/766829/000076682924000062/exhibit31-certificateofinc.htm" TargetMode="External"/><Relationship Id="rId9" Type="http://schemas.openxmlformats.org/officeDocument/2006/relationships/hyperlink" Target="https://www.sec.gov/Archives/edgar/data/766829/000076682924000062/exhibit32restatedcertifica.htm" TargetMode="External"/><Relationship Id="rId10" Type="http://schemas.openxmlformats.org/officeDocument/2006/relationships/hyperlink" Target="https://www.sec.gov/Archives/edgar/data/766829/000076682924000062/exhibit32restatedcertifica.htm" TargetMode="External"/><Relationship Id="rId11" Type="http://schemas.openxmlformats.org/officeDocument/2006/relationships/hyperlink" Target="https://www.sec.gov/Archives/edgar/data/766829/000076682924000062/exhibit32restatedcertifica.htm" TargetMode="External"/><Relationship Id="rId12" Type="http://schemas.openxmlformats.org/officeDocument/2006/relationships/hyperlink" Target="https://www.sec.gov/Archives/edgar/data/766829/000076682924000062/exhibit32restatedcertifica.htm" TargetMode="External"/><Relationship Id="rId13" Type="http://schemas.openxmlformats.org/officeDocument/2006/relationships/hyperlink" Target="https://www.sec.gov/Archives/edgar/data/766829/000076682924000062/exhibit32restatedcertifica.htm" TargetMode="External"/><Relationship Id="rId14" Type="http://schemas.openxmlformats.org/officeDocument/2006/relationships/hyperlink" Target="https://www.sec.gov/Archives/edgar/data/766829/000076682924000062/exhibit32restatedcertifica.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17311</Words>
  <Characters>96464</Characters>
  <CharactersWithSpaces>112965</CharactersWithSpaces>
  <Paragraphs>2135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