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2025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80" w:after="283"/>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001-8966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H2O AMERICA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317"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884"/>
        <w:gridCol w:w="884"/>
        <w:gridCol w:w="1261"/>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77-0066628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110 West Taylor Street, San Jose, 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95110</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(408) 279-7800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SJW Group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Large accelerated filer  </w:t>
      </w:r>
      <w:r>
        <w:rPr>
          <w:color w:val="000000"/>
        </w:rPr>
        <w:t>☒                </w:t>
      </w:r>
      <w:r>
        <w:rPr>
          <w:rFonts w:ascii="Times New Roman;serif" w:hAnsi="Times New Roman;serif"/>
          <w:b w:val="false"/>
          <w:color w:val="000000"/>
          <w:sz w:val="20"/>
        </w:rPr>
        <w:t>Non-accelerated filer  </w:t>
      </w: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Accelerated filer  </w:t>
      </w:r>
      <w:r>
        <w:rPr>
          <w:color w:val="000000"/>
        </w:rPr>
        <w:t>☐                </w:t>
      </w:r>
      <w:r>
        <w:rPr>
          <w:rFonts w:ascii="Times New Roman;serif" w:hAnsi="Times New Roman;serif"/>
          <w:b w:val="false"/>
          <w:color w:val="000000"/>
          <w:sz w:val="20"/>
        </w:rPr>
        <w:t>Smaller reporting company  </w:t>
      </w:r>
      <w:r>
        <w:rPr>
          <w:color w:val="000000"/>
        </w:rPr>
        <w:t xml:space="preserve">☐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  </w:t>
      </w:r>
      <w:r>
        <w:rPr>
          <w:color w:val="000000"/>
        </w:rPr>
        <w:t>☐</w:t>
      </w:r>
    </w:p>
    <w:p>
      <w:pPr>
        <w:pStyle w:val="TextBody"/>
        <w:bidi w:val="0"/>
        <w:spacing w:lineRule="auto" w:line="288" w:before="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22, 2025, there were 35,287,080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9"/>
        <w:gridCol w:w="348"/>
        <w:gridCol w:w="348"/>
        <w:gridCol w:w="2774"/>
        <w:gridCol w:w="2774"/>
        <w:gridCol w:w="2828"/>
        <w:gridCol w:w="235"/>
        <w:gridCol w:w="204"/>
        <w:gridCol w:w="295"/>
      </w:tblGrid>
      <w:tr>
        <w:trPr/>
        <w:tc>
          <w:tcPr>
            <w:tcW w:w="3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47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
              <w:r>
                <w:rPr>
                  <w:rStyle w:val="InternetLink"/>
                  <w:rFonts w:ascii="Times New Roman;serif" w:hAnsi="Times New Roman;serif"/>
                  <w:b w:val="false"/>
                  <w:color w:val="0000FF"/>
                  <w:sz w:val="20"/>
                  <w:u w:val="single"/>
                </w:rPr>
                <w:t>Forward-Looking Statements</w:t>
              </w:r>
            </w:hyperlink>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53d572db81fc42aeb32b290f2415a820_10">
              <w:r>
                <w:rPr>
                  <w:rStyle w:val="InternetLink"/>
                  <w:rFonts w:ascii="Times New Roman;serif" w:hAnsi="Times New Roman;serif"/>
                  <w:b w:val="false"/>
                  <w:color w:val="0000FF"/>
                  <w:sz w:val="20"/>
                  <w:u w:val="single"/>
                </w:rPr>
                <w:t>3</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3">
              <w:r>
                <w:rPr>
                  <w:rStyle w:val="InternetLink"/>
                  <w:rFonts w:ascii="Times New Roman;serif" w:hAnsi="Times New Roman;serif"/>
                  <w:b/>
                  <w:color w:val="0000FF"/>
                  <w:sz w:val="20"/>
                  <w:u w:val="single"/>
                </w:rPr>
                <w:t>PART I</w:t>
              </w:r>
            </w:hyperlink>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6">
              <w:r>
                <w:rPr>
                  <w:rStyle w:val="InternetLink"/>
                  <w:rFonts w:ascii="Times New Roman;serif" w:hAnsi="Times New Roman;serif"/>
                  <w:b/>
                  <w:color w:val="0000FF"/>
                  <w:sz w:val="20"/>
                  <w:u w:val="single"/>
                </w:rPr>
                <w:t>FINANCIAL INFORMATION</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3">
              <w:r>
                <w:rPr>
                  <w:rStyle w:val="InternetLink"/>
                  <w:rFonts w:ascii="Times New Roman;serif" w:hAnsi="Times New Roman;serif"/>
                  <w:b/>
                  <w:color w:val="0000FF"/>
                  <w:sz w:val="20"/>
                  <w:u w:val="single"/>
                </w:rPr>
                <w:t>4</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6">
              <w:r>
                <w:rPr>
                  <w:rStyle w:val="InternetLink"/>
                  <w:rFonts w:ascii="Times New Roman;serif" w:hAnsi="Times New Roman;serif"/>
                  <w:b w:val="false"/>
                  <w:color w:val="0000FF"/>
                  <w:sz w:val="20"/>
                  <w:u w:val="single"/>
                </w:rPr>
                <w:t>Item 1.</w:t>
              </w:r>
            </w:hyperlink>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6">
              <w:r>
                <w:rPr>
                  <w:rStyle w:val="InternetLink"/>
                  <w:rFonts w:ascii="Times New Roman;serif" w:hAnsi="Times New Roman;serif"/>
                  <w:b w:val="false"/>
                  <w:color w:val="0000FF"/>
                  <w:sz w:val="20"/>
                  <w:u w:val="single"/>
                </w:rPr>
                <w:t>Financial Statements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6">
              <w:r>
                <w:rPr>
                  <w:rStyle w:val="InternetLink"/>
                  <w:rFonts w:ascii="Times New Roman;serif" w:hAnsi="Times New Roman;serif"/>
                  <w:b w:val="false"/>
                  <w:color w:val="0000FF"/>
                  <w:sz w:val="20"/>
                  <w:u w:val="single"/>
                </w:rPr>
                <w:t>4</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9">
              <w:r>
                <w:rPr>
                  <w:rStyle w:val="InternetLink"/>
                  <w:rFonts w:ascii="Times New Roman;serif" w:hAnsi="Times New Roman;serif"/>
                  <w:b w:val="false"/>
                  <w:color w:val="000080"/>
                  <w:sz w:val="20"/>
                  <w:u w:val="single"/>
                </w:rPr>
                <w:t xml:space="preserve">Condensed Consolidated Statements of Comprehensive Income (unaudited) For the Three </w:t>
              </w:r>
            </w:hyperlink>
            <w:hyperlink w:anchor="i53d572db81fc42aeb32b290f2415a820_19">
              <w:r>
                <w:rPr>
                  <w:rStyle w:val="InternetLink"/>
                  <w:rFonts w:ascii="Times New Roman;serif" w:hAnsi="Times New Roman;serif"/>
                  <w:b w:val="false"/>
                  <w:color w:val="000080"/>
                  <w:sz w:val="20"/>
                  <w:u w:val="single"/>
                </w:rPr>
                <w:t xml:space="preserve">and Six </w:t>
              </w:r>
            </w:hyperlink>
            <w:hyperlink w:anchor="i53d572db81fc42aeb32b290f2415a820_19">
              <w:r>
                <w:rPr>
                  <w:rStyle w:val="InternetLink"/>
                  <w:rFonts w:ascii="Times New Roman;serif" w:hAnsi="Times New Roman;serif"/>
                  <w:b w:val="false"/>
                  <w:color w:val="000080"/>
                  <w:sz w:val="20"/>
                  <w:u w:val="single"/>
                </w:rPr>
                <w:t xml:space="preserve">Months Ended </w:t>
              </w:r>
            </w:hyperlink>
            <w:hyperlink w:anchor="i53d572db81fc42aeb32b290f2415a820_19">
              <w:r>
                <w:rPr>
                  <w:rStyle w:val="InternetLink"/>
                  <w:rFonts w:ascii="Times New Roman;serif" w:hAnsi="Times New Roman;serif"/>
                  <w:b w:val="false"/>
                  <w:color w:val="000080"/>
                  <w:sz w:val="20"/>
                  <w:u w:val="single"/>
                </w:rPr>
                <w:t>June</w:t>
              </w:r>
            </w:hyperlink>
            <w:hyperlink w:anchor="i53d572db81fc42aeb32b290f2415a820_19">
              <w:r>
                <w:rPr>
                  <w:rStyle w:val="InternetLink"/>
                  <w:rFonts w:ascii="Times New Roman;serif" w:hAnsi="Times New Roman;serif"/>
                  <w:b w:val="false"/>
                  <w:color w:val="000080"/>
                  <w:sz w:val="20"/>
                  <w:u w:val="single"/>
                </w:rPr>
                <w:t xml:space="preserve"> 3</w:t>
              </w:r>
            </w:hyperlink>
            <w:hyperlink w:anchor="i53d572db81fc42aeb32b290f2415a820_19">
              <w:r>
                <w:rPr>
                  <w:rStyle w:val="InternetLink"/>
                  <w:rFonts w:ascii="Times New Roman;serif" w:hAnsi="Times New Roman;serif"/>
                  <w:b w:val="false"/>
                  <w:color w:val="000080"/>
                  <w:sz w:val="20"/>
                  <w:u w:val="single"/>
                </w:rPr>
                <w:t>0</w:t>
              </w:r>
            </w:hyperlink>
            <w:hyperlink w:anchor="i53d572db81fc42aeb32b290f2415a820_19">
              <w:r>
                <w:rPr>
                  <w:rStyle w:val="InternetLink"/>
                  <w:rFonts w:ascii="Times New Roman;serif" w:hAnsi="Times New Roman;serif"/>
                  <w:b w:val="false"/>
                  <w:color w:val="000080"/>
                  <w:sz w:val="20"/>
                  <w:u w:val="single"/>
                </w:rPr>
                <w:t>, 2025 and 2024</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9">
              <w:r>
                <w:rPr>
                  <w:rStyle w:val="InternetLink"/>
                  <w:rFonts w:ascii="Times New Roman;serif" w:hAnsi="Times New Roman;serif"/>
                  <w:b w:val="false"/>
                  <w:color w:val="0000FF"/>
                  <w:sz w:val="20"/>
                  <w:u w:val="single"/>
                </w:rPr>
                <w:t>4</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22">
              <w:r>
                <w:rPr>
                  <w:rStyle w:val="InternetLink"/>
                  <w:rFonts w:ascii="Times New Roman;serif" w:hAnsi="Times New Roman;serif"/>
                  <w:b w:val="false"/>
                  <w:color w:val="000080"/>
                  <w:sz w:val="20"/>
                  <w:u w:val="single"/>
                </w:rPr>
                <w:t xml:space="preserve">Condensed Consolidated Balance Sheets (unaudited) as of </w:t>
              </w:r>
            </w:hyperlink>
            <w:hyperlink w:anchor="i53d572db81fc42aeb32b290f2415a820_22">
              <w:r>
                <w:rPr>
                  <w:rStyle w:val="InternetLink"/>
                  <w:rFonts w:ascii="Times New Roman;serif" w:hAnsi="Times New Roman;serif"/>
                  <w:b w:val="false"/>
                  <w:color w:val="000080"/>
                  <w:sz w:val="20"/>
                  <w:u w:val="single"/>
                </w:rPr>
                <w:t>June</w:t>
              </w:r>
            </w:hyperlink>
            <w:hyperlink w:anchor="i53d572db81fc42aeb32b290f2415a820_22">
              <w:r>
                <w:rPr>
                  <w:rStyle w:val="InternetLink"/>
                  <w:rFonts w:ascii="Times New Roman;serif" w:hAnsi="Times New Roman;serif"/>
                  <w:b w:val="false"/>
                  <w:color w:val="000080"/>
                  <w:sz w:val="20"/>
                  <w:u w:val="single"/>
                </w:rPr>
                <w:t xml:space="preserve"> 3</w:t>
              </w:r>
            </w:hyperlink>
            <w:hyperlink w:anchor="i53d572db81fc42aeb32b290f2415a820_22">
              <w:r>
                <w:rPr>
                  <w:rStyle w:val="InternetLink"/>
                  <w:rFonts w:ascii="Times New Roman;serif" w:hAnsi="Times New Roman;serif"/>
                  <w:b w:val="false"/>
                  <w:color w:val="000080"/>
                  <w:sz w:val="20"/>
                  <w:u w:val="single"/>
                </w:rPr>
                <w:t>0</w:t>
              </w:r>
            </w:hyperlink>
            <w:hyperlink w:anchor="i53d572db81fc42aeb32b290f2415a820_22">
              <w:r>
                <w:rPr>
                  <w:rStyle w:val="InternetLink"/>
                  <w:rFonts w:ascii="Times New Roman;serif" w:hAnsi="Times New Roman;serif"/>
                  <w:b w:val="false"/>
                  <w:color w:val="000080"/>
                  <w:sz w:val="20"/>
                  <w:u w:val="single"/>
                </w:rPr>
                <w:t>, 2025 and December 31, 2024</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22">
              <w:r>
                <w:rPr>
                  <w:rStyle w:val="InternetLink"/>
                  <w:rFonts w:ascii="Times New Roman;serif" w:hAnsi="Times New Roman;serif"/>
                  <w:b w:val="false"/>
                  <w:color w:val="0000FF"/>
                  <w:sz w:val="20"/>
                  <w:u w:val="single"/>
                </w:rPr>
                <w:t>5</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25">
              <w:r>
                <w:rPr>
                  <w:rStyle w:val="InternetLink"/>
                  <w:rFonts w:ascii="Times New Roman;serif" w:hAnsi="Times New Roman;serif"/>
                  <w:b w:val="false"/>
                  <w:color w:val="000080"/>
                  <w:sz w:val="20"/>
                  <w:u w:val="single"/>
                </w:rPr>
                <w:t>Condensed Consolidated Statements of Changes in Stockholders’ Equity (unaudited) For the Three</w:t>
              </w:r>
            </w:hyperlink>
            <w:hyperlink w:anchor="i53d572db81fc42aeb32b290f2415a820_25">
              <w:r>
                <w:rPr>
                  <w:rStyle w:val="InternetLink"/>
                  <w:rFonts w:ascii="Times New Roman;serif" w:hAnsi="Times New Roman;serif"/>
                  <w:b w:val="false"/>
                  <w:color w:val="000080"/>
                  <w:sz w:val="20"/>
                  <w:u w:val="single"/>
                </w:rPr>
                <w:t xml:space="preserve"> and Six</w:t>
              </w:r>
            </w:hyperlink>
            <w:hyperlink w:anchor="i53d572db81fc42aeb32b290f2415a820_25">
              <w:r>
                <w:rPr>
                  <w:rStyle w:val="InternetLink"/>
                  <w:rFonts w:ascii="Times New Roman;serif" w:hAnsi="Times New Roman;serif"/>
                  <w:b w:val="false"/>
                  <w:color w:val="000080"/>
                  <w:sz w:val="20"/>
                  <w:u w:val="single"/>
                </w:rPr>
                <w:t xml:space="preserve"> Months Ended </w:t>
              </w:r>
            </w:hyperlink>
            <w:hyperlink w:anchor="i53d572db81fc42aeb32b290f2415a820_25">
              <w:r>
                <w:rPr>
                  <w:rStyle w:val="InternetLink"/>
                  <w:rFonts w:ascii="Times New Roman;serif" w:hAnsi="Times New Roman;serif"/>
                  <w:b w:val="false"/>
                  <w:color w:val="000080"/>
                  <w:sz w:val="20"/>
                  <w:u w:val="single"/>
                </w:rPr>
                <w:t>June</w:t>
              </w:r>
            </w:hyperlink>
            <w:hyperlink w:anchor="i53d572db81fc42aeb32b290f2415a820_25">
              <w:r>
                <w:rPr>
                  <w:rStyle w:val="InternetLink"/>
                  <w:rFonts w:ascii="Times New Roman;serif" w:hAnsi="Times New Roman;serif"/>
                  <w:b w:val="false"/>
                  <w:color w:val="000080"/>
                  <w:sz w:val="20"/>
                  <w:u w:val="single"/>
                </w:rPr>
                <w:t xml:space="preserve"> 3</w:t>
              </w:r>
            </w:hyperlink>
            <w:hyperlink w:anchor="i53d572db81fc42aeb32b290f2415a820_25">
              <w:r>
                <w:rPr>
                  <w:rStyle w:val="InternetLink"/>
                  <w:rFonts w:ascii="Times New Roman;serif" w:hAnsi="Times New Roman;serif"/>
                  <w:b w:val="false"/>
                  <w:color w:val="000080"/>
                  <w:sz w:val="20"/>
                  <w:u w:val="single"/>
                </w:rPr>
                <w:t>0</w:t>
              </w:r>
            </w:hyperlink>
            <w:hyperlink w:anchor="i53d572db81fc42aeb32b290f2415a820_25">
              <w:r>
                <w:rPr>
                  <w:rStyle w:val="InternetLink"/>
                  <w:rFonts w:ascii="Times New Roman;serif" w:hAnsi="Times New Roman;serif"/>
                  <w:b w:val="false"/>
                  <w:color w:val="000080"/>
                  <w:sz w:val="20"/>
                  <w:u w:val="single"/>
                </w:rPr>
                <w:t>, 2025 and 2024</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25">
              <w:r>
                <w:rPr>
                  <w:rStyle w:val="InternetLink"/>
                  <w:rFonts w:ascii="Times New Roman;serif" w:hAnsi="Times New Roman;serif"/>
                  <w:b w:val="false"/>
                  <w:color w:val="0000FF"/>
                  <w:sz w:val="20"/>
                  <w:u w:val="single"/>
                </w:rPr>
                <w:t>7</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28">
              <w:r>
                <w:rPr>
                  <w:rStyle w:val="InternetLink"/>
                  <w:rFonts w:ascii="Times New Roman;serif" w:hAnsi="Times New Roman;serif"/>
                  <w:b w:val="false"/>
                  <w:color w:val="000080"/>
                  <w:sz w:val="20"/>
                  <w:u w:val="single"/>
                </w:rPr>
                <w:t>Condensed Consolidated Statements of Cash Flows (unaudited) For the</w:t>
              </w:r>
            </w:hyperlink>
            <w:hyperlink w:anchor="i53d572db81fc42aeb32b290f2415a820_28">
              <w:r>
                <w:rPr>
                  <w:rStyle w:val="InternetLink"/>
                  <w:rFonts w:ascii="Times New Roman;serif" w:hAnsi="Times New Roman;serif"/>
                  <w:b w:val="false"/>
                  <w:color w:val="000080"/>
                  <w:sz w:val="20"/>
                  <w:u w:val="single"/>
                </w:rPr>
                <w:t xml:space="preserve"> Six</w:t>
              </w:r>
            </w:hyperlink>
            <w:hyperlink w:anchor="i53d572db81fc42aeb32b290f2415a820_28">
              <w:r>
                <w:rPr>
                  <w:rStyle w:val="InternetLink"/>
                  <w:rFonts w:ascii="Times New Roman;serif" w:hAnsi="Times New Roman;serif"/>
                  <w:b w:val="false"/>
                  <w:color w:val="000080"/>
                  <w:sz w:val="20"/>
                  <w:u w:val="single"/>
                </w:rPr>
                <w:t xml:space="preserve"> Months Ended </w:t>
              </w:r>
            </w:hyperlink>
            <w:hyperlink w:anchor="i53d572db81fc42aeb32b290f2415a820_28">
              <w:r>
                <w:rPr>
                  <w:rStyle w:val="InternetLink"/>
                  <w:rFonts w:ascii="Times New Roman;serif" w:hAnsi="Times New Roman;serif"/>
                  <w:b w:val="false"/>
                  <w:color w:val="000080"/>
                  <w:sz w:val="20"/>
                  <w:u w:val="single"/>
                </w:rPr>
                <w:t>June</w:t>
              </w:r>
            </w:hyperlink>
            <w:hyperlink w:anchor="i53d572db81fc42aeb32b290f2415a820_28">
              <w:r>
                <w:rPr>
                  <w:rStyle w:val="InternetLink"/>
                  <w:rFonts w:ascii="Times New Roman;serif" w:hAnsi="Times New Roman;serif"/>
                  <w:b w:val="false"/>
                  <w:color w:val="000080"/>
                  <w:sz w:val="20"/>
                  <w:u w:val="single"/>
                </w:rPr>
                <w:t xml:space="preserve"> 3</w:t>
              </w:r>
            </w:hyperlink>
            <w:hyperlink w:anchor="i53d572db81fc42aeb32b290f2415a820_28">
              <w:r>
                <w:rPr>
                  <w:rStyle w:val="InternetLink"/>
                  <w:rFonts w:ascii="Times New Roman;serif" w:hAnsi="Times New Roman;serif"/>
                  <w:b w:val="false"/>
                  <w:color w:val="000080"/>
                  <w:sz w:val="20"/>
                  <w:u w:val="single"/>
                </w:rPr>
                <w:t>0</w:t>
              </w:r>
            </w:hyperlink>
            <w:hyperlink w:anchor="i53d572db81fc42aeb32b290f2415a820_28">
              <w:r>
                <w:rPr>
                  <w:rStyle w:val="InternetLink"/>
                  <w:rFonts w:ascii="Times New Roman;serif" w:hAnsi="Times New Roman;serif"/>
                  <w:b w:val="false"/>
                  <w:color w:val="000080"/>
                  <w:sz w:val="20"/>
                  <w:u w:val="single"/>
                </w:rPr>
                <w:t>, 2025 and 2024</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28">
              <w:r>
                <w:rPr>
                  <w:rStyle w:val="InternetLink"/>
                  <w:rFonts w:ascii="Times New Roman;serif" w:hAnsi="Times New Roman;serif"/>
                  <w:b w:val="false"/>
                  <w:color w:val="0000FF"/>
                  <w:sz w:val="20"/>
                  <w:u w:val="single"/>
                </w:rPr>
                <w:t>8</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31">
              <w:r>
                <w:rPr>
                  <w:rStyle w:val="InternetLink"/>
                  <w:rFonts w:ascii="Times New Roman;serif" w:hAnsi="Times New Roman;serif"/>
                  <w:b w:val="false"/>
                  <w:color w:val="0000FF"/>
                  <w:sz w:val="20"/>
                  <w:u w:val="single"/>
                </w:rPr>
                <w:t>Notes to Unaudited Condensed Consolidated Financial Statements</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31">
              <w:r>
                <w:rPr>
                  <w:rStyle w:val="InternetLink"/>
                  <w:rFonts w:ascii="Times New Roman;serif" w:hAnsi="Times New Roman;serif"/>
                  <w:b w:val="false"/>
                  <w:color w:val="0000FF"/>
                  <w:sz w:val="20"/>
                  <w:u w:val="single"/>
                </w:rPr>
                <w:t>9</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76">
              <w:r>
                <w:rPr>
                  <w:rStyle w:val="InternetLink"/>
                  <w:rFonts w:ascii="Times New Roman;serif" w:hAnsi="Times New Roman;serif"/>
                  <w:b w:val="false"/>
                  <w:color w:val="0000FF"/>
                  <w:sz w:val="20"/>
                  <w:u w:val="single"/>
                </w:rPr>
                <w:t>Item 2.</w:t>
              </w:r>
            </w:hyperlink>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76">
              <w:r>
                <w:rPr>
                  <w:rStyle w:val="InternetLink"/>
                  <w:rFonts w:ascii="Times New Roman;serif" w:hAnsi="Times New Roman;serif"/>
                  <w:b w:val="false"/>
                  <w:color w:val="0000FF"/>
                  <w:sz w:val="20"/>
                  <w:u w:val="single"/>
                </w:rPr>
                <w:t>21</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3">
              <w:r>
                <w:rPr>
                  <w:rStyle w:val="InternetLink"/>
                  <w:rFonts w:ascii="Times New Roman;serif" w:hAnsi="Times New Roman;serif"/>
                  <w:b w:val="false"/>
                  <w:color w:val="0000FF"/>
                  <w:sz w:val="20"/>
                  <w:u w:val="single"/>
                </w:rPr>
                <w:t>Item 3.</w:t>
              </w:r>
            </w:hyperlink>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3">
              <w:r>
                <w:rPr>
                  <w:rStyle w:val="InternetLink"/>
                  <w:rFonts w:ascii="Times New Roman;serif" w:hAnsi="Times New Roman;serif"/>
                  <w:b w:val="false"/>
                  <w:color w:val="0000FF"/>
                  <w:sz w:val="20"/>
                  <w:u w:val="single"/>
                </w:rPr>
                <w:t>Quantitative and Qualitative Disclosures About Market Risk</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03">
              <w:r>
                <w:rPr>
                  <w:rStyle w:val="InternetLink"/>
                  <w:rFonts w:ascii="Times New Roman;serif" w:hAnsi="Times New Roman;serif"/>
                  <w:b w:val="false"/>
                  <w:color w:val="0000FF"/>
                  <w:sz w:val="20"/>
                  <w:u w:val="single"/>
                </w:rPr>
                <w:t>29</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6">
              <w:r>
                <w:rPr>
                  <w:rStyle w:val="InternetLink"/>
                  <w:rFonts w:ascii="Times New Roman;serif" w:hAnsi="Times New Roman;serif"/>
                  <w:b w:val="false"/>
                  <w:color w:val="0000FF"/>
                  <w:sz w:val="20"/>
                  <w:u w:val="single"/>
                </w:rPr>
                <w:t>Item 4</w:t>
              </w:r>
            </w:hyperlink>
            <w:r>
              <w:rPr>
                <w:rFonts w:ascii="Times New Roman;serif" w:hAnsi="Times New Roman;serif"/>
                <w:b w:val="false"/>
                <w:color w:val="000000"/>
                <w:sz w:val="20"/>
              </w:rPr>
              <w:t>.</w:t>
            </w:r>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6">
              <w:r>
                <w:rPr>
                  <w:rStyle w:val="InternetLink"/>
                  <w:rFonts w:ascii="Times New Roman;serif" w:hAnsi="Times New Roman;serif"/>
                  <w:b w:val="false"/>
                  <w:color w:val="0000FF"/>
                  <w:sz w:val="20"/>
                  <w:u w:val="single"/>
                </w:rPr>
                <w:t>Controls and Procedures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06">
              <w:r>
                <w:rPr>
                  <w:rStyle w:val="InternetLink"/>
                  <w:rFonts w:ascii="Times New Roman;serif" w:hAnsi="Times New Roman;serif"/>
                  <w:b w:val="false"/>
                  <w:color w:val="0000FF"/>
                  <w:sz w:val="20"/>
                  <w:u w:val="single"/>
                </w:rPr>
                <w:t>30</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9">
              <w:r>
                <w:rPr>
                  <w:rStyle w:val="InternetLink"/>
                  <w:rFonts w:ascii="Times New Roman;serif" w:hAnsi="Times New Roman;serif"/>
                  <w:b/>
                  <w:color w:val="0000FF"/>
                  <w:sz w:val="20"/>
                  <w:u w:val="single"/>
                </w:rPr>
                <w:t>PART II</w:t>
              </w:r>
            </w:hyperlink>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09">
              <w:r>
                <w:rPr>
                  <w:rStyle w:val="InternetLink"/>
                  <w:rFonts w:ascii="Times New Roman;serif" w:hAnsi="Times New Roman;serif"/>
                  <w:b/>
                  <w:color w:val="0000FF"/>
                  <w:sz w:val="20"/>
                  <w:u w:val="single"/>
                </w:rPr>
                <w:t>OTHER INFORMATION</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09">
              <w:r>
                <w:rPr>
                  <w:rStyle w:val="InternetLink"/>
                  <w:rFonts w:ascii="Times New Roman;serif" w:hAnsi="Times New Roman;serif"/>
                  <w:b/>
                  <w:color w:val="0000FF"/>
                  <w:sz w:val="20"/>
                  <w:u w:val="single"/>
                </w:rPr>
                <w:t>31</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12">
              <w:r>
                <w:rPr>
                  <w:rStyle w:val="InternetLink"/>
                  <w:rFonts w:ascii="Times New Roman;serif" w:hAnsi="Times New Roman;serif"/>
                  <w:b w:val="false"/>
                  <w:color w:val="0000FF"/>
                  <w:sz w:val="20"/>
                  <w:u w:val="single"/>
                </w:rPr>
                <w:t>Item 1.</w:t>
              </w:r>
            </w:hyperlink>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12">
              <w:r>
                <w:rPr>
                  <w:rStyle w:val="InternetLink"/>
                  <w:rFonts w:ascii="Times New Roman;serif" w:hAnsi="Times New Roman;serif"/>
                  <w:b w:val="false"/>
                  <w:color w:val="0000FF"/>
                  <w:sz w:val="20"/>
                  <w:u w:val="single"/>
                </w:rPr>
                <w:t>Legal Proceedings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12">
              <w:r>
                <w:rPr>
                  <w:rStyle w:val="InternetLink"/>
                  <w:rFonts w:ascii="Times New Roman;serif" w:hAnsi="Times New Roman;serif"/>
                  <w:b w:val="false"/>
                  <w:color w:val="0000FF"/>
                  <w:sz w:val="20"/>
                  <w:u w:val="single"/>
                </w:rPr>
                <w:t>31</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15">
              <w:r>
                <w:rPr>
                  <w:rStyle w:val="InternetLink"/>
                  <w:rFonts w:ascii="Times New Roman;serif" w:hAnsi="Times New Roman;serif"/>
                  <w:b w:val="false"/>
                  <w:color w:val="0000FF"/>
                  <w:sz w:val="20"/>
                  <w:u w:val="single"/>
                </w:rPr>
                <w:t>Item 1A.</w:t>
              </w:r>
            </w:hyperlink>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15">
              <w:r>
                <w:rPr>
                  <w:rStyle w:val="InternetLink"/>
                  <w:rFonts w:ascii="Times New Roman;serif" w:hAnsi="Times New Roman;serif"/>
                  <w:b w:val="false"/>
                  <w:color w:val="0000FF"/>
                  <w:sz w:val="20"/>
                  <w:u w:val="single"/>
                </w:rPr>
                <w:t>Risk Factors</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15">
              <w:r>
                <w:rPr>
                  <w:rStyle w:val="InternetLink"/>
                  <w:rFonts w:ascii="Times New Roman;serif" w:hAnsi="Times New Roman;serif"/>
                  <w:b w:val="false"/>
                  <w:color w:val="0000FF"/>
                  <w:sz w:val="20"/>
                  <w:u w:val="single"/>
                </w:rPr>
                <w:t>31</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18">
              <w:r>
                <w:rPr>
                  <w:rStyle w:val="InternetLink"/>
                  <w:rFonts w:ascii="Times New Roman;serif" w:hAnsi="Times New Roman;serif"/>
                  <w:b w:val="false"/>
                  <w:color w:val="0000FF"/>
                  <w:sz w:val="20"/>
                  <w:u w:val="single"/>
                </w:rPr>
                <w:t>Item 2.</w:t>
              </w:r>
            </w:hyperlink>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18">
              <w:r>
                <w:rPr>
                  <w:rStyle w:val="InternetLink"/>
                  <w:rFonts w:ascii="Times New Roman;serif" w:hAnsi="Times New Roman;serif"/>
                  <w:b w:val="false"/>
                  <w:color w:val="0000FF"/>
                  <w:sz w:val="20"/>
                  <w:u w:val="single"/>
                </w:rPr>
                <w:t>Unregistered Sales of Equity Securities and Use of Proceeds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18">
              <w:r>
                <w:rPr>
                  <w:rStyle w:val="InternetLink"/>
                  <w:rFonts w:ascii="Times New Roman;serif" w:hAnsi="Times New Roman;serif"/>
                  <w:b w:val="false"/>
                  <w:color w:val="0000FF"/>
                  <w:sz w:val="20"/>
                  <w:u w:val="single"/>
                </w:rPr>
                <w:t>33</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21">
              <w:r>
                <w:rPr>
                  <w:rStyle w:val="InternetLink"/>
                  <w:rFonts w:ascii="Times New Roman;serif" w:hAnsi="Times New Roman;serif"/>
                  <w:b w:val="false"/>
                  <w:color w:val="0000FF"/>
                  <w:sz w:val="20"/>
                  <w:u w:val="single"/>
                </w:rPr>
                <w:t>Item 3.</w:t>
              </w:r>
            </w:hyperlink>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21">
              <w:r>
                <w:rPr>
                  <w:rStyle w:val="InternetLink"/>
                  <w:rFonts w:ascii="Times New Roman;serif" w:hAnsi="Times New Roman;serif"/>
                  <w:b w:val="false"/>
                  <w:color w:val="0000FF"/>
                  <w:sz w:val="20"/>
                  <w:u w:val="single"/>
                </w:rPr>
                <w:t>Defaults Upon Senior Securities</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21">
              <w:r>
                <w:rPr>
                  <w:rStyle w:val="InternetLink"/>
                  <w:rFonts w:ascii="Times New Roman;serif" w:hAnsi="Times New Roman;serif"/>
                  <w:b w:val="false"/>
                  <w:color w:val="0000FF"/>
                  <w:sz w:val="20"/>
                  <w:u w:val="single"/>
                </w:rPr>
                <w:t>33</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24">
              <w:r>
                <w:rPr>
                  <w:rStyle w:val="InternetLink"/>
                  <w:rFonts w:ascii="Times New Roman;serif" w:hAnsi="Times New Roman;serif"/>
                  <w:b w:val="false"/>
                  <w:color w:val="0000FF"/>
                  <w:sz w:val="20"/>
                  <w:u w:val="single"/>
                </w:rPr>
                <w:t>Item 4.</w:t>
              </w:r>
            </w:hyperlink>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24">
              <w:r>
                <w:rPr>
                  <w:rStyle w:val="InternetLink"/>
                  <w:rFonts w:ascii="Times New Roman;serif" w:hAnsi="Times New Roman;serif"/>
                  <w:b w:val="false"/>
                  <w:color w:val="0000FF"/>
                  <w:sz w:val="20"/>
                  <w:u w:val="single"/>
                </w:rPr>
                <w:t>Mine Safety Disclosures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24">
              <w:r>
                <w:rPr>
                  <w:rStyle w:val="InternetLink"/>
                  <w:rFonts w:ascii="Times New Roman;serif" w:hAnsi="Times New Roman;serif"/>
                  <w:b w:val="false"/>
                  <w:color w:val="0000FF"/>
                  <w:sz w:val="20"/>
                  <w:u w:val="single"/>
                </w:rPr>
                <w:t>33</w:t>
              </w:r>
            </w:hyperlink>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27">
              <w:r>
                <w:rPr>
                  <w:rStyle w:val="InternetLink"/>
                  <w:rFonts w:ascii="Times New Roman;serif" w:hAnsi="Times New Roman;serif"/>
                  <w:b w:val="false"/>
                  <w:color w:val="0000FF"/>
                  <w:sz w:val="20"/>
                  <w:u w:val="single"/>
                </w:rPr>
                <w:t>Item 5.</w:t>
              </w:r>
            </w:hyperlink>
          </w:p>
        </w:tc>
        <w:tc>
          <w:tcPr>
            <w:tcW w:w="8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27">
              <w:r>
                <w:rPr>
                  <w:rStyle w:val="InternetLink"/>
                  <w:rFonts w:ascii="Times New Roman;serif" w:hAnsi="Times New Roman;serif"/>
                  <w:b w:val="false"/>
                  <w:color w:val="0000FF"/>
                  <w:sz w:val="20"/>
                  <w:u w:val="single"/>
                </w:rPr>
                <w:t>Other Information</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27">
              <w:r>
                <w:rPr>
                  <w:rStyle w:val="InternetLink"/>
                  <w:rFonts w:ascii="Times New Roman;serif" w:hAnsi="Times New Roman;serif"/>
                  <w:b w:val="false"/>
                  <w:color w:val="0000FF"/>
                  <w:sz w:val="20"/>
                  <w:u w:val="single"/>
                </w:rPr>
                <w:t>34</w:t>
              </w:r>
            </w:hyperlink>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30">
              <w:r>
                <w:rPr>
                  <w:rStyle w:val="InternetLink"/>
                  <w:rFonts w:ascii="Times New Roman;serif" w:hAnsi="Times New Roman;serif"/>
                  <w:b w:val="false"/>
                  <w:color w:val="0000FF"/>
                  <w:sz w:val="20"/>
                  <w:u w:val="single"/>
                </w:rPr>
                <w:t>Item 6.</w:t>
              </w:r>
            </w:hyperlink>
          </w:p>
        </w:tc>
        <w:tc>
          <w:tcPr>
            <w:tcW w:w="8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30">
              <w:r>
                <w:rPr>
                  <w:rStyle w:val="InternetLink"/>
                  <w:rFonts w:ascii="Times New Roman;serif" w:hAnsi="Times New Roman;serif"/>
                  <w:b w:val="false"/>
                  <w:color w:val="0000FF"/>
                  <w:sz w:val="20"/>
                  <w:u w:val="single"/>
                </w:rPr>
                <w:t>Exhibits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30">
              <w:r>
                <w:rPr>
                  <w:rStyle w:val="InternetLink"/>
                  <w:rFonts w:ascii="Times New Roman;serif" w:hAnsi="Times New Roman;serif"/>
                  <w:b w:val="false"/>
                  <w:color w:val="0000FF"/>
                  <w:sz w:val="20"/>
                  <w:u w:val="single"/>
                </w:rPr>
                <w:t>35</w:t>
              </w:r>
            </w:hyperlink>
          </w:p>
        </w:tc>
      </w:tr>
      <w:tr>
        <w:trPr/>
        <w:tc>
          <w:tcPr>
            <w:tcW w:w="947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3d572db81fc42aeb32b290f2415a820_133">
              <w:r>
                <w:rPr>
                  <w:rStyle w:val="InternetLink"/>
                  <w:rFonts w:ascii="Times New Roman;serif" w:hAnsi="Times New Roman;serif"/>
                  <w:b w:val="false"/>
                  <w:color w:val="0000FF"/>
                  <w:sz w:val="20"/>
                  <w:u w:val="single"/>
                </w:rPr>
                <w:t>Signatures</w:t>
              </w:r>
            </w:hyperlink>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3d572db81fc42aeb32b290f2415a820_133">
              <w:r>
                <w:rPr>
                  <w:rStyle w:val="InternetLink"/>
                  <w:rFonts w:ascii="Times New Roman;serif" w:hAnsi="Times New Roman;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1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accuracy of such statements is subject to a number of risks, uncertainties and assumptions including, but not limited to, the following factors: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the risks associated with the proposed transactions with Quadvest, L.P., a Texas limited partnership and Quadvest Wholesale, LLC, a Texas limited liability company (together “Quadvest”), including, the risk of the proposed transactions not closing on the anticipated timeline, or at all, the ability to obtain required regulatory approvals, and the ability to successfully integrate Quadvest’s operations and realize the projected financial and other benefits of the proposed transactions;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per- and polyfluoroalkyl substances (“PFAS”) and other decisions;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changes in demand for water and other services;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unanticipated weather conditions and changes in seasonality including those affecting water supply and customer usage;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effect of the impacts of climate change;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unexpected costs, charges or expenses;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our ability to successfully evaluate investments in new business and growth initiatives;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contamination of our water supplies and damage or failure of our water equipment and infrastructure;</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risk of work stoppages, strikes and other labor-related actions;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catastrophic events such as fires, earthquakes, explosions, floods, ice storms, tornadoes, hurricanes, terrorist acts, physical attacks, cyber-attacks, epidemic, or other similar occurrences;</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changes in general economic, political, business and financial market conditions;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 xml:space="preserve">legislative and general market and economic developments.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These risks, uncertainties and other factors may cause the actual results, performance or achievements of H2O America to be materially different from any future results, performance or achievements expressed or implied by such forward-looking statements.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changed the corporate name from SJW Group to H2O America. We will not distinguish between our prior and current corporate name and will refer to our current corporate name throughout this quarterly report on Form 10-Q. As such, unless expressly indicated or the context requires otherwise, the terms “H2O America,” “company,” “we,” “us,” and “our” in this document refer to H2O America, a Delaware corporation, and, where appropriate,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71"/>
        <w:gridCol w:w="1230"/>
        <w:gridCol w:w="1242"/>
        <w:gridCol w:w="259"/>
        <w:gridCol w:w="990"/>
        <w:gridCol w:w="130"/>
        <w:gridCol w:w="130"/>
        <w:gridCol w:w="130"/>
        <w:gridCol w:w="130"/>
        <w:gridCol w:w="540"/>
        <w:gridCol w:w="541"/>
        <w:gridCol w:w="156"/>
        <w:gridCol w:w="109"/>
        <w:gridCol w:w="109"/>
        <w:gridCol w:w="109"/>
        <w:gridCol w:w="236"/>
        <w:gridCol w:w="914"/>
        <w:gridCol w:w="120"/>
        <w:gridCol w:w="120"/>
        <w:gridCol w:w="120"/>
        <w:gridCol w:w="120"/>
        <w:gridCol w:w="540"/>
        <w:gridCol w:w="541"/>
        <w:gridCol w:w="218"/>
      </w:tblGrid>
      <w:tr>
        <w:trPr/>
        <w:tc>
          <w:tcPr>
            <w:tcW w:w="147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revenue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 extraction charges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production expenses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expenses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79,761 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non-service credit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Basic</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Dividends per share</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Basic</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34,777,152 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32,397,501 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34,280,727 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32,237,115 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Diluted</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34,860,349 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32,460,894 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34,367,212 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32,302,741 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33"/>
        <w:gridCol w:w="2267"/>
        <w:gridCol w:w="2268"/>
        <w:gridCol w:w="211"/>
        <w:gridCol w:w="976"/>
        <w:gridCol w:w="109"/>
        <w:gridCol w:w="109"/>
        <w:gridCol w:w="109"/>
        <w:gridCol w:w="109"/>
        <w:gridCol w:w="487"/>
        <w:gridCol w:w="489"/>
        <w:gridCol w:w="438"/>
      </w:tblGrid>
      <w:tr>
        <w:trPr/>
        <w:tc>
          <w:tcPr>
            <w:tcW w:w="2633"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44,657 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4,249,314 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179,486 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4,525,061 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1,036,450 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3,488,611 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Nonutility properties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nonutility properties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net of allowances for credit losses of $994 and $1,172 on June 30,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unbilled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60,847 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regulatory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190,714 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assets: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224,055 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18,087 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Postretirement benefit plans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66,422 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640,311 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977,768 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4,658,309 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0"/>
        <w:gridCol w:w="2280"/>
        <w:gridCol w:w="2291"/>
        <w:gridCol w:w="211"/>
        <w:gridCol w:w="976"/>
        <w:gridCol w:w="109"/>
        <w:gridCol w:w="109"/>
        <w:gridCol w:w="109"/>
        <w:gridCol w:w="109"/>
        <w:gridCol w:w="488"/>
        <w:gridCol w:w="488"/>
        <w:gridCol w:w="415"/>
      </w:tblGrid>
      <w:tr>
        <w:trPr/>
        <w:tc>
          <w:tcPr>
            <w:tcW w:w="26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authorized 70,000,000 shares; issued and outstanding shares 35,287,080 on June 30, 2025 and 33,629,169 on December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827,796 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537,184 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1,366,974 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1,706,904 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3,073,878 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119,124 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regulatory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261,173 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276,043 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Advances for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155,397 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Contributions in aid of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340,738 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Regulatory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483,719 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capitalization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4,658,309 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left"/>
        <w:rPr/>
      </w:pPr>
      <w:r>
        <w:rPr/>
      </w:r>
    </w:p>
    <w:tbl>
      <w:tblPr>
        <w:tblW w:w="10412" w:type="dxa"/>
        <w:jc w:val="left"/>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33,629,169 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827,796 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537,184 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1,366,974 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($0.42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March 31, 2025</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34,182,785 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855,759 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539,584 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1,397,337 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($0.42 per share)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(14,604)</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2025</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35,287,080 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914,330 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549,646 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1,465,971 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r>
    </w:p>
    <w:tbl>
      <w:tblPr>
        <w:tblW w:w="10412" w:type="dxa"/>
        <w:jc w:val="center"/>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32,023,004 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736,191 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1,233,397 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 net of tax of $163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March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32,201,216 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744,621 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494,249 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1,240,251 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and deferred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458,605 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 ($0.40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June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32,668,904 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771,189 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502,037 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1,274,608 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01"/>
        <w:gridCol w:w="2411"/>
        <w:gridCol w:w="2420"/>
        <w:gridCol w:w="239"/>
        <w:gridCol w:w="787"/>
        <w:gridCol w:w="132"/>
        <w:gridCol w:w="132"/>
        <w:gridCol w:w="132"/>
        <w:gridCol w:w="132"/>
        <w:gridCol w:w="400"/>
        <w:gridCol w:w="401"/>
        <w:gridCol w:w="218"/>
      </w:tblGrid>
      <w:tr>
        <w:trPr/>
        <w:tc>
          <w:tcPr>
            <w:tcW w:w="280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57,847 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accrued unbilled utility revenue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current liabilities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groundwater extraction charges, purchased water and power</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and payable, and other accrued taxes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and liabilities excluding cost of removal, income tax temporary differences and postretirement benefits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utility plant:</w:t>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Company-funded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(204,440)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(158,368)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in aid of construction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to retire utility plant, net of salvage</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real estate investments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(217,874)</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(130,982)</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Borrowings from lines of credit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lines of credit</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(73,243)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(106,556)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borrowings</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Receipts of advances and contributions in aid of construction</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Refunds of advances for construction</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net</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43,531 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paid (refunded) during the period for:</w:t>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net of amounts capitalized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activities:</w:t>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payables for additions to utility plant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property installed by developers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receivable from sale of real estate investments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selling expenses on sale of real estate investments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1.General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(“SEC”). The Notes to Consolidated Financial Statements in H2O America’s 2024 Annual Report on Form 10-K, filed with the SEC on February 28, 2025, should be read in conjunction with the accompanying unaudited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changed the corporate name from SJW Group to H2O America and the trading symbol from SJW to HTO on the Nasdaq Global Select Market. H2O America is a holding company that conducts its business through the following wholly owned subsidiaries: San Jose Water Company (“SJWC”), SJWTX Holdings, Inc., SJW Land Company, SJWNE LLC, and National Water Utility Service, LLC (“NWU”).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America’s revenue components are as follows: </w:t>
      </w:r>
    </w:p>
    <w:tbl>
      <w:tblPr>
        <w:tblW w:w="10205" w:type="dxa"/>
        <w:jc w:val="left"/>
        <w:tblInd w:w="0" w:type="dxa"/>
        <w:tblLayout w:type="fixed"/>
        <w:tblCellMar>
          <w:top w:w="28" w:type="dxa"/>
          <w:left w:w="28" w:type="dxa"/>
          <w:bottom w:w="28" w:type="dxa"/>
          <w:right w:w="28" w:type="dxa"/>
        </w:tblCellMar>
      </w:tblPr>
      <w:tblGrid>
        <w:gridCol w:w="1719"/>
        <w:gridCol w:w="1420"/>
        <w:gridCol w:w="1429"/>
        <w:gridCol w:w="243"/>
        <w:gridCol w:w="953"/>
        <w:gridCol w:w="125"/>
        <w:gridCol w:w="125"/>
        <w:gridCol w:w="125"/>
        <w:gridCol w:w="125"/>
        <w:gridCol w:w="413"/>
        <w:gridCol w:w="413"/>
        <w:gridCol w:w="156"/>
        <w:gridCol w:w="109"/>
        <w:gridCol w:w="109"/>
        <w:gridCol w:w="109"/>
        <w:gridCol w:w="227"/>
        <w:gridCol w:w="892"/>
        <w:gridCol w:w="117"/>
        <w:gridCol w:w="117"/>
        <w:gridCol w:w="117"/>
        <w:gridCol w:w="117"/>
        <w:gridCol w:w="413"/>
        <w:gridCol w:w="413"/>
        <w:gridCol w:w="219"/>
      </w:tblGrid>
      <w:tr>
        <w:trPr/>
        <w:tc>
          <w:tcPr>
            <w:tcW w:w="171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revenue programs, net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balancing and memorandum accounts and regulatory mechanisms,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Nonutility Properties </w:t>
      </w:r>
    </w:p>
    <w:p>
      <w:pPr>
        <w:pStyle w:val="TextBody"/>
        <w:bidi w:val="0"/>
        <w:spacing w:lineRule="auto" w:line="288" w:before="120" w:after="283"/>
        <w:jc w:val="left"/>
        <w:rPr/>
      </w:pPr>
      <w:r>
        <w:rPr>
          <w:rFonts w:ascii="Times New Roman;serif" w:hAnsi="Times New Roman;serif"/>
          <w:b w:val="false"/>
          <w:color w:val="000000"/>
          <w:sz w:val="20"/>
        </w:rPr>
        <w:t>The major components of nonutility properties as of June 30, 2025 and December 31, 2024, are as follows:</w:t>
      </w:r>
      <w:r>
        <w:rPr>
          <w:color w:val="000000"/>
        </w:rPr>
        <w:t> </w:t>
      </w:r>
    </w:p>
    <w:tbl>
      <w:tblPr>
        <w:tblW w:w="5087" w:type="dxa"/>
        <w:jc w:val="left"/>
        <w:tblInd w:w="0" w:type="dxa"/>
        <w:tblLayout w:type="fixed"/>
        <w:tblCellMar>
          <w:top w:w="28" w:type="dxa"/>
          <w:left w:w="28" w:type="dxa"/>
          <w:bottom w:w="28" w:type="dxa"/>
          <w:right w:w="28" w:type="dxa"/>
        </w:tblCellMar>
      </w:tblPr>
      <w:tblGrid>
        <w:gridCol w:w="972"/>
        <w:gridCol w:w="852"/>
        <w:gridCol w:w="860"/>
        <w:gridCol w:w="211"/>
        <w:gridCol w:w="616"/>
        <w:gridCol w:w="109"/>
        <w:gridCol w:w="109"/>
        <w:gridCol w:w="109"/>
        <w:gridCol w:w="109"/>
        <w:gridCol w:w="334"/>
        <w:gridCol w:w="334"/>
        <w:gridCol w:w="472"/>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 Measurement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instruments are not measured at fair value on H2O America’s condensed consolidated balance sheets as of June 30, 2025, but require disclosure of their fair values: cash and cash equivalents, accounts receivable and accounts payable. The estimated fair value of such instruments as of June 30, 2025 approximates their carrying value as reported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sheets. There have been no changes in valuation techniques during the three and six months ended June 30, 2025. The fair value of these instruments would be categorized as Level 2 in the fair value hierarchy, with the exception of cash and cash equivalents, which would be categorized as Level 1.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H2O America’s long-term debt was $1,513,238 and $1,490,024 as of June 30, 2025 and December 31, 2024, respectively, and was determined using a discounted cash flow analysis, based on the current rates for similar financial instruments of the same duration and creditworthiness of the company. Of the total fair value of long-term debt at June 30, 2025 and December 31, 2024, $1,496,137 and $1,473,393, respectively, would be categorized as Level 2 in the fair value hierarchy and $17,101 and $16,631, respectively, would be categorized as Level 3 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$2,567 and $2,812 as of June 30, 2025 and December 31, 2024, respectively, and are categorized as Level 1 in the fair value hierarchy.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H2O America’s long-term incentive plans and shares potentially issuable under H2O America’s employee stock purchase plan. For the three months ended June 30, 2025 and 2024, 8,900 and 6,567 anti-dilutive restricted common stock units were excluded from the diluted earnings per share calculation, respectively. For the six months ended June 30, 2025 and 2024, 23,346 and 9,394 anti-dilutive restricted common stock units were excluded from the diluted earnings per share calculation, respectively.</w:t>
      </w:r>
    </w:p>
    <w:p>
      <w:pPr>
        <w:pStyle w:val="TextBody"/>
        <w:bidi w:val="0"/>
        <w:spacing w:before="20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recently issued accounting standards that have not yet been adopted by the company as of June 30, 2025 are as follows:</w:t>
      </w:r>
    </w:p>
    <w:tbl>
      <w:tblPr>
        <w:tblW w:w="10205" w:type="dxa"/>
        <w:jc w:val="left"/>
        <w:tblInd w:w="0" w:type="dxa"/>
        <w:tblLayout w:type="fixed"/>
        <w:tblCellMar>
          <w:top w:w="28" w:type="dxa"/>
          <w:left w:w="28" w:type="dxa"/>
          <w:bottom w:w="28" w:type="dxa"/>
          <w:right w:w="28" w:type="dxa"/>
        </w:tblCellMar>
      </w:tblPr>
      <w:tblGrid>
        <w:gridCol w:w="650"/>
        <w:gridCol w:w="496"/>
        <w:gridCol w:w="498"/>
        <w:gridCol w:w="109"/>
        <w:gridCol w:w="109"/>
        <w:gridCol w:w="109"/>
        <w:gridCol w:w="1035"/>
        <w:gridCol w:w="1035"/>
        <w:gridCol w:w="1044"/>
        <w:gridCol w:w="109"/>
        <w:gridCol w:w="109"/>
        <w:gridCol w:w="109"/>
        <w:gridCol w:w="536"/>
        <w:gridCol w:w="463"/>
        <w:gridCol w:w="465"/>
        <w:gridCol w:w="109"/>
        <w:gridCol w:w="109"/>
        <w:gridCol w:w="109"/>
        <w:gridCol w:w="421"/>
        <w:gridCol w:w="421"/>
        <w:gridCol w:w="425"/>
        <w:gridCol w:w="109"/>
        <w:gridCol w:w="109"/>
        <w:gridCol w:w="109"/>
        <w:gridCol w:w="410"/>
        <w:gridCol w:w="410"/>
        <w:gridCol w:w="588"/>
      </w:tblGrid>
      <w:tr>
        <w:trPr/>
        <w:tc>
          <w:tcPr>
            <w:tcW w:w="65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Application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 on the Condensed Consolidated Financial Statements</w:t>
            </w:r>
          </w:p>
        </w:tc>
      </w:tr>
      <w:tr>
        <w:trPr/>
        <w:tc>
          <w:tcPr>
            <w:tcW w:w="1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Standards Update (“ASU”) 2023-09 “Improvements to Income Tax Disclosures”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will adopt the ASU beginning with its annual financial statements for the year ending December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requirements of ASU 2023-09.</w:t>
            </w:r>
          </w:p>
        </w:tc>
      </w:tr>
      <w:tr>
        <w:trPr/>
        <w:tc>
          <w:tcPr>
            <w:tcW w:w="1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2024-03 “Disaggregation of Income Statement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requires disclosure, in the notes to the financial statements, of specified information about certain costs and expenses. The ASU requires disclosure of purchases of inventory, employee compensation, depreciation, and intangible asset amortization in interim and annual reporting periods. Further, other amounts already required to be disclosed in accordance with current U.S. GAAP would be included in the same disclosure as the other disaggregation requirements. Additionally, the ASU requires qualitative descriptions of amounts remaining in relevant expense captions that are not separately disaggregated quantitatively as well as disclosure of selling expenses in annual periods and an entity’s definition of 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ASU is effective for H2O America for its annual financial statements for the year ending December 31, 2027 and for interim reporting periods for the year ending December 31, 2028. Early adoption is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Prospective, with retrospective application also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currently evaluating the requirements of ASU 2024-03.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2.Regulatory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 and liabilities are comprised of the following as of June 30, 2025 and December 31, 2024:</w:t>
      </w:r>
    </w:p>
    <w:tbl>
      <w:tblPr>
        <w:tblW w:w="8627" w:type="dxa"/>
        <w:jc w:val="left"/>
        <w:tblInd w:w="0" w:type="dxa"/>
        <w:tblLayout w:type="fixed"/>
        <w:tblCellMar>
          <w:top w:w="28" w:type="dxa"/>
          <w:left w:w="28" w:type="dxa"/>
          <w:bottom w:w="28" w:type="dxa"/>
          <w:right w:w="28" w:type="dxa"/>
        </w:tblCellMar>
      </w:tblPr>
      <w:tblGrid>
        <w:gridCol w:w="2031"/>
        <w:gridCol w:w="1786"/>
        <w:gridCol w:w="1793"/>
        <w:gridCol w:w="211"/>
        <w:gridCol w:w="826"/>
        <w:gridCol w:w="109"/>
        <w:gridCol w:w="109"/>
        <w:gridCol w:w="109"/>
        <w:gridCol w:w="109"/>
        <w:gridCol w:w="452"/>
        <w:gridCol w:w="452"/>
        <w:gridCol w:w="640"/>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temporary differences (a) (p)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180,103 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Monterey Water Revenue Adjustment Mechanism (“MWRAM”) (b)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Business combinations debt premium (c) (p)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benefit costs (d) (p)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adjustment mechanisms (e) (p)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Assistance Program (“CAP”) balancing account (f)</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pensions and other postretirement benefits (g) (p)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 general rate case interim memorandum account (h)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(j)</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regulatory assets (k)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assets, less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224,055 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Regulatory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removal (l)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364,398 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Future income tax benefits due to customers (m)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pensions and other postretirement benefits (g)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PFAS legal settlement proceeds (q)</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costs (d)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supply costs (i)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adjustment mechanisms (e)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484,841 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regulatory liabilities (o)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regulatory liabilities, less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483,719 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(a)Consists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 </w:t>
      </w:r>
    </w:p>
    <w:p>
      <w:pPr>
        <w:pStyle w:val="TextBody"/>
        <w:bidi w:val="0"/>
        <w:spacing w:lineRule="auto" w:line="26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(b)MWRAM is described in the following section.</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(c)Consists of debt fair value adjustments recognized through purchase accounting for the completed merger with CTWS in 2019.</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(d)Includes deferrals of pension and other postretirement benefit expense and cost of accrued benefits for vacation, and group health insurance.</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(e)Primarily relates to Water Rate Adjustment mechanism (“WRA”). WRA and Water Conservation Memorandum Account (“WCMA”) are described in the following section.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(f)Represents costs associated with SJWC’s CAP.</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(g)Represents actuarial losses and gains and prior service cost that have not yet been recognized as components of net periodic benefit cost for certain pension and other postretirement benefit plans.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(h)Represents the difference between revenues collected in interim rates in effect as of January 1, 2022 and revenues that would result from rates authorized in SJWC’s 2022 general rate case retroactive to January 1, 2022.</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(i)Reflects primarily SJWC’s Full Cost Balancing Account (“FCBA”), which tracks differences in actual water supply costs compared to amounts assumed in base rates, including applicable changes and variations in costs and quantities that affect the overall mix of the water supply.</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(j)Other includes other balancing and memorandum accounts and regulatory mechanisms, deferred costs for certain information technology activities, asset retirement obligations, tank painting, well reconditioning and rate case expenses.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(k)Primarily relates to SJWC’s balancing and memorandum account surcharge in accordance with Decision No. 24-12-077 and the current portion of CWC’s deferred well redevelopment and rate case costs.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(l)Represents amounts collected in rates from customers for estimated costs to retire assets at the end of their expected useful lives before the costs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(m)On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(n)Other includes accrued tank painting costs and other regulatory mechanisms.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(o)Primarily relates to the current portion of WRA.</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(p)Generally, not earning a return either by interest on the regulatory asset or as a component of rate base at the allowed rate of return.</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(q)Primarily relates to legal settlements received by SJWC and CWC from ongoing PFAS water contamination litigation against manufacturers which will be used to offset future costs incurred, recorded as Contributions in Aid of Construction (“CIAC”), or returned to customers through future rates. Water Contamination Litigation Memorandum Account (“WCLMA”) has been established to track net proceeds and costs resulting from water contamination litigation related to SJWC.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has established balancing accounts for the purpose of tracking the under-collection or over-collection associated with expense changes and the revenue authorized by the CPUC to offset those expense changes. SJWC has been authorized for the use of the FCBA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WCLMA allows SJWC to track net proceeds and costs resulting from water contamination litigation. The WCMA allows SJWC to track lost revenue, net of related water costs, associated with reduced sales due to water conservation and associated calls for water use reductions,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 On December 19, 2024, the CPUC issued General Rate Case Decision No. 24-12-077, which approved a recovery of $15,792 in balancing and memorandum accounts from customers through a 12-month surcharge effective January 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3.Capitalization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The Equity Distribution Agreement replaced the previous agreement that ended in 2024. For the three and six months ended June 30, 2025, H2O America issued and sold a total of 1,087,593 and 1,583,493 shares of common stock, respectively, with a weighted average price of $52.82 and $53.15 per share respectively, and received $57,168 and $83,713 in net proceeds, respectively, under the Equity Distribution Agreement. Since the inception of the Equity Distribution Agreement, H2O America has issued and sold 1,959,006 shares of common stock at a weighted average price of $53.59 for a total net proceeds of $103,882 and has $95,017 of aggregate gross sales price of shares remaining to issue under the Equity Distribution Agreement as of June 30, 2025.</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4.Lines of Credit and Long-Term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contractual obligations and commitments include senior notes, bank term loans, revenue bonds, state revolving fund loans and other obligations.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Lines of Credit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 on short-term borrowings outstanding at June 30, 2025, was 5.43%, compared to 6.08% at December 31,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unused portion of the lines of credit was $199,160.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15, 2025, CTWS extended the maturity date on its $40,000 credit agreement from May 15, 2025 to August 13,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has entered into a $10,000 credit agreement with JPMorgan Chase Bank, N.A., dated June 11, 2025. The credit agreement has a maturity date of June 11, 2026. This line of credit was unused at June 30,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5.Income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$4,670 and $3,724 for the three months ended June 30, 2025 and 2024, respectively. Income tax expense was $8,141 and $5,955 for the six months ended June 30, 2025 and 2024, respectively. The effective consolidated income tax rates were 16% and 15% for the three months ended June 30, 2025 and 2024, respectively, and 16% for the six months ended for both June 30, 2025 and 2024,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had unrecognized tax benefits, before the impact of deductions of state taxes, excluding interest and penalties, of $3,896 and $3,707 as of June 30, 2025 and December 31, 2024, respectively. H2O America currently does not expect uncertain tax positions to change significantly over the next 12 months, except in the case of a lapse of the statute of limitations.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rFonts w:ascii="Times New Roman;serif" w:hAnsi="Times New Roman;serif"/>
          <w:b/>
          <w:color w:val="000000"/>
          <w:sz w:val="20"/>
        </w:rPr>
      </w:pPr>
      <w:r>
        <w:rPr>
          <w:rFonts w:ascii="Times New Roman;serif" w:hAnsi="Times New Roman;serif"/>
          <w:b/>
          <w:color w:val="000000"/>
          <w:sz w:val="20"/>
        </w:rPr>
        <w:t>Note 6.Commitments and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are subject to ordinary routine litigation incidental to its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2023, CWC, a subsidiary of H2O America, was named as a defendant in a putative class action lawsuit alleging that the water provided by CWC contained contaminants. The case is currently pending in the State of Connecticut Superior Court. CWC intends to vigorously defend itself in this lawsuit. H2O America is unable to provide a reasonable estimate of loss, if any, at this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2025, the Company received $6,443 in cash proceeds from a legal settlement with 3M related to PFAS contamination. These proceeds were allocated as follows: SJWC received $4,420; CWC received $1,906; and MWC received $117, which includes $91 payable to contract operators. The proceeds are compensatory in nature and are intended to reimburse the Company for costs incurred to address the presence of PFAS compounds in public water supply systems or to be refunded to customers through rate reductions, and have been recorded as a regulatory liability subject to regulatory approval.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entitled to receive additional cash proceeds from 3M Company during the remainder of 2025 and the subsequent nine years, pursuant to the terms of the settlement agreement. In addition, the Company is party to pending settlements with DuPont de Nemours, Inc., Tyco Fire Products LP, and BASF Corporation. Proceeds from these settlements are also expected to be received in 2025 and will be accounted for in a manner consistent with the 3M Company settlement. H2O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America is monitoring and evaluating the ongoing litigation and settlement activity with the PFAS manufacturers for potential impacts to the various claims that these utility subsidiaries have asserted. However, the amount of these additional proceeds is not estimable as of the date of this filing.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7.Benefit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H2O America does not have multi-employer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H2O America also provides health care and life insurance benefits for retired employees under employer-sponsored postretirement benefits that are not pension plans.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costs for the defined benefit plans and other postretirement benefits for the three and six months ended June 30, 2025 and 2024 are as follows:</w:t>
      </w:r>
    </w:p>
    <w:tbl>
      <w:tblPr>
        <w:tblW w:w="7391" w:type="dxa"/>
        <w:jc w:val="left"/>
        <w:tblInd w:w="0" w:type="dxa"/>
        <w:tblLayout w:type="fixed"/>
        <w:tblCellMar>
          <w:top w:w="28" w:type="dxa"/>
          <w:left w:w="28" w:type="dxa"/>
          <w:bottom w:w="28" w:type="dxa"/>
          <w:right w:w="28" w:type="dxa"/>
        </w:tblCellMar>
      </w:tblPr>
      <w:tblGrid>
        <w:gridCol w:w="1117"/>
        <w:gridCol w:w="982"/>
        <w:gridCol w:w="990"/>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actuarial (gain) loss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47" w:type="dxa"/>
        <w:jc w:val="left"/>
        <w:tblInd w:w="0" w:type="dxa"/>
        <w:tblLayout w:type="fixed"/>
        <w:tblCellMar>
          <w:top w:w="28" w:type="dxa"/>
          <w:left w:w="28" w:type="dxa"/>
          <w:bottom w:w="28" w:type="dxa"/>
          <w:right w:w="28" w:type="dxa"/>
        </w:tblCellMar>
      </w:tblPr>
      <w:tblGrid>
        <w:gridCol w:w="1101"/>
        <w:gridCol w:w="968"/>
        <w:gridCol w:w="976"/>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(gain)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2025, H2O America expects to make required and discretionary cash contributions of up to $6,113 to the pension plans and other postretirement benefits. For the three and six months ended June 30, 2025, H2O America has made $628 and $2,105, respectively, contributions to such plans.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8.Equity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long-term incentive plans provide employees, non-employee board members or the board of directors of any parent or subsidiary, consultants, and other independent advisors who provide services to the company or subsidiary the opportunity to acquire an equity interest in H2O America. H2O America also maintains stock plans in connection with its acquisition of CTWS which are no longer granting new stock awards. In addition, shares are issued to employees under H2O America’s employee stock purchase plan (“ESPP”). As of June 30, 2025, 230,275 shares are issuable upon the vesting of outstanding restricted stock units and deferred restricted stock units and an additional 913,976 shares are available for award issuances under the long-term incentive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compensation costs charged to income, by award type, and proceeds from the ESPP, are presented below for the three and six months ended June 30, 2025 and 2024:</w:t>
      </w:r>
    </w:p>
    <w:tbl>
      <w:tblPr>
        <w:tblW w:w="9218" w:type="dxa"/>
        <w:jc w:val="left"/>
        <w:tblInd w:w="0" w:type="dxa"/>
        <w:tblLayout w:type="fixed"/>
        <w:tblCellMar>
          <w:top w:w="28" w:type="dxa"/>
          <w:left w:w="28" w:type="dxa"/>
          <w:bottom w:w="28" w:type="dxa"/>
          <w:right w:w="28" w:type="dxa"/>
        </w:tblCellMar>
      </w:tblPr>
      <w:tblGrid>
        <w:gridCol w:w="1423"/>
        <w:gridCol w:w="1251"/>
        <w:gridCol w:w="1255"/>
        <w:gridCol w:w="294"/>
        <w:gridCol w:w="860"/>
        <w:gridCol w:w="152"/>
        <w:gridCol w:w="152"/>
        <w:gridCol w:w="152"/>
        <w:gridCol w:w="152"/>
        <w:gridCol w:w="308"/>
        <w:gridCol w:w="308"/>
        <w:gridCol w:w="156"/>
        <w:gridCol w:w="109"/>
        <w:gridCol w:w="109"/>
        <w:gridCol w:w="109"/>
        <w:gridCol w:w="267"/>
        <w:gridCol w:w="780"/>
        <w:gridCol w:w="138"/>
        <w:gridCol w:w="138"/>
        <w:gridCol w:w="138"/>
        <w:gridCol w:w="138"/>
        <w:gridCol w:w="308"/>
        <w:gridCol w:w="308"/>
        <w:gridCol w:w="213"/>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costs charged to income:</w:t>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ESPP</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stock and deferred restricted stock</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costs charged to income</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proceeds</w:t>
            </w:r>
          </w:p>
        </w:tc>
        <w:tc>
          <w:tcPr>
            <w:tcW w:w="2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Restricted Stock and Deferred 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H2O America granted 19,909 and 24,692, respectively, of one year and three-year service-based restricted stock awards with a weighted average grant date fair value per unit of $48.57 and $50.04, respectively. For the six months ended June 30, 2025 and 2024, H2O America granted 66,314 and 64,482, respectively, of one-year and three-year service-based restricted stock awards with a weighted average grant date fair value per unit of $45.49 and $58.39,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H2O America granted 1,562 and 356 target units, respectively, of performance-based and market-based restricted stock awards with a weighted-average grant date fair value per unit of $53.19 and $52.90, respectively. For the six months ended June 30, 2025 and 2024, H2O America granted 58,208 and 45,763 target units, respectively, of performance-based and market-based restricted stock awards with a weighted average grant date fair value per unit of $51.91 and $55.60,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total unrecognized compensation costs related to restricted and deferred restricted stock plans was $8,405. This cost is expected to be recognized over a weighted average period of 1.93 years.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Note 9.Segment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single reportable segment provides water utility and utility-related services to its customers through H2O America’s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SJW Land Company and Chester Realty, Inc., contract water and sewer operations and other water-related services provided by NEWUS and are referred to as “Other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operating segments have been determined based on information used by the chief operating decision maker. H2O America’s chief operating decision maker (“CODM”) includes the Chairman, President, and Chief Executive Officer; the Chief Financial Officer and Treasurer; the Chief Operating Officer; the Senior Vice President and Chief Administrative Officer; and the Vice President and General Counsel. However, ultimate decision-making authority rests with the Chairman, President, and Chief Executive Officer. The CODM reviews financial information presented on a consolidated basis that is accompanied by certain disaggregated information about operating revenue, expenses, net income, and total assets. The CODM uses the net income to assess the financial performance of the segments and allocate resources (including employees, financial, or capital resources) in the budgeting and forecasting process.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 As previously disclosed, H2O America updated its segment presentation in the fourth quarter of 2024. Accordingly, prior period information has been recast to conform with the current period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information relating to H2O America's reportable segment and other business activities:</w:t>
      </w:r>
    </w:p>
    <w:tbl>
      <w:tblPr>
        <w:tblW w:w="10205" w:type="dxa"/>
        <w:jc w:val="left"/>
        <w:tblInd w:w="0" w:type="dxa"/>
        <w:tblLayout w:type="fixed"/>
        <w:tblCellMar>
          <w:top w:w="28" w:type="dxa"/>
          <w:left w:w="28" w:type="dxa"/>
          <w:bottom w:w="28" w:type="dxa"/>
          <w:right w:w="28" w:type="dxa"/>
        </w:tblCellMar>
      </w:tblPr>
      <w:tblGrid>
        <w:gridCol w:w="1296"/>
        <w:gridCol w:w="1081"/>
        <w:gridCol w:w="1061"/>
        <w:gridCol w:w="281"/>
        <w:gridCol w:w="1108"/>
        <w:gridCol w:w="145"/>
        <w:gridCol w:w="110"/>
        <w:gridCol w:w="110"/>
        <w:gridCol w:w="110"/>
        <w:gridCol w:w="446"/>
        <w:gridCol w:w="398"/>
        <w:gridCol w:w="400"/>
        <w:gridCol w:w="110"/>
        <w:gridCol w:w="110"/>
        <w:gridCol w:w="110"/>
        <w:gridCol w:w="569"/>
        <w:gridCol w:w="569"/>
        <w:gridCol w:w="571"/>
        <w:gridCol w:w="110"/>
        <w:gridCol w:w="110"/>
        <w:gridCol w:w="110"/>
        <w:gridCol w:w="413"/>
        <w:gridCol w:w="413"/>
        <w:gridCol w:w="464"/>
      </w:tblGrid>
      <w:tr>
        <w:trPr/>
        <w:tc>
          <w:tcPr>
            <w:tcW w:w="12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80,869 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6"/>
        <w:gridCol w:w="1081"/>
        <w:gridCol w:w="1061"/>
        <w:gridCol w:w="281"/>
        <w:gridCol w:w="1108"/>
        <w:gridCol w:w="145"/>
        <w:gridCol w:w="110"/>
        <w:gridCol w:w="110"/>
        <w:gridCol w:w="110"/>
        <w:gridCol w:w="446"/>
        <w:gridCol w:w="398"/>
        <w:gridCol w:w="400"/>
        <w:gridCol w:w="110"/>
        <w:gridCol w:w="110"/>
        <w:gridCol w:w="110"/>
        <w:gridCol w:w="569"/>
        <w:gridCol w:w="569"/>
        <w:gridCol w:w="571"/>
        <w:gridCol w:w="110"/>
        <w:gridCol w:w="110"/>
        <w:gridCol w:w="110"/>
        <w:gridCol w:w="413"/>
        <w:gridCol w:w="413"/>
        <w:gridCol w:w="464"/>
      </w:tblGrid>
      <w:tr>
        <w:trPr/>
        <w:tc>
          <w:tcPr>
            <w:tcW w:w="129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2024</w:t>
            </w:r>
          </w:p>
        </w:tc>
      </w:tr>
      <w:tr>
        <w:trPr/>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172,046 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176,174 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18,294 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20,696 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94"/>
        <w:gridCol w:w="1079"/>
        <w:gridCol w:w="1059"/>
        <w:gridCol w:w="282"/>
        <w:gridCol w:w="1106"/>
        <w:gridCol w:w="144"/>
        <w:gridCol w:w="109"/>
        <w:gridCol w:w="109"/>
        <w:gridCol w:w="109"/>
        <w:gridCol w:w="446"/>
        <w:gridCol w:w="398"/>
        <w:gridCol w:w="399"/>
        <w:gridCol w:w="109"/>
        <w:gridCol w:w="109"/>
        <w:gridCol w:w="109"/>
        <w:gridCol w:w="591"/>
        <w:gridCol w:w="569"/>
        <w:gridCol w:w="570"/>
        <w:gridCol w:w="109"/>
        <w:gridCol w:w="109"/>
        <w:gridCol w:w="109"/>
        <w:gridCol w:w="413"/>
        <w:gridCol w:w="413"/>
        <w:gridCol w:w="461"/>
      </w:tblGrid>
      <w:tr>
        <w:trPr/>
        <w:tc>
          <w:tcPr>
            <w:tcW w:w="129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139,836 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4"/>
        <w:gridCol w:w="1079"/>
        <w:gridCol w:w="1059"/>
        <w:gridCol w:w="282"/>
        <w:gridCol w:w="1106"/>
        <w:gridCol w:w="144"/>
        <w:gridCol w:w="109"/>
        <w:gridCol w:w="109"/>
        <w:gridCol w:w="109"/>
        <w:gridCol w:w="446"/>
        <w:gridCol w:w="398"/>
        <w:gridCol w:w="399"/>
        <w:gridCol w:w="109"/>
        <w:gridCol w:w="109"/>
        <w:gridCol w:w="109"/>
        <w:gridCol w:w="591"/>
        <w:gridCol w:w="569"/>
        <w:gridCol w:w="570"/>
        <w:gridCol w:w="109"/>
        <w:gridCol w:w="109"/>
        <w:gridCol w:w="109"/>
        <w:gridCol w:w="413"/>
        <w:gridCol w:w="413"/>
        <w:gridCol w:w="461"/>
      </w:tblGrid>
      <w:tr>
        <w:trPr/>
        <w:tc>
          <w:tcPr>
            <w:tcW w:w="129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2024</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Water Utility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Services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Unallocated Corporate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325,556 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expenses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long-term debt and other interest expense</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32,395 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___________________________________</w:t>
      </w:r>
      <w:r>
        <w:rPr>
          <w:color w:val="000000"/>
        </w:rPr>
        <w:t xml:space="preserve"> </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The “Other Services” category includes the accounts of SJW Land Co, Chester Reality, Inc., SJWC’s Cupertino service concession arrangement operations, TWOS, TWR, and NEWUS, on a stand-alone basis.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    The “Unallocated Corporate” category includes the accounts of H2O America, SJWNE LLC, SJWTX Holdings, Inc., CTWS, NWU on a stand-alone basis.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    Primarily comprised of pension non-service credit (cost) and items of miscellaneous non-operating income (expense).</w:t>
      </w:r>
    </w:p>
    <w:p>
      <w:pPr>
        <w:pStyle w:val="TextBody"/>
        <w:bidi w:val="0"/>
        <w:spacing w:before="0" w:after="0"/>
        <w:ind w:left="0" w:right="0" w:hanging="720"/>
        <w:jc w:val="left"/>
        <w:rPr/>
      </w:pPr>
      <w:r>
        <w:rPr/>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H2O America’s assets for the Water Utility Services reportable segment and all other are as follows as of:</w:t>
      </w:r>
    </w:p>
    <w:tbl>
      <w:tblPr>
        <w:tblW w:w="6854" w:type="dxa"/>
        <w:jc w:val="left"/>
        <w:tblInd w:w="0" w:type="dxa"/>
        <w:tblLayout w:type="fixed"/>
        <w:tblCellMar>
          <w:top w:w="28" w:type="dxa"/>
          <w:left w:w="28" w:type="dxa"/>
          <w:bottom w:w="28" w:type="dxa"/>
          <w:right w:w="28" w:type="dxa"/>
        </w:tblCellMar>
      </w:tblPr>
      <w:tblGrid>
        <w:gridCol w:w="1308"/>
        <w:gridCol w:w="1150"/>
        <w:gridCol w:w="1157"/>
        <w:gridCol w:w="211"/>
        <w:gridCol w:w="976"/>
        <w:gridCol w:w="109"/>
        <w:gridCol w:w="109"/>
        <w:gridCol w:w="109"/>
        <w:gridCol w:w="109"/>
        <w:gridCol w:w="488"/>
        <w:gridCol w:w="488"/>
        <w:gridCol w:w="640"/>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 (reportable segment)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4,567,182 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4,658,309 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72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H2O AMERICA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ind w:left="0" w:right="0" w:hanging="2160"/>
        <w:jc w:val="left"/>
        <w:rPr>
          <w:rFonts w:ascii="Times New Roman;serif" w:hAnsi="Times New Roman;serif"/>
          <w:b/>
          <w:color w:val="000000"/>
          <w:sz w:val="20"/>
        </w:rPr>
      </w:pPr>
      <w:r>
        <w:rPr>
          <w:rFonts w:ascii="Times New Roman;serif" w:hAnsi="Times New Roman;serif"/>
          <w:b/>
          <w:color w:val="000000"/>
          <w:sz w:val="20"/>
        </w:rPr>
        <w:t>Note 10.Subsequent Events</w:t>
      </w:r>
    </w:p>
    <w:p>
      <w:pPr>
        <w:pStyle w:val="TextBody"/>
        <w:bidi w:val="0"/>
        <w:spacing w:lineRule="auto" w:line="26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H2O America acquisition</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7, 2025, the Company, through its indirect subsidiary, TWC, entered into an Asset Purchase Agreement (the “Regulated Business APA”), with Quadvest, L.P., a Texas limited partnership, as seller (“Quadvest Retail”) and the Company, as guarantor, pursuant to which, and subject to the terms and conditions set forth therein, Quadvest Retail has agreed to sell, and TWC has agreed to acquire, substantially all of the assets of Quadvest Retail related to the operation of Quadvest Retail’s water and sewer utility business (the “Regulated Business”) at a purchase price consisting of a base amount of $483,600, with certain adjustments based on capital expenditures (the “Regulated Business Transaction”). The Regulated Business Transaction will be subject to the satisfaction of various closing conditions set forth in the Regulated Business APA, including satisfaction of the closing conditions with respect to the Wholesale Business Transaction described below. </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Concurrently on July 7, 2025, the Company, its indirect subsidiary, Texas Water Operation Services, LLC (“TWOS”) and TWC (together with the Company and TWOS, the “Purchasers”), entered into another Asset Purchase Agreement (the “Wholesale Business APA” and together with the Regulated Business APA, the “Agreements”), with Quadvest Retail and its affiliate, Quadvest Wholesale, LLC, a Texas limited liability company (“Quadvest Wholesale” and together with Quadvest Retail, the “Sellers”), pursuant to which, and subject to the terms and conditions set forth therein, Quadvest Wholesale has agreed to sell, and TWOS has agreed to acquire substantially all of the assets of Quadvest Wholesale related to the operation of the Quadvest Wholesale’s wholesale water and sewer business (the “Wholesale Business” and together with the Regulated Business, the “Businesses”) at a purchase price consisting of a base amount of $56,400, with certain adjustments based on capital expenditures (the “Wholesale Business Transaction”, and together with the Regulated Business Transaction, the “Transactions”). The Wholesale Business Transaction will be subject to the satisfaction of various closing conditions set forth in the Wholesale Business APA, including the simultaneous closing of the Regulated Business Transaction described above.</w:t>
      </w:r>
    </w:p>
    <w:p>
      <w:pPr>
        <w:pStyle w:val="TextBody"/>
        <w:bidi w:val="0"/>
        <w:spacing w:lineRule="auto" w:line="26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Maine and Connecticut financing agreements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May 23, 2025, MWC submitted an application with MPUC seeking approval to issue unsecured notes in an amount up to $25,000. The MPUC granted approval on June 17, 2025. On July 10, 2025, MWC issued a promissory note to a national cooperative bank under an existing master loan agreement for a principal amount of $25,000 at a fixed interest rate of 6.70%. The note is an unsecured obligation of MWC due on July 20, 2055. Interest is payable quarterly in arrears on the 20th day of January, April, July and October of each year.</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11, 2025, CTWS repaid the $25,000 outstanding balance on a credit agreement originally due on August 13, 2025. Concurrently, CTWS terminated this credit agreement, which had a credit limit of $40,000, on July 11, 2025.</w:t>
      </w:r>
    </w:p>
    <w:p>
      <w:pPr>
        <w:pStyle w:val="TextBody"/>
        <w:bidi w:val="0"/>
        <w:spacing w:before="0" w:after="0"/>
        <w:jc w:val="left"/>
        <w:rPr/>
      </w:pPr>
      <w:r>
        <w:rPr/>
      </w:r>
    </w:p>
    <w:p>
      <w:pPr>
        <w:pStyle w:val="TextBody"/>
        <w:bidi w:val="0"/>
        <w:spacing w:lineRule="auto" w:line="26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One Big Beautiful Bill Act (“OBBBA”)</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4, 2025, Public Law No. 119-21, known as the OBBBA was signed into law. The OBBBA contains several tax provisions affecting business taxpayers. The company is evaluating the impact of these provisions on the income tax provision in our consolidated financial statements. Any changes will be recognized in the period of enactment which is the third quarter of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2.MANAGEMENT’S DISCUSSION AND ANALYSIS OF FINANCIAL CONDITION AND RESULTS OF OPERATIONS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(Dollar amounts in thousands, except per share amounts and where otherwise noted)</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H2O America’s Annual Report on Form 10-K for the year ended December 31, 2024.</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This report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H2O America’s Annual Report on Form 10-K for the year ended December 31, 2024 under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changed the corporate name from SJW Group to H2O America. H2O America is a holding company whose primary business involves ownership of public utilities that provide water and wastewater services, including the production, purchase, storage, purification, distribution, wholesale and retail sale of water. The water utility business of H2O America is conducted through the following wholly owned subsidiaries: San Jose Water Company (“SJWC”), The Connecticut Water Company (“CWC”), The Maine Water Company (“MWC”), SJWTX, Inc. doing business as The Texas Water Company (“TWC”). These subsidiaries provide water service to approximately 407,000 water and wastewater service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 </w:t>
      </w:r>
    </w:p>
    <w:p>
      <w:pPr>
        <w:pStyle w:val="TextBody"/>
        <w:bidi w:val="0"/>
        <w:spacing w:lineRule="auto" w:line="288" w:before="120" w:after="283"/>
        <w:jc w:val="left"/>
        <w:rPr/>
      </w:pPr>
      <w:r>
        <w:rPr>
          <w:rFonts w:ascii="Times New Roman;serif" w:hAnsi="Times New Roman;serif"/>
          <w:b w:val="false"/>
          <w:color w:val="000000"/>
          <w:sz w:val="20"/>
        </w:rPr>
        <w:t xml:space="preserve">Together, </w:t>
      </w:r>
      <w:r>
        <w:rPr>
          <w:rFonts w:ascii="Times New Roman;serif" w:hAnsi="Times New Roman;serif"/>
          <w:b w:val="false"/>
          <w:color w:val="000000"/>
          <w:sz w:val="20"/>
          <w:shd w:fill="FFFFFF" w:val="clear"/>
        </w:rPr>
        <w:t xml:space="preserve">SJWC, excluding the City of Cupertino (“Cupertino”) service concession arrangement operations, CWC, MWC and TWC </w:t>
      </w:r>
      <w:r>
        <w:rPr>
          <w:rFonts w:ascii="Times New Roman;serif" w:hAnsi="Times New Roman;serif"/>
          <w:b w:val="false"/>
          <w:color w:val="000000"/>
          <w:sz w:val="20"/>
        </w:rPr>
        <w:t>are referred to as “Water Utility Services,” which is our single reportable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business activities that are not separately reportable segments are SJWC’s Cupertino service concession arrangement operations, Texas Water Operation Services, LLC (“TWOS”), Texas Water Resources, LLC (“TWR”), New England Water Utility Services, Inc. (“NEWUS”), SJW Land Company and Chester Realty, Inc. and are collectively referred to as “Other Services.”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Business Strategy for Water Utility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focuses its business initiatives in three strategic areas: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(1)Investing in regional regulated water utility operations to support the health, safety and quality of life of our customers;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(2)Regional non-tariffed water utility-related services provided in accordance with the guidelines established by applicable state public utility commissions;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(3)Out-of-region water and utility-related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integration of controls necessary for internal control and financial reporting, could interfere with our operations, reduce our operating margins and adversely affect our internal controls. H2O America cannot be certain that any transaction will be successful or that it will not materially harm operating results or our financial condition.</w:t>
      </w:r>
    </w:p>
    <w:p>
      <w:pPr>
        <w:pStyle w:val="TextBody"/>
        <w:bidi w:val="0"/>
        <w:spacing w:lineRule="auto" w:line="288" w:before="120" w:after="283"/>
        <w:jc w:val="left"/>
        <w:rPr/>
      </w:pPr>
      <w:r>
        <w:rPr>
          <w:rFonts w:ascii="Times New Roman;serif" w:hAnsi="Times New Roman;serif"/>
          <w:b w:val="false"/>
          <w:color w:val="000000"/>
          <w:sz w:val="20"/>
        </w:rPr>
        <w:t xml:space="preserve">As previously disclosed, H2O America, through its indirect subsidiary, TWC, is set to acquire regulated systems owned by Quadvest L.P. for $483,600, and TWOS will acquire systems owned by Quadvest Wholesale LLC for $56,400. Please see </w:t>
      </w:r>
      <w:hyperlink w:anchor="i53d572db81fc42aeb32b290f2415a820_1116">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“Subsequent Events” for further discussion. On the completion of this acquisition, Quadvest will bring operational scale, a strong development pipeline, and increased exposure to one of America’s fastest growing regions, Houston, TX. Quadvest brings a strong legacy of local relationships and reliable service. It has been providing water and sewer service in Southeast Texas for nearly 50 years through its operating entities. As previously disclosed, H2O America updated its segment presentation in the fourth quarter of 2024. Accordingly, prior period information has been recast to conform with the current period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is based on the accounting estimates used and disclosed in our 2024 consolidated financial statements and accompanying notes that were prepared in accordance with accounting principles generally accepted in the United States of America and included as part of our Annual Report on Form 10-K for the year ended December 31, 2024, that was filed with the Securities and Exchange Commission on February 28,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of Financial Condition and Results of Operations included in our Annual Report on Form 10-K for the year ended December 31, 2024. Our significant accounting policies are described in the notes to the 2024 consolidated financial statements included in our Annual Report on Form 10-K for the year ended December 31, 2024. There have been no changes to critical accounting estimates or significant accounting policies during the three and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See Note 1 of “Notes to Unaudited Condensed Consolidated Financial Statements” for a discussion of new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sales are seasonal in nature and are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 </w:t>
      </w:r>
    </w:p>
    <w:p>
      <w:pPr>
        <w:pStyle w:val="TextBody"/>
        <w:bidi w:val="0"/>
        <w:spacing w:lineRule="auto" w:line="288" w:before="120" w:after="283"/>
        <w:ind w:left="0" w:right="0" w:firstLine="45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Overview</w:t>
      </w:r>
    </w:p>
    <w:p>
      <w:pPr>
        <w:pStyle w:val="TextBody"/>
        <w:bidi w:val="0"/>
        <w:spacing w:lineRule="auto" w:line="288" w:before="120" w:after="283"/>
        <w:jc w:val="left"/>
        <w:rPr/>
      </w:pPr>
      <w:r>
        <w:rPr>
          <w:rFonts w:ascii="Times New Roman;serif" w:hAnsi="Times New Roman;serif"/>
          <w:b w:val="false"/>
          <w:color w:val="000000"/>
          <w:sz w:val="20"/>
        </w:rPr>
        <w:t>H2O America’s consolidated net income for the three months ended June 30, 2025 was $24,675, an increase of $3,979, or 19%, from $20,696 for the same period in 2024. H2O America’s consolidated net income for the six months ended June 30, 2025 was</w:t>
      </w:r>
      <w:r>
        <w:rPr>
          <w:color w:val="EE2724"/>
        </w:rPr>
        <w:t xml:space="preserve"> </w:t>
      </w:r>
      <w:r>
        <w:rPr>
          <w:rFonts w:ascii="Times New Roman;serif" w:hAnsi="Times New Roman;serif"/>
          <w:b w:val="false"/>
          <w:color w:val="000000"/>
          <w:sz w:val="20"/>
        </w:rPr>
        <w:t>$41,226, an increase of $8,831, or approximately 27%, from $32,395 for the same period in 2024. The increase in net income for the three and six months ended June 30, 2025 was primarily driven by rate increases in California and Connecticut. These factors were offset by higher water production expenses and increased other operating expenses as discussed below.</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has a single reportable segment, referred to as “Water Utility Services.” All other business activities not separately reportable are included in “Other Services.” Operating revenue for the Water Utility Services reportable segment and Other Services was as follows:</w:t>
      </w:r>
    </w:p>
    <w:tbl>
      <w:tblPr>
        <w:tblW w:w="7884" w:type="dxa"/>
        <w:jc w:val="left"/>
        <w:tblInd w:w="0" w:type="dxa"/>
        <w:tblLayout w:type="fixed"/>
        <w:tblCellMar>
          <w:top w:w="28" w:type="dxa"/>
          <w:left w:w="28" w:type="dxa"/>
          <w:bottom w:w="28" w:type="dxa"/>
          <w:right w:w="28" w:type="dxa"/>
        </w:tblCellMar>
      </w:tblPr>
      <w:tblGrid>
        <w:gridCol w:w="749"/>
        <w:gridCol w:w="658"/>
        <w:gridCol w:w="663"/>
        <w:gridCol w:w="260"/>
        <w:gridCol w:w="1019"/>
        <w:gridCol w:w="134"/>
        <w:gridCol w:w="134"/>
        <w:gridCol w:w="134"/>
        <w:gridCol w:w="134"/>
        <w:gridCol w:w="413"/>
        <w:gridCol w:w="413"/>
        <w:gridCol w:w="156"/>
        <w:gridCol w:w="109"/>
        <w:gridCol w:w="109"/>
        <w:gridCol w:w="109"/>
        <w:gridCol w:w="236"/>
        <w:gridCol w:w="927"/>
        <w:gridCol w:w="122"/>
        <w:gridCol w:w="122"/>
        <w:gridCol w:w="122"/>
        <w:gridCol w:w="122"/>
        <w:gridCol w:w="413"/>
        <w:gridCol w:w="413"/>
        <w:gridCol w:w="213"/>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Revenue by Segment</w:t>
            </w:r>
          </w:p>
        </w:tc>
      </w:tr>
      <w:tr>
        <w:trPr/>
        <w:tc>
          <w:tcPr>
            <w:tcW w:w="2070" w:type="dxa"/>
            <w:gridSpan w:val="3"/>
            <w:vMerge w:val="continue"/>
            <w:tcBorders/>
            <w:tcMar>
              <w:top w:w="0" w:type="dxa"/>
              <w:left w:w="0" w:type="dxa"/>
              <w:bottom w:w="0" w:type="dxa"/>
              <w:right w:w="0" w:type="dxa"/>
            </w:tcMar>
            <w:vAlign w:val="center"/>
          </w:tcPr>
          <w:p>
            <w:pPr>
              <w:pStyle w:val="Normal"/>
              <w:bidi w:val="0"/>
              <w:jc w:val="left"/>
              <w:rPr/>
            </w:pPr>
            <w:r>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194,674 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316,961 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176,174 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consolidated operating revenue was due to the following factors:</w:t>
      </w:r>
    </w:p>
    <w:tbl>
      <w:tblPr>
        <w:tblW w:w="7372" w:type="dxa"/>
        <w:jc w:val="left"/>
        <w:tblInd w:w="0" w:type="dxa"/>
        <w:tblLayout w:type="fixed"/>
        <w:tblCellMar>
          <w:top w:w="28" w:type="dxa"/>
          <w:left w:w="28" w:type="dxa"/>
          <w:bottom w:w="28" w:type="dxa"/>
          <w:right w:w="28" w:type="dxa"/>
        </w:tblCellMar>
      </w:tblPr>
      <w:tblGrid>
        <w:gridCol w:w="1054"/>
        <w:gridCol w:w="924"/>
        <w:gridCol w:w="932"/>
        <w:gridCol w:w="211"/>
        <w:gridCol w:w="721"/>
        <w:gridCol w:w="109"/>
        <w:gridCol w:w="109"/>
        <w:gridCol w:w="109"/>
        <w:gridCol w:w="109"/>
        <w:gridCol w:w="203"/>
        <w:gridCol w:w="203"/>
        <w:gridCol w:w="271"/>
        <w:gridCol w:w="109"/>
        <w:gridCol w:w="109"/>
        <w:gridCol w:w="109"/>
        <w:gridCol w:w="211"/>
        <w:gridCol w:w="721"/>
        <w:gridCol w:w="109"/>
        <w:gridCol w:w="109"/>
        <w:gridCol w:w="109"/>
        <w:gridCol w:w="109"/>
        <w:gridCol w:w="203"/>
        <w:gridCol w:w="203"/>
        <w:gridCol w:w="31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Consumption 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Rate increases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Pass-through water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increases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Regulatory mechanisms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and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operating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Consists of rate increases specifically associated with changes in the water supply costs that are passed through to customers.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(2)    Primarily associated with general rate cases and related annual escalation adjustments, infrastructure surcharges, and cost of capital adjustments.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(3)    Excludes portion attributable to rate increases, which are shown in the rate increase lines above.</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 is summarized below:</w:t>
      </w:r>
    </w:p>
    <w:tbl>
      <w:tblPr>
        <w:tblW w:w="7778" w:type="dxa"/>
        <w:jc w:val="left"/>
        <w:tblInd w:w="0" w:type="dxa"/>
        <w:tblLayout w:type="fixed"/>
        <w:tblCellMar>
          <w:top w:w="28" w:type="dxa"/>
          <w:left w:w="28" w:type="dxa"/>
          <w:bottom w:w="28" w:type="dxa"/>
          <w:right w:w="28" w:type="dxa"/>
        </w:tblCellMar>
      </w:tblPr>
      <w:tblGrid>
        <w:gridCol w:w="711"/>
        <w:gridCol w:w="624"/>
        <w:gridCol w:w="629"/>
        <w:gridCol w:w="260"/>
        <w:gridCol w:w="1019"/>
        <w:gridCol w:w="134"/>
        <w:gridCol w:w="134"/>
        <w:gridCol w:w="134"/>
        <w:gridCol w:w="134"/>
        <w:gridCol w:w="413"/>
        <w:gridCol w:w="413"/>
        <w:gridCol w:w="156"/>
        <w:gridCol w:w="109"/>
        <w:gridCol w:w="109"/>
        <w:gridCol w:w="109"/>
        <w:gridCol w:w="236"/>
        <w:gridCol w:w="927"/>
        <w:gridCol w:w="122"/>
        <w:gridCol w:w="122"/>
        <w:gridCol w:w="122"/>
        <w:gridCol w:w="122"/>
        <w:gridCol w:w="413"/>
        <w:gridCol w:w="413"/>
        <w:gridCol w:w="21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Expense by Segment</w:t>
            </w:r>
          </w:p>
        </w:tc>
      </w:tr>
      <w:tr>
        <w:trPr/>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154,390 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135,604 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 in consolidated operating expense was due to the following factors:</w:t>
      </w:r>
    </w:p>
    <w:tbl>
      <w:tblPr>
        <w:tblW w:w="10205" w:type="dxa"/>
        <w:jc w:val="left"/>
        <w:tblInd w:w="0" w:type="dxa"/>
        <w:tblLayout w:type="fixed"/>
        <w:tblCellMar>
          <w:top w:w="28" w:type="dxa"/>
          <w:left w:w="28" w:type="dxa"/>
          <w:bottom w:w="28" w:type="dxa"/>
          <w:right w:w="28" w:type="dxa"/>
        </w:tblCellMar>
      </w:tblPr>
      <w:tblGrid>
        <w:gridCol w:w="2165"/>
        <w:gridCol w:w="1786"/>
        <w:gridCol w:w="1791"/>
        <w:gridCol w:w="211"/>
        <w:gridCol w:w="721"/>
        <w:gridCol w:w="109"/>
        <w:gridCol w:w="109"/>
        <w:gridCol w:w="109"/>
        <w:gridCol w:w="109"/>
        <w:gridCol w:w="203"/>
        <w:gridCol w:w="203"/>
        <w:gridCol w:w="271"/>
        <w:gridCol w:w="109"/>
        <w:gridCol w:w="109"/>
        <w:gridCol w:w="109"/>
        <w:gridCol w:w="211"/>
        <w:gridCol w:w="721"/>
        <w:gridCol w:w="109"/>
        <w:gridCol w:w="109"/>
        <w:gridCol w:w="109"/>
        <w:gridCol w:w="109"/>
        <w:gridCol w:w="203"/>
        <w:gridCol w:w="203"/>
        <w:gridCol w:w="317"/>
      </w:tblGrid>
      <w:tr>
        <w:trPr/>
        <w:tc>
          <w:tcPr>
            <w:tcW w:w="2165"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5742"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production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usage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new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 and groundwater extraction charge, energy price change and other production expenses,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Balancing and memorandum account cost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water production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and general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 and other non-income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change in operating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r>
        <w:trPr/>
        <w:tc>
          <w:tcPr>
            <w:tcW w:w="57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Sources of Water Supply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tracked in SJWC’s Full Cost Balancing Account (“FCBA”) authorized by the California Public Utilities Commission (“CPUC”) for cost recovery.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water conditions remained positive across the State of California. As a result, the California Department of Water Resources (“DWR”) announced an increase in the State Water Project allocation from 35% to 40% of the contract amount during the first quarter of 2025, and the U.S. Bureau of Reclamation kept the Central Valley Project allocation at 75% during the same period. The DWR further announced an increase in the State Water Project allocation from 40% to 50% of the contract amount during the second quarter of 2025, while the U.S. Bureau of Reclamation’s Central Valley Project allocation increased from 75% to 80% during the same period. On July 1, 2025, Valley Water’s 10 reservoirs were at 75% of restricted capacity, with 15.3 billion gallons of water in storage. Valley Water’s largest reservoir, Anderson, remained drained for a dam seismic retrofit project. Valley Water also reported that managed groundwater recharge from January 2025 to June 2025 in the Santa Clara Plain was 111% of the five-year average. The groundwater level in the Santa Clara Plain is approximately 12 feet lower than in June 2024. According to Valley Water, the projected total groundwater storage at the end of 2025 is expected to be in the Normal Stage of the Water Shortage Contingency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SJWC’s Lake Elsman was at 93.5% of capacity with 1.9 billion gallons of water, approximately 156.5% of the five-year seasonal average. In addition, the rainfall at SJWC’s Lake Elsman was measured at 37.68 inches for the period from July 1, 2024 through June 30, 2025, which is 84.9% of the five-year average. SJWC’s Montevina Water Treatment Plant treated 1.4 billion gallons of water through the second quarter of 2025, which is 101.1% of the five-year average. SJWC’s Saratoga Water Treatment Plant treated 40 million gallons of water through the second quarter of 2025, which is 78.5% of the five-year average. The Saratoga Water Treatment Plant was taken out of service during the second quarter of 2025 due to a lack of surface water runoff and will remain offline until the next rain season. SJWC believes that its various sources of water supply will be sufficient to meet customer demand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California faces long-term water supply challenges. SJWC actively works with Valley Water to meet these challenges by continuing to educate customers on responsible water use practices and conducting long-range water supply planning. Valley Water’s 15% voluntary call for conservation and certain watering and water waste rules established in 2023 are still in place for 2025. The call for continued conservation is due to a major storage reservoir currently offline for seismic retrofits.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CWC’s water sources vary among the individual systems, but overall, approximately 60% of the total dependable yield comes from surface water supplies and 40% from wells. In addition, CWC has water supply agreements to supplement its water supply with the South Central Connecticut Regional Water Authority and The Metropolitan District that expire in 2058 and 2053, respectively. CWC believes that it will be able to meet customer demand for 2025 with its existing water supply which consists of groundwater from wells, surface water in reservoirs and purchased water treated by neighboring water utilities.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approximately 7,602 acre-feet of water per year from Canyon Lake at prices that may be adjusted periodically by GBRA. TWC also has raw water supply agreements with the Lower Colorado River Authority and West Travis County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TWC also owns eight wells and the associated water rights of KT Water Resources, LLC. These wells have been projected to yield at least 6,000 acre-feet per year. Development of the KT Water System continues.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Despite ongoing drought conditions in the Texas service area, which have led to water usage restrictions for customers, TWC expects to meet customer demand for 2025 based on current conditions. This expectation is supported by its diversified water supply portfolio, including groundwater wells, surface water, and purchased treated water from the GBRA. To ensure long-term system resilience, significant capital investments in transmission mains, storage facilities, and new supply sources are planned for 2025 and beyond.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sources at MWC vary among the individual systems, but overall, approximately 90% of the total dependable yield comes from surface water supplies and 10% from wells. MWC has a water supply agreement with the Kennebec Water District expiring in 2040. MWC believes that it will be able to meet customer demand for 2025 with its existing water supply which consists of groundwater from wells, surface water in reservoirs and rivers, and purchased water treated by neighboring water utilities.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sources of water supply:</w:t>
      </w:r>
    </w:p>
    <w:tbl>
      <w:tblPr>
        <w:tblW w:w="10205" w:type="dxa"/>
        <w:jc w:val="left"/>
        <w:tblInd w:w="0" w:type="dxa"/>
        <w:tblLayout w:type="fixed"/>
        <w:tblCellMar>
          <w:top w:w="28" w:type="dxa"/>
          <w:left w:w="28" w:type="dxa"/>
          <w:bottom w:w="28" w:type="dxa"/>
          <w:right w:w="28" w:type="dxa"/>
        </w:tblCellMar>
      </w:tblPr>
      <w:tblGrid>
        <w:gridCol w:w="520"/>
        <w:gridCol w:w="394"/>
        <w:gridCol w:w="364"/>
        <w:gridCol w:w="309"/>
        <w:gridCol w:w="218"/>
        <w:gridCol w:w="159"/>
        <w:gridCol w:w="159"/>
        <w:gridCol w:w="159"/>
        <w:gridCol w:w="159"/>
        <w:gridCol w:w="309"/>
        <w:gridCol w:w="218"/>
        <w:gridCol w:w="159"/>
        <w:gridCol w:w="109"/>
        <w:gridCol w:w="109"/>
        <w:gridCol w:w="109"/>
        <w:gridCol w:w="266"/>
        <w:gridCol w:w="266"/>
        <w:gridCol w:w="268"/>
        <w:gridCol w:w="109"/>
        <w:gridCol w:w="109"/>
        <w:gridCol w:w="109"/>
        <w:gridCol w:w="215"/>
        <w:gridCol w:w="215"/>
        <w:gridCol w:w="537"/>
        <w:gridCol w:w="109"/>
        <w:gridCol w:w="109"/>
        <w:gridCol w:w="109"/>
        <w:gridCol w:w="283"/>
        <w:gridCol w:w="228"/>
        <w:gridCol w:w="151"/>
        <w:gridCol w:w="151"/>
        <w:gridCol w:w="151"/>
        <w:gridCol w:w="151"/>
        <w:gridCol w:w="283"/>
        <w:gridCol w:w="228"/>
        <w:gridCol w:w="151"/>
        <w:gridCol w:w="109"/>
        <w:gridCol w:w="109"/>
        <w:gridCol w:w="109"/>
        <w:gridCol w:w="266"/>
        <w:gridCol w:w="266"/>
        <w:gridCol w:w="268"/>
        <w:gridCol w:w="109"/>
        <w:gridCol w:w="109"/>
        <w:gridCol w:w="109"/>
        <w:gridCol w:w="281"/>
        <w:gridCol w:w="206"/>
        <w:gridCol w:w="612"/>
      </w:tblGrid>
      <w:tr>
        <w:trPr/>
        <w:tc>
          <w:tcPr>
            <w:tcW w:w="52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Change</w:t>
            </w:r>
          </w:p>
        </w:tc>
      </w:tr>
      <w:tr>
        <w:trPr/>
        <w:tc>
          <w:tcPr>
            <w:tcW w:w="1278" w:type="dxa"/>
            <w:gridSpan w:val="3"/>
            <w:vMerge w:val="continue"/>
            <w:tcBorders/>
            <w:tcMar>
              <w:top w:w="0" w:type="dxa"/>
              <w:left w:w="0" w:type="dxa"/>
              <w:bottom w:w="0" w:type="dxa"/>
              <w:right w:w="0" w:type="dxa"/>
            </w:tcMar>
            <w:vAlign w:val="center"/>
          </w:tcPr>
          <w:p>
            <w:pPr>
              <w:pStyle w:val="Normal"/>
              <w:bidi w:val="0"/>
              <w:jc w:val="left"/>
              <w:rPr/>
            </w:pPr>
            <w:r>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(billion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(billion gallons)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water</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Groundwater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Surface water</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Reclaimed water</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source of supply mix were consistent with the changes in the water production expenses.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Water Production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water production expenses of $10,399 for the three months ended June 30, 2025, compared to the same period in 2024, was primarily attributable to increases in average per unit costs for purchased water and groundwater extraction, increases in production volume, and decreases in availability of surface water, offset by decreases resulting from regulatory adjustments through SJWC’s FCBA.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water production expenses of $17,572 for the six months ended June 30, 2025, compared to the same period in 2024, was primarily attributable to increases in average per unit costs for purchased water and groundwater extraction, and increases in production volume, and decreases in availability of surface water, offset by decreases resulting from regulatory adjustments.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Effective July 1, 2024, Valley Water increased the unit price of purchased water by approximately 12% and the groundwater extraction charge by approximately 13% for SJWC. SJWC was notified by Valley Water that the unit price of purchased water and the groundwater extraction charge were increased by 9% and 10%, respectively, effective July 1, 2025. </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Operating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 excluding water production expenses, increased $8,387 for the three months ended June 30, 2025, compared to the same period in 2024. The increase was primarily attributable to increases in general and administrative expenses for customer credit losses as a result of funds received from the California Extended Water and Wastewater Arrearage Payment Program in the prior year, and increases in acquisition costs, insurance, and contracted work.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excluding water production expenses, increased $11,448 for the six months ended June 30, 2025, compared to the same period in 2024. The increase was primarily attributable to an increase in general and administrative expenses related to customer credit losses as a result of funds received from the California Extended Water and Wastewater Arrearage Payment Program in the prior year, and increases in acquisition costs, insurance, and contracted work. </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(Expense)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compared to the same period in 2024, the change in other (expense) income was primarily due to increases in pension non-service credit and a loss on sale of real estate investments recorded in prior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compared to the same period in 2024, the change in other (expense) income was primarily due to lower income from certain service and other activities, and an increase in interest expense, offset by an increase in pension non-service credit, and a loss on sale of real estate investments recorded in prior year. </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Provision for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compared to the same period in 2024, income tax expense increased $946 and $2,186, respectively. The increase in income tax expense for the three and six months ended June 30, 2025 was primarily due to a higher pre-tax income in 2025. The effective consolidated income tax rates were 16% and 15% for the three months ended June 30, 2025 and 2024, respectively, and 16% for six months ended for both June 30, 2025 and 2024, respectively. </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Public Law No. 119-21, known as the One Big Beautiful Bill Act (“OBBBA”) was signed into law. The OBBBA contains several tax provisions affecting business taxpayers. The company is evaluating the impact of these provisions on the income tax provision in our consolidated financial statements. Any changes will be recognized in the period of enactment which is the third quarter of 2025.</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Regulation and Rates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Almost all of the operating revenue of H2O America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pStyle w:val="TextBody"/>
        <w:bidi w:val="0"/>
        <w:spacing w:lineRule="auto" w:line="256" w:before="160" w:after="283"/>
        <w:jc w:val="left"/>
        <w:rPr/>
      </w:pPr>
      <w:r>
        <w:rPr>
          <w:rFonts w:ascii="Times New Roman;serif" w:hAnsi="Times New Roman;serif"/>
          <w:b w:val="false"/>
          <w:color w:val="000000"/>
          <w:sz w:val="20"/>
        </w:rPr>
        <w:t xml:space="preserve">Please also see </w:t>
      </w:r>
      <w:hyperlink w:anchor="i53d572db81fc42aeb32b290f2415a820_40">
        <w:r>
          <w:rPr>
            <w:rStyle w:val="InternetLink"/>
            <w:rFonts w:ascii="Times New Roman;serif" w:hAnsi="Times New Roman;serif"/>
            <w:b w:val="false"/>
            <w:color w:val="0000FF"/>
            <w:sz w:val="20"/>
            <w:u w:val="single"/>
          </w:rPr>
          <w:t>Note 2</w:t>
        </w:r>
      </w:hyperlink>
      <w:r>
        <w:rPr>
          <w:color w:val="000000"/>
        </w:rPr>
        <w:t xml:space="preserve"> </w:t>
      </w:r>
      <w:r>
        <w:rPr>
          <w:rFonts w:ascii="Times New Roman;serif" w:hAnsi="Times New Roman;serif"/>
          <w:b w:val="false"/>
          <w:color w:val="000000"/>
          <w:sz w:val="20"/>
        </w:rPr>
        <w:t>of “Notes to Condensed Consolidated Financial Statements.”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California Regulatory Affairs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 2024, SJWC filed General Rate Case Application No. 24-01-001 with the CPUC to increase rates charged for water service by $55,196 or 11.11% in 2025, by $22,041 or 3.99% in 2026, and by $25,809 or 4.49% in 2027. The application proposed a $540,000 three-year capital budget and included requests to recover $23,462 from balancing and memorandum accounts, further alignment between actual and authorized usage, and a shift to greater revenue collection in the service charge. On December 19, 2024, the CPUC approved a final decision, Decision No. 24-12-077, for rate increases of $21,318 or 3.91% in 2025, $14,432 or 2.55% in 2026, and $17,373 or 2.98% in 2027. The decision also provides a three-year capital budget of $450,000 and recovery of $15,792 in balancing and memorandum accounts.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18, 2024, SJWC, along with three other California water utilities, filed a joint request for a one-year deferment on the cost of capital filings which would otherwise be due on May 1, 2025. Postponing the filing a year alleviates administrative processing costs on the utilities as well as the CPUC staff and provides relief for both CPUC and utility resources already strained by numerous other proceedings. The request was conditioned on leaving the current Water Cost of Capital Mechanism in place such that any adjustments will be made to the respective utilities’ cost of capital during the one-year deferment based on the mechanism. The request was approved on January 14,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filed Advice Letter No. 613 on December 20, 2024, to increase the authorized revenue requirement by $21,318, or 3.91%, and implement new water rates and recover $15,792 in balancing and memorandum accounts in accordance with Decision No. 24-12-077. This filing was approved with an effective date of January 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filed Advice Letter No. 616 on May 27, 2025, to increase the authorized revenue requirement by $22,536, or 4.00%, to offset the increases to purchased potable water charges, the groundwater extraction fee, and purchased recycled water charges from its water wholesalers effective July 1, 2025. Advice Letter No. 616 was approved with an effective date of July 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filed Advice Letter No. 617 on May 28, 2025, to increase the authorized revenue requirement by $6,818, or 1.16%, to recover revenue related to the plant additions for the Advanced Metering Infrastructure (AMI) project. Advice Letter No. 617 was approved with an effective date of July 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filed Advice Letter No. 618 on June 24, 2025, to establish the Water Contamination Litigation Memorandum Account (“WCLMA”) to track net proceeds and costs resulting from water contamination litigation. Advice Letter No. 618 was approved in July 2025 by the CPUC with an effective date of June 24, 2025.</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Connecticut Regulatory Affairs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January 28, 2025, CWC filed for a Water Infrastructure Conservation Adjustment (“WICA”) increase of $1,600 in annualized revenues for $15,700 in completed projects. On March 26, 2025, PURA approved the filing in its entirety. The cumulative WICA surcharge as of April 1, 2025, is 4.90%, collecting $6,000 on an annual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24, 2025, CWC filed its 2024 Water Rate Adjustment mechanism (“WRA”). The mechanism reconciles 2024 revenues as authorized in the CWC’s most recent rate case as well as provides for recovery of certain amounts of executive compensation as the result of the achievement of performance metrics as prescribed by PURA. The 2024 WRA surcharge of 3.62%, approved by PURA on March 26, 2025, is effective for 12 months beginning April 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6, 2025, CWC submitted an application requesting that PURA approve the issuance of $19,402 in Drinking Water State Revolving Fund Loans that the Company proposes to use to fund three projects pertaining to: (1) the interconnection of the Green Springs Water System in Madison, Connecticut with the Guilford Water System; (2) a facility for centralized treatment of raw water from certain wells in CWC’s Gallup System in Plainfield, Connecticut; and (3) a Lead Service Line Identification Program. A decision was received from PURA on April 30, 2025, approving CWC’s request.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4, 2025, the Connecticut General Assembly approved Public Act No. 25-142, An Act Concerning Water Utility Systems and Water Quality and Treatment Surcharges. The Act, signed by the Governor on July 1, 2025, allows CWC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surcharge customers for investments related to emerging contaminants, primarily per- and polyfluoroalkyl substances (“PFAS”). In accordance with the legislation, CWC submitted its Water Quality and Treatment Adjustment (“WQTA”) Assessment Report (“AR”) on July 2, 2025. PURA has 180 days to approve the AR, after which the Company will be able to apply annually to PURA for cost recovery of eligible projects.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Texas Regulatory Affairs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TWC has no current general rate case pending. However, it filed its application to establish a System Improvement Charge (“SIC”) with the Public Utilities Commission of Texas (“PUCT”) under Docket No. 54430 on December 30, 2022. SIC filings are used to include certain utility plant additions made since 2020, thereby increasing revenue and avoiding the immediate need for a general rate case. TWC’s SIC application included capital investment that improves its water and wastewater systems to better serve its customers. On March 21, 2024, the PUCT filed the final order approving TWC’s request to implement its SIC which applies to certain customers. As a result of this final order, TWC increased its annual water rates by $1,574 and its annual sewer rates by $28 on an annual basis.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12, 2024, TWC filed its application to amend its SIC with the PUCT under Docket No. 56974. Its amended SIC applies to all customers and increases its annual water revenue by $3,915 and its annual sewer revenue by $195, in addition to the original SIC filed with the PUCT under Docket No. 54430 on December 30, 2022. On May 15, 2025, the PUCT filed the final order approving TWC’s amended SIC application.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TWC is required to file a general rate case on or before March 21, 2028. Notwithstanding any SIC filing, TWC will continue to file its annual adjustments for the Water Pass-through Charges (“WPC”) for Canyon Lake, Deer Creek, Kendall West, Clear Water Estates, and Saddleridge customers. All water supply cost increases are recoverable when the next annual WPC adjustment for each system is filed.</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Maine Regulatory Affairs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October 25, 2024, MWC filed an application with MPUC to adjust customer rates in the Camden Rockland division. The proposal requested an increase in annual revenues of approximately $1,057, or 15.9%, over current authorized revenues. On June 27, 2025, MPUC approved a settlement stipulation, authorizing an increase in rates of $865, or 13.00%, with an effective date of July 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31, 2024, MWC filed for a unified tariff across its 10 separate rate divisions. A decision in this case is expected in the fourth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15, 2025, MWC filed a Water Infrastructure Surcharge in both the Oakland and Biddeford Saco divisions. The combined requested surcharge is 3.00% or $547. The MPUC issued an order approving the surcharges on June 24, 2025, with an effective date of July 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H2O America generated cash flows from operations of $104,017, compared to $100,532 for the same period in 2024.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$3,485 for the six months ended June 30, 2025 from the same period in the prior year. This increase was primarily the result of a combination of the following factors: (1) net income, adjusted for non-cash items, increased by $18,137, (2) an increase of $5,090 attributable to changes in payments of amounts previously invoiced and accrued for production costs, offset by (3) a decrease of $3,690 attributable to changes in regulatory assets and liabilities, (4) a decrease in tax accruals of $3,499 compared to the prior period, (5) a decrease attributable to accounts receivable and accrued unbilled utility revenue of $5,529 and (6) a decrease of $7,448 attributable to changes in payments related to accounts payable and other current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Water Utility Services’ write-offs for credit losses represented less than 1% of its total revenue, unchanged from June 30, 2024. Management believes that the collection rate will continue to improve for its accounts receivables as service disconnections return to normal operations.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increased by $86,892 from the same period in the prior year, primarily as a result of (1) an increase in company-funded utility capital expenditures of $46,072 and (2) a decrease in proceeds received from the sale of real estate investments in 2025 by $40,628 due to the completed sale of Tennessee properties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Cash Flow from 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six months ended June 30, 2025 increased by $79,061 from the same period in the prior year, primarily as a result of (1) an increase in net proceeds from our common stock equity offerings of $51,411, (2) an increase attributable to lower repayments on long-term debt of $39,750, (3) an increase in cash receipts of advances and contributions in aid of construction of $20,239, offset by (4) an increase in dividend paid of $3,022, (5) a decrease in net borrowings on the lines of credit of $3,396 and (6) a decrease in proceeds of $25,000 from the issuance of long-term debt. </w:t>
      </w:r>
    </w:p>
    <w:p>
      <w:pPr>
        <w:pStyle w:val="TextBody"/>
        <w:bidi w:val="0"/>
        <w:spacing w:lineRule="auto" w:line="288" w:before="160" w:after="283"/>
        <w:ind w:left="0" w:right="0" w:firstLine="630"/>
        <w:jc w:val="left"/>
        <w:rPr>
          <w:rFonts w:ascii="Times New Roman;serif" w:hAnsi="Times New Roman;serif"/>
          <w:b/>
          <w:color w:val="000000"/>
          <w:sz w:val="20"/>
        </w:rPr>
      </w:pPr>
      <w:r>
        <w:rPr>
          <w:rFonts w:ascii="Times New Roman;serif" w:hAnsi="Times New Roman;serif"/>
          <w:b/>
          <w:color w:val="000000"/>
          <w:sz w:val="20"/>
        </w:rPr>
        <w:t>Budgeted 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Water Utility Services’ estimated utility capital expenditures for 2025, exclusive of capital expenditures financed by customer contributions and advances, are anticipated to be approximately $451,000. The budgeted capital expenditures exclude capitalizable costs of $22,000 budgeted in 2025 that are associated with cloud-based computing arrangements. As of June 30, 2025, $204,440, or 45%, of the $451,000 has been invested.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$1,900,000 in capital expenditures, which includes replacement of pipes and mains, maintaining water systems, and installing approximately $300,000 in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these capital expenditures, Water Utility Services expects to incur approximately $105,000 over the next five years, including $22,000 in 2025, in capitalizable costs associated with cloud-based computing arrangements. For the six months ended June 30, 2025, Water Utility Services’ incurred $2,786 in cloud-based computing expenses.</w:t>
      </w:r>
    </w:p>
    <w:p>
      <w:pPr>
        <w:pStyle w:val="TextBody"/>
        <w:bidi w:val="0"/>
        <w:spacing w:before="120" w:after="283"/>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Sources of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Short-term Financing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and its subsidiaries have unsecured line of credit agreements where borrowings are used to refinance existing debt, for working capital, and for general corporate purposes.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line of credit agreements as of June 30, 2025 are as follows:</w:t>
      </w:r>
    </w:p>
    <w:tbl>
      <w:tblPr>
        <w:tblW w:w="9511" w:type="dxa"/>
        <w:jc w:val="left"/>
        <w:tblInd w:w="0" w:type="dxa"/>
        <w:tblLayout w:type="fixed"/>
        <w:tblCellMar>
          <w:top w:w="28" w:type="dxa"/>
          <w:left w:w="28" w:type="dxa"/>
          <w:bottom w:w="28" w:type="dxa"/>
          <w:right w:w="28" w:type="dxa"/>
        </w:tblCellMar>
      </w:tblPr>
      <w:tblGrid>
        <w:gridCol w:w="1042"/>
        <w:gridCol w:w="917"/>
        <w:gridCol w:w="920"/>
        <w:gridCol w:w="484"/>
        <w:gridCol w:w="484"/>
        <w:gridCol w:w="486"/>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Unused Portion</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Syndicated credit agreement:</w:t>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TWC</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syndicated credit agreement</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133,000 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167,000 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SJWC credit agreement</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 credit agreement</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CTWS credit agreement (1)</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160,840 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199,160 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_________</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    On July 11, 2025, CTWS repaid the outstanding balance under this credit agreement and concurrently terminated this credit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has entered into a $10,000 credit agreement with JPMorgan Chase Bank, N.A., dated June 11, 2025. The credit agreement has a maturity date of June 11,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cost of borrowing on the lines of credit averaged 5.45% compared to 6.53% in the same period in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of H2O America’s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June 30, 2025, H2O America and its subsidiaries were in compliance with all covenants on their lines of credit.</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Long-term Financing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debt and credit agreements of H2O America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June 30, 2025, H2O America and its subsidiaries were in compliance with all covenants in their long-term debt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23, 2025, MWC submitted an application with MPUC seeking approval to issue unsecured notes in an amount up to $25,000. The MPUC granted approval on June 17, 2025. On July 10, 2025, MWC issued a promissory note to a national cooperative bank under an existing master loan agreement for a principal amount of $25,000 at a fixed interest rate of 6.70%. The note is an unsecured obligation of MWC due on July 20, 2055. Interest is payable quarterly in arrears on the 20th day of January, April, July and October of each year.</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Financing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The Equity Distribution Agreement replaced the previous agreement that ended in 2024. For the three and six months ended June 30, 2025, H2O America issued and sold a total of 1,087,593 and 1,583,493 shares of common stock, respectively, with a weighted average price of $52.82 and $53.15 per share respectively, and received $57,168 and $83,713 in net proceeds, respectively, under the Equity Distribution Agreement. Since the inception of the Equity Distribution Agreement, H2O America has issued and sold 1,959,006 shares of common stock at a weighted average price of $53.59 for a total net proceeds of $103,882 and has $95,017 of aggregate gross sales price of shares remaining to issue under the Equity Distribution Agreement as of June 30, 2025.</w:t>
      </w:r>
    </w:p>
    <w:p>
      <w:pPr>
        <w:pStyle w:val="TextBody"/>
        <w:bidi w:val="0"/>
        <w:spacing w:lineRule="auto" w:line="288" w:before="120" w:after="283"/>
        <w:ind w:left="0" w:right="0" w:firstLine="495"/>
        <w:jc w:val="left"/>
        <w:rPr>
          <w:rFonts w:ascii="Times New Roman;serif" w:hAnsi="Times New Roman;serif"/>
          <w:b w:val="false"/>
          <w:i/>
          <w:color w:val="000000"/>
          <w:sz w:val="20"/>
          <w:u w:val="single"/>
          <w:shd w:fill="FFFFFF" w:val="clear"/>
        </w:rPr>
      </w:pPr>
      <w:r>
        <w:rPr>
          <w:rFonts w:ascii="Times New Roman;serif" w:hAnsi="Times New Roman;serif"/>
          <w:b w:val="false"/>
          <w:i/>
          <w:color w:val="000000"/>
          <w:sz w:val="20"/>
          <w:u w:val="single"/>
          <w:shd w:fill="FFFFFF" w:val="clear"/>
        </w:rPr>
        <w:t>Credit Rating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condition of the capital and credit markets or the strength of financial institutions could impact H2O America’s ability to draw on its lines of credit, issue long-term debt, sell its equity or earn interest income. In addition, government policies, the state of the credit markets and other factors could result in increased interest rates, which would increase H2O America’s cost of capital. While our ability to obtain financing will continue to be a risk, we believe that based on our 2025 and 2024 activities, we will have access to the external funding sources necessary to implement our ongoing capital investment programs in the future. On July 15, 2025, Standard &amp; Poor’s Ratings Services revised the outlook for H2O America, CTWS and CWC from stable to negative following the announcement of the Quadvest acquisition.</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current Standard &amp; Poor’s Ratings Services assigned company ratings:</w:t>
      </w:r>
    </w:p>
    <w:tbl>
      <w:tblPr>
        <w:tblW w:w="3355" w:type="dxa"/>
        <w:jc w:val="left"/>
        <w:tblInd w:w="0" w:type="dxa"/>
        <w:tblLayout w:type="fixed"/>
        <w:tblCellMar>
          <w:top w:w="28" w:type="dxa"/>
          <w:left w:w="28" w:type="dxa"/>
          <w:bottom w:w="28" w:type="dxa"/>
          <w:right w:w="28" w:type="dxa"/>
        </w:tblCellMar>
      </w:tblPr>
      <w:tblGrid>
        <w:gridCol w:w="439"/>
        <w:gridCol w:w="384"/>
        <w:gridCol w:w="391"/>
        <w:gridCol w:w="109"/>
        <w:gridCol w:w="109"/>
        <w:gridCol w:w="109"/>
        <w:gridCol w:w="200"/>
        <w:gridCol w:w="200"/>
        <w:gridCol w:w="201"/>
        <w:gridCol w:w="109"/>
        <w:gridCol w:w="109"/>
        <w:gridCol w:w="109"/>
        <w:gridCol w:w="259"/>
        <w:gridCol w:w="259"/>
        <w:gridCol w:w="368"/>
      </w:tblGrid>
      <w:tr>
        <w:trPr/>
        <w:tc>
          <w:tcPr>
            <w:tcW w:w="43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r>
      <w:tr>
        <w:trPr/>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H2O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SJWC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r>
        <w:trPr/>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Negative</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subject to market risks in the normal course of business, including changes in interest rates, pension plan asset values, and equity prices. The exposure to changes in interest rates can result from the issuance of debt and short-term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obtained through the company’s variable rate lines of credit. H2O America’s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has no derivative financial instruments, financial instruments with significant off-balance sheet risks, or financial instruments with concentrations of credit risk.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America’s management, with the participation of its Chief Executive Officer and Chief Financial Officer, evaluated the effectiveness of H2O America’s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H2O America’s disclosure controls and procedures as of the end of the period covered by this report have been designed and are functioning effectively to provide reasonable assurance that the information required to be disclosed by H2O America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H2O America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internal control over financial reporting during the second fiscal quarter of 2025 that has materially affected, or is reasonably likely to materially affect, the internal controls over financial reporting of H2O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is subject to ordinary routine litigation incidental to its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MDL, that commenced on December 7, 2018, in the United States District Court for the District of South Carolina. MWC has submitted timely claims as a settlement class member.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2025, the Company received $6,443 in cash proceeds from a legal settlement with 3M related to PFAS contamination. These proceeds were allocated as follows: SJWC received $4,420; CWC received $1,906; and MWC received $117, which includes $91 payable to contract operators. The proceeds are compensatory in nature and are intended to reimburse the Company for costs incurred to address the presence of PFAS compounds in public water supply systems or to be refunded to customers through rate reductions, subject to regulatory approval.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is entitled to receive additional cash proceeds from 3M Company during the remainder of 2025 and the subsequent nine years, pursuant to the terms of the settlement agreement. In addition, the Company is party to pending settlements with DuPont de Nemours, Inc., Tyco Fire Products LP, and BASF Corporation. Proceeds from these settlements are also expected to be received in 2025 and will be accounted for in a manner consistent with the 3M Company settlement. H2O America is monitoring and evaluating the ongoing litigation and settlement activity with the PFAS manufacturers for potential impacts to the various claims that these utility subsidiaries have asserted. However, the amount of these additional proceeds is not estimable as of the date of this filing.</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“Risk Factors” in H2O America’s annual report on Form 10-K for the year ended December 31, 2024 and our other public filings, which could materially affect our business, financial condition or future results. Other than the risk factors listed and referenced to below, there have been no material changes from risk factors previously disclosed in “Risk Factors” in H2O America’s annual report on Form 10-K for the year ended December 31,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discusses certain risk factors relating to the proposed transactions with Quadvest, L.P., a Texas limited partnership, (“Quadvest Retail”) and Quadvest Wholesale, LLC, a Texas limited liability company (“Quadvest Wholesale” and together with Quadvest Retail, “Quadvest”) and does not include all of the risk factors associated with the proposed transactions and H2O America after the proposed transactions.</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Our proposed transactions with Quadvest are subject to the receipt of consents and clearances from regulatory authorities that may impose conditions that could have an adverse effect on H2O America or, if not obtained, could prevent completion of the proposed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Completion of the proposed transactions is contingent upon, among other things, the receipt of all required regulatory approvals, which consist of compliance with and filings and the applicable waiting period under the Hart Scott-Rodino Antitrust Improvements Act, compliance with and applications for permits with state and municipal agencies and consent required by the PUCT for the transfer of Quadvest’s water and sewer utility business (the “Regulated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terms and conditions of the approvals that are granted by such governmental entities and regulatory authorities may impose requirements, limitations, costs, or place restrictions on the conduct of H2O America’s business. The asset purchase agreements may require H2O America to comply with conditions imposed by regulatory entities and, in certain circumstances, either company may refuse to close the proposed transactions on the basis of regulatory conditions imposed. There can be no assurance that regulators will not impose conditions, terms, obligations or restrictions or that such conditions, terms, obligations or restrictions will not have the effect of delaying completion of the proposed transactions or imposing additional material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or materially limiting the revenues of H2O America following the proposed transactions. Additionally, H2O America cannot provide assurance that any such conditions, terms, obligations or restrictions will not result in the delay or abandonment of the proposed transactions, or the consummation of the proposed transactions on terms different than those contemplated by the asset purchase agreements. </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The length of the regulatory approval process required by the PUCT, which may be extended beyond its current estimates, may reduce or eliminate the benefits to be achieved under the proposed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condition to the consummation of the proposed transactions, the sale of the Regulated Business must be approved by the PUCT. While we expect the transaction to receive PUCT approval by mid-2026, the exact timeline for this approval process is unknown and may not occur until later, if at 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required regulatory clearances, the proposed transactions are subject to a number of other conditions beyond H2O America’s control that may prevent, delay or otherwise materially adversely affect its completion. We cannot predict whether and when these other conditions will be satisfied. Furthermore, the requirements for obtaining the required clearances and approvals could delay the completion of the proposed transactions for a significant period of time or prevent them from occurring. Any delay in completing the proposed transactions could cause H2O America to not realize, or to be delayed in realizing, some or all of the benefits that we expect to achieve if the proposed transactions are successfully completed within the expected time frame. Failure to achieve these anticipated benefits within the expected time frame could result in increased costs and/or lower-than-expected revenues or income generated by H2O America after the completion of the proposed transactions.</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We may be unable to successfully integrate Quadvest’s business with ours and realize the anticipated benefits of the acquisition, which could negatively impact the future business and financial results of H2O America.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anticipated benefits expected from the proposed transactions are based on projections and assumptions about the combined Quadvest and H2O America businesses, which may not materialize as expected or which may prove to be inaccurate. Achieving the benefits of the proposed transactions will depend, in part, on H2O America’s ability to integrate the business and operations of Quadvest successfully and efficiently with our business. The challenges involved in this integration, which will be complex and time-consuming,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managing relationships with our combined customer base and retaining Quadvest’s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to successfully integrate Quadvest’s business with ours in a manner that permits H2O America to achieve the synergies and other benefits anticipated to result from the proposed transactions;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integrating complex systems, operating procedures, regulatory compliance programs, technology, networks, and other assets of Quadvest and H2O America in a manner that minimizes any adverse impact on customers, suppliers, employees, and other constituencies;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the attention of the management and other key employees of Quadvest and H2O America;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integrating the workforces of Quadvest and H2O America while maintaining focus on providing clean, high quality water and exceptional service;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of, or the loss of momentum in, the ongoing business of H2O America;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liabilities that are significantly larger than we currently anticipate and unforeseen increased expenses or delays associated with the proposed transactions, including transition costs to integrate the businesses of Quadvest and H2O America, that may exceed the costs that we currently anticipate;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increased scale of our operations resulting from the proposed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do not successfully manage these issues and the other challenges inherent in integrating Quadvest, then we may not achieve the anticipated benefits of the proposed transactions and our business, financial condition and results of operations could be materially adversely affected.</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The fair market value determination made in connection with the PUCT approval process may result in a lower realized value for the Regulated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part of the application process, H2O America and Quadvest will submit appraisal reports to the PUCT for approval of a fair market value of the assets of the Regulated Business (the “FMV”) which H2O America may use for purposes of setting water rates in Texas by a separate application filed with the PUCT following the consummation of the proposed transactions. If the approved FMV is lower than H2O America anticipates, H2O America may, under certain circumstances, still be required to consummate the proposed transactions (subject to the satisfaction of all other conditions contained in the asset purchase agreements) but may not be able to realize the full expected value of the Regulated Business in rates following the consummation of the proposed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Failure to complete the proposed transactions as currently contemplated or at all could negatively impact the stock prices, business operations and financial results of H2O America.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Completion of the proposed transactions is not assured and is subject to risks, including the risks that approval of the proposed transactions by governmental entities will not be obtained or that certain other closing conditions will not be satisfied. If the proposed transactions are not completed, or are completed on different terms than as contemplated by the asset purchase agreements, the ongoing businesses and financial results of H2O America may be adversely affected and H2O America will be subject to several risks, including the following:</w:t>
      </w:r>
    </w:p>
    <w:p>
      <w:pPr>
        <w:pStyle w:val="TextBody"/>
        <w:bidi w:val="0"/>
        <w:spacing w:before="0" w:after="0"/>
        <w:jc w:val="left"/>
        <w:rPr/>
      </w:pPr>
      <w:r>
        <w:rPr/>
      </w:r>
    </w:p>
    <w:p>
      <w:pPr>
        <w:pStyle w:val="TextBody"/>
        <w:bidi w:val="0"/>
        <w:spacing w:lineRule="auto" w:line="283" w:before="0" w:after="0"/>
        <w:ind w:left="0" w:right="0" w:hanging="360"/>
        <w:jc w:val="left"/>
        <w:rPr/>
      </w:pPr>
      <w:r>
        <w:rPr>
          <w:color w:val="000000"/>
        </w:rPr>
        <w:t>•</w:t>
      </w:r>
      <w:r>
        <w:rPr>
          <w:rFonts w:ascii="Times New Roman;serif" w:hAnsi="Times New Roman;serif"/>
          <w:b w:val="false"/>
          <w:color w:val="000000"/>
          <w:sz w:val="20"/>
        </w:rPr>
        <w:t>having to pay certain significant costs relating to the proposed transactions without receiving the benefits of the proposed transactions, including, in certain circumstances, payment of a termination fee;</w:t>
      </w:r>
    </w:p>
    <w:p>
      <w:pPr>
        <w:pStyle w:val="TextBody"/>
        <w:bidi w:val="0"/>
        <w:spacing w:lineRule="auto" w:line="283" w:before="0" w:after="0"/>
        <w:ind w:left="0" w:right="0" w:hanging="360"/>
        <w:jc w:val="left"/>
        <w:rPr/>
      </w:pPr>
      <w:r>
        <w:rPr>
          <w:color w:val="000000"/>
        </w:rPr>
        <w:t>•</w:t>
      </w:r>
      <w:r>
        <w:rPr>
          <w:rFonts w:ascii="Times New Roman;serif" w:hAnsi="Times New Roman;serif"/>
          <w:b w:val="false"/>
          <w:color w:val="000000"/>
          <w:sz w:val="20"/>
        </w:rPr>
        <w:t>reputational harm due to the adverse public perception of any failure to successfully complete the proposed transactions; and</w:t>
      </w:r>
    </w:p>
    <w:p>
      <w:pPr>
        <w:pStyle w:val="TextBody"/>
        <w:bidi w:val="0"/>
        <w:spacing w:lineRule="auto" w:line="283" w:before="0" w:after="0"/>
        <w:ind w:left="0" w:right="0" w:hanging="360"/>
        <w:jc w:val="left"/>
        <w:rPr/>
      </w:pPr>
      <w:r>
        <w:rPr>
          <w:color w:val="000000"/>
        </w:rPr>
        <w:t>•</w:t>
      </w:r>
      <w:r>
        <w:rPr>
          <w:rFonts w:ascii="Times New Roman;serif" w:hAnsi="Times New Roman;serif"/>
          <w:b w:val="false"/>
          <w:color w:val="000000"/>
          <w:sz w:val="20"/>
        </w:rPr>
        <w:t>H2O America’s management having focused on the proposed transactions instead of on conducting its day-to-day business and operational matters and pursuing other opportunities that could have been beneficial to the companies.</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delay in the completion of the proposed transactions, any uncertainty about the completion of the proposed transactions on terms other than those contemplated by the asset purchase agreements and any failure to complete the proposed transactions could adversely affect the business, financial results and stock price of H2O America.</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The asset purchase agreements with Quadvest may be terminated in certain circumstances, which would result in the benefits of the proposed transactions not being realized, and under certain circumstances, we may be required to pay a termination fee.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Either H2O America or Quadvest may terminate the asset purchase agreements under certain circumstances, including if the proposed transactions have not been consummated by January 7, 2027 (unless such date is extended to a date mutually agreed to by the parties to obtain regulatory approval under certain circumstances, which could be up to an additional eighteen months). However, this termination right will not be available to a party if such failure to complete the proposed transactions on or before such date is the result of such party’s failure to perform or comply, in all material respects, with any of the covenants, agreements or conditions of the asset purchase agreements. If we are not able to complete the proposed transactions by the end date, even if we decide not to terminate the asset purchase agreements, we may not be able to prevent Quadvest from exercising its right to terminate the asset purchase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if the asset purchase agreements are terminated under certain circumstances related to regulatory approvals, H2O America may be required to pay to Quadvest a termination fee of $21 million.</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Failure to obtain financing for the proposed transactions on favorable terms or at all could negatively impact the operating results and financial condition of H2O America.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H2O America may seek to raise capital to finance the proposed transactions, including through the issuance of debt or equity securities. There can be no assurance that such financing will be available on favorable terms, or at all. The incurrence of additional indebtedness could adversely affect H2O America’s financial condition, results of operations, or cash flows. Additionally, equity financings may result in dilution to our existing stockholders and debt financings may contain covenants that restrict the actions of H2O America and its subsidiaries. Furthermore, any downgrade in H2O America’s credit ratings by rating agencies may negatively impact the market value and liquidity of H2O America’s debt and equity securities.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Changed the Corporate Name to H2O America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5, 2025, SJW Group filed a Certificate of Amendment to its Certificate of Incorporation with the Secretary of State of the State of Delaware to change its name to H2O America which became effective upon filing.</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Quarterly Dividend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25, 2025, the Board of Directors (the “Board”) of H2O America declared the regular quarterly dividend of $0.42 per share of common stock. The dividend will be paid on September 2, 2025, to stockholders of record as of the close of business on August 11, 2025.</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Executive Officers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company’s previously announced leadership transition, the Board designated the following as its executive officers: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(1)Andrew F. Walters, Chief Executive Officer;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(2)Ann P. Kelly, Chief Financial Officer and Treasurer;</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(3)Bruce A. Hauk, President and Chief Operating Officer;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(4)Kristen A. Johnson, President of Shared Services, Senior Vice President, and Chief Administrative Officer; and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(5)Willie Brown, Vice President and General Counsel.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Tanya Moniz-Witten (President, SJWC), Craig J. Patla (President, CTWS and CWC), and Douwe Busschops (Chief Information Officer) will each continue in their current roles and responsibilities and are no longer designated executive officers, effective July 25, 2025.</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Insider 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June 30, 2025,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lineRule="auto" w:line="288" w:before="120" w:after="283"/>
        <w:ind w:left="0" w:right="0" w:firstLine="495"/>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Information Web Sites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H2O America posts information about the operating and financial performance of H2O America and its subsidiaries on its web sites at www.h2o-america.com, www.sjwater.com, www.ctwater.com, www.txwaterco.com, and www.mainewater.com from time to time. The information on our web sites is not a part of and should not be considered incorporated by reference into this Form 10-Q.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726"/>
        <w:gridCol w:w="2628"/>
        <w:gridCol w:w="3754"/>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Amendment of the Certificate of Incorporation of SJW Group, dated May 5, 2025.</w:t>
              </w:r>
            </w:hyperlink>
            <w:r>
              <w:rPr>
                <w:color w:val="000000"/>
              </w:rPr>
              <w:t xml:space="preserve"> </w:t>
            </w:r>
            <w:r>
              <w:rPr>
                <w:rFonts w:ascii="Times New Roman;serif" w:hAnsi="Times New Roman;serif"/>
                <w:b w:val="false"/>
                <w:color w:val="000000"/>
                <w:sz w:val="20"/>
              </w:rPr>
              <w:t>Incorporated by reference to Exhibit 3.1 to Form 8-K filed on May 7, 2025.</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86deb63a0494a7f84cc1b1f1e7e6115_1">
              <w:r>
                <w:rPr>
                  <w:rStyle w:val="InternetLink"/>
                  <w:rFonts w:ascii="Times New Roman;serif" w:hAnsi="Times New Roman;serif"/>
                  <w:b w:val="false"/>
                  <w:color w:val="0000FF"/>
                  <w:sz w:val="20"/>
                  <w:u w:val="single"/>
                </w:rPr>
                <w:t>Amended and Restated Bylaws of H2O America.</w:t>
              </w:r>
            </w:hyperlink>
            <w:r>
              <w:rPr>
                <w:color w:val="000000"/>
              </w:rPr>
              <w:t xml:space="preserve"> </w:t>
            </w:r>
            <w:r>
              <w:rPr>
                <w:rFonts w:ascii="Times New Roman;serif" w:hAnsi="Times New Roman;serif"/>
                <w:b w:val="false"/>
                <w:color w:val="000000"/>
                <w:sz w:val="20"/>
              </w:rPr>
              <w:t>(1)</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Asset Purchase Agreement, dated July 7, 2025, by and among Quadvest, L.P., SJWTX, Inc., and H2O America.</w:t>
              </w:r>
            </w:hyperlink>
            <w:r>
              <w:rPr>
                <w:color w:val="000000"/>
              </w:rPr>
              <w:t xml:space="preserve"> </w:t>
            </w:r>
            <w:r>
              <w:rPr>
                <w:rFonts w:ascii="Times New Roman;serif" w:hAnsi="Times New Roman;serif"/>
                <w:b w:val="false"/>
                <w:color w:val="000000"/>
                <w:sz w:val="20"/>
              </w:rPr>
              <w:t xml:space="preserve">Incorporated by reference to Exhibit 2.1 to Form 8-K filed on July 8, 2025. </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Asset Purchase Agreement, dated July 7, 2025, by and among Quadvest Wholesale, LLC, Quadvest, L.P., Texas Water Operation Services, LLC, SJWTX, Inc., and H2O America.</w:t>
              </w:r>
            </w:hyperlink>
            <w:r>
              <w:rPr>
                <w:color w:val="000000"/>
              </w:rPr>
              <w:t xml:space="preserve"> </w:t>
            </w:r>
            <w:r>
              <w:rPr>
                <w:rFonts w:ascii="Times New Roman;serif" w:hAnsi="Times New Roman;serif"/>
                <w:b w:val="false"/>
                <w:color w:val="000000"/>
                <w:sz w:val="20"/>
              </w:rPr>
              <w:t>Incorporated by reference to Exhibit 2.2 to Form 8-K filed on July 8, 2025.</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5xex311.htm">
              <w:r>
                <w:rPr>
                  <w:rStyle w:val="InternetLink"/>
                  <w:rFonts w:ascii="Times New Roman;serif" w:hAnsi="Times New Roman;serif"/>
                  <w:b w:val="false"/>
                  <w:color w:val="000080"/>
                  <w:sz w:val="20"/>
                  <w:u w:val="single"/>
                </w:rPr>
                <w:t xml:space="preserve">Certification Pursuant to Rule 13a-14(a)/15d-14(a) by </w:t>
              </w:r>
            </w:hyperlink>
            <w:hyperlink w:anchor="h2oamerica-63025xex311.htm">
              <w:r>
                <w:rPr>
                  <w:rStyle w:val="InternetLink"/>
                  <w:rFonts w:ascii="Times New Roman;serif" w:hAnsi="Times New Roman;serif"/>
                  <w:b w:val="false"/>
                  <w:color w:val="000080"/>
                  <w:sz w:val="20"/>
                  <w:u w:val="single"/>
                </w:rPr>
                <w:t>Chief Executive Officer.</w:t>
              </w:r>
            </w:hyperlink>
            <w:r>
              <w:rPr>
                <w:color w:val="000000"/>
              </w:rPr>
              <w:t xml:space="preserve"> </w:t>
            </w:r>
            <w:r>
              <w:rPr>
                <w:rFonts w:ascii="Times New Roman;serif" w:hAnsi="Times New Roman;serif"/>
                <w:b w:val="false"/>
                <w:color w:val="000000"/>
                <w:sz w:val="20"/>
              </w:rPr>
              <w:t>(1)</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5xex312.htm">
              <w:r>
                <w:rPr>
                  <w:rStyle w:val="InternetLink"/>
                  <w:rFonts w:ascii="Times New Roman;serif" w:hAnsi="Times New Roman;serif"/>
                  <w:b w:val="false"/>
                  <w:color w:val="0000FF"/>
                  <w:sz w:val="20"/>
                  <w:u w:val="single"/>
                </w:rPr>
                <w:t>Certification Pursuant to Rule 13a-14(a)/15d-14(a) by Chief Financial Officer and Treasurer.</w:t>
              </w:r>
            </w:hyperlink>
            <w:r>
              <w:rPr>
                <w:color w:val="000000"/>
              </w:rPr>
              <w:t xml:space="preserve"> </w:t>
            </w:r>
            <w:r>
              <w:rPr>
                <w:rFonts w:ascii="Times New Roman;serif" w:hAnsi="Times New Roman;serif"/>
                <w:b w:val="false"/>
                <w:color w:val="000000"/>
                <w:sz w:val="20"/>
              </w:rPr>
              <w:t>(1)</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5xex321.htm">
              <w:r>
                <w:rPr>
                  <w:rStyle w:val="InternetLink"/>
                  <w:rFonts w:ascii="Times New Roman;serif" w:hAnsi="Times New Roman;serif"/>
                  <w:b w:val="false"/>
                  <w:color w:val="000080"/>
                  <w:sz w:val="20"/>
                  <w:u w:val="single"/>
                </w:rPr>
                <w:t xml:space="preserve">Certification Pursuant to 18 U.S.C. Section 1350 by </w:t>
              </w:r>
            </w:hyperlink>
            <w:hyperlink w:anchor="h2oamerica-63025xex321.htm">
              <w:r>
                <w:rPr>
                  <w:rStyle w:val="InternetLink"/>
                  <w:rFonts w:ascii="Times New Roman;serif" w:hAnsi="Times New Roman;serif"/>
                  <w:b w:val="false"/>
                  <w:color w:val="000080"/>
                  <w:sz w:val="20"/>
                  <w:u w:val="single"/>
                </w:rPr>
                <w:t>Chief Executive Officer, as adopted pursuant to Section 906 of the Sarbanes-Oxley Act of 2002.</w:t>
              </w:r>
            </w:hyperlink>
            <w:r>
              <w:rPr>
                <w:color w:val="000000"/>
              </w:rPr>
              <w:t xml:space="preserve"> </w:t>
            </w:r>
            <w:r>
              <w:rPr>
                <w:rFonts w:ascii="Times New Roman;serif" w:hAnsi="Times New Roman;serif"/>
                <w:b w:val="false"/>
                <w:color w:val="000000"/>
                <w:sz w:val="20"/>
              </w:rPr>
              <w:t>(1)</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2oamerica-63025xex322.htm">
              <w:r>
                <w:rPr>
                  <w:rStyle w:val="InternetLink"/>
                  <w:rFonts w:ascii="Times New Roman;serif" w:hAnsi="Times New Roman;serif"/>
                  <w:b w:val="false"/>
                  <w:color w:val="0000FF"/>
                  <w:sz w:val="20"/>
                  <w:u w:val="single"/>
                </w:rPr>
                <w:t>Certification Pursuant to 18 U.S.C. Section 1350 by Chief Financial Officer and Treasurer as adopted pursuant to Section 906 of the Sarbanes-Oxley Act of 2002.</w:t>
              </w:r>
            </w:hyperlink>
            <w:r>
              <w:rPr>
                <w:color w:val="000000"/>
              </w:rPr>
              <w:t xml:space="preserve"> </w:t>
            </w:r>
            <w:r>
              <w:rPr>
                <w:rFonts w:ascii="Times New Roman;serif" w:hAnsi="Times New Roman;serif"/>
                <w:b w:val="false"/>
                <w:color w:val="000000"/>
                <w:sz w:val="20"/>
              </w:rPr>
              <w:t>(1)</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(1)Filed 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3d572db81fc42aeb32b290f2415a82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5921" w:type="dxa"/>
        <w:jc w:val="left"/>
        <w:tblInd w:w="0" w:type="dxa"/>
        <w:tblLayout w:type="fixed"/>
        <w:tblCellMar>
          <w:top w:w="28" w:type="dxa"/>
          <w:left w:w="28" w:type="dxa"/>
          <w:bottom w:w="28" w:type="dxa"/>
          <w:right w:w="28" w:type="dxa"/>
        </w:tblCellMar>
      </w:tblPr>
      <w:tblGrid>
        <w:gridCol w:w="206"/>
        <w:gridCol w:w="181"/>
        <w:gridCol w:w="183"/>
        <w:gridCol w:w="414"/>
        <w:gridCol w:w="414"/>
        <w:gridCol w:w="417"/>
        <w:gridCol w:w="134"/>
        <w:gridCol w:w="134"/>
        <w:gridCol w:w="136"/>
        <w:gridCol w:w="109"/>
        <w:gridCol w:w="109"/>
        <w:gridCol w:w="109"/>
        <w:gridCol w:w="986"/>
        <w:gridCol w:w="986"/>
        <w:gridCol w:w="1403"/>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H2O AMERICA</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July 29,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 ANN P. KELLY</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 P. Kelly</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AMENDED AND RESTATED BYLAWS OF H2O AMERICA</w:t>
      </w:r>
    </w:p>
    <w:p>
      <w:pPr>
        <w:pStyle w:val="TextBody"/>
        <w:bidi w:val="0"/>
        <w:spacing w:lineRule="auto" w:line="537" w:before="240" w:after="283"/>
        <w:ind w:left="0" w:right="0" w:firstLine="2"/>
        <w:jc w:val="center"/>
        <w:rPr>
          <w:rFonts w:ascii="Times New Roman;serif" w:hAnsi="Times New Roman;serif"/>
          <w:b/>
          <w:color w:val="000000"/>
          <w:sz w:val="24"/>
        </w:rPr>
      </w:pPr>
      <w:r>
        <w:rPr>
          <w:rFonts w:ascii="Times New Roman;serif" w:hAnsi="Times New Roman;serif"/>
          <w:b/>
          <w:color w:val="000000"/>
          <w:sz w:val="24"/>
        </w:rPr>
        <w:t>Effective as of May 14, 2025 ARTICLE I STOCKHOLDERS’ MEETING.</w:t>
      </w:r>
    </w:p>
    <w:p>
      <w:pPr>
        <w:pStyle w:val="TextBody"/>
        <w:bidi w:val="0"/>
        <w:spacing w:lineRule="auto" w:line="288" w:before="0" w:after="0"/>
        <w:ind w:left="0" w:right="0" w:firstLine="720"/>
        <w:jc w:val="left"/>
        <w:rPr/>
      </w:pPr>
      <w:r>
        <w:rPr>
          <w:rFonts w:ascii="Times New Roman;serif" w:hAnsi="Times New Roman;serif"/>
          <w:b w:val="false"/>
          <w:color w:val="000000"/>
          <w:sz w:val="24"/>
        </w:rPr>
        <w:t>1.</w:t>
      </w:r>
      <w:r>
        <w:rPr>
          <w:rFonts w:ascii="Times New Roman;serif" w:hAnsi="Times New Roman;serif"/>
          <w:b/>
          <w:i/>
          <w:color w:val="000000"/>
          <w:sz w:val="24"/>
        </w:rPr>
        <w:t>Place of Meeting</w:t>
      </w:r>
      <w:r>
        <w:rPr>
          <w:rFonts w:ascii="Times New Roman;serif" w:hAnsi="Times New Roman;serif"/>
          <w:b w:val="false"/>
          <w:color w:val="000000"/>
          <w:sz w:val="24"/>
        </w:rPr>
        <w:t>. Meetings of the stockholders shall be held at the registered office of the Corporation in Delaware, or at such other place within or without the State of Delaware as may be designated by the Board of Directors or the stockholders. The Board of Directors may, in its sole discretion, determine that the meeting shall not be held at any place, but may instead be held solely by means of remote communication as provided under the Delaware General Corporation Law (“</w:t>
      </w:r>
      <w:r>
        <w:rPr>
          <w:rFonts w:ascii="Times New Roman;serif" w:hAnsi="Times New Roman;serif"/>
          <w:b w:val="false"/>
          <w:color w:val="000000"/>
          <w:sz w:val="24"/>
          <w:u w:val="single"/>
        </w:rPr>
        <w:t>DGCL</w:t>
      </w:r>
      <w:r>
        <w:rPr>
          <w:color w:val="000000"/>
        </w:rPr>
        <w:t>”</w:t>
      </w:r>
      <w:r>
        <w:rPr>
          <w:rFonts w:ascii="Times New Roman;serif" w:hAnsi="Times New Roman;serif"/>
          <w:b w:val="false"/>
          <w:color w:val="000000"/>
          <w:sz w:val="24"/>
        </w:rPr>
        <w:t>).</w:t>
      </w:r>
    </w:p>
    <w:p>
      <w:pPr>
        <w:pStyle w:val="TextBody"/>
        <w:bidi w:val="0"/>
        <w:spacing w:lineRule="auto" w:line="288" w:before="226" w:after="283"/>
        <w:ind w:left="0" w:right="0" w:firstLine="720"/>
        <w:jc w:val="left"/>
        <w:rPr/>
      </w:pPr>
      <w:r>
        <w:rPr>
          <w:rFonts w:ascii="Times New Roman;serif" w:hAnsi="Times New Roman;serif"/>
          <w:b w:val="false"/>
          <w:color w:val="000000"/>
          <w:sz w:val="24"/>
        </w:rPr>
        <w:t>2.</w:t>
      </w:r>
      <w:r>
        <w:rPr>
          <w:rFonts w:ascii="Times New Roman;serif" w:hAnsi="Times New Roman;serif"/>
          <w:b/>
          <w:i/>
          <w:color w:val="000000"/>
          <w:sz w:val="24"/>
        </w:rPr>
        <w:t>Annual Meeting</w:t>
      </w:r>
      <w:r>
        <w:rPr>
          <w:rFonts w:ascii="Times New Roman;serif" w:hAnsi="Times New Roman;serif"/>
          <w:b w:val="false"/>
          <w:color w:val="000000"/>
          <w:sz w:val="24"/>
        </w:rPr>
        <w:t>. The annual meeting of the stockholders shall be held on such date and at such time and place, if any, as the Board of Directors may designate. The date, time, and place (or means of remote communication) of the annual meeting shall be stated in the notice of such meeting delivered to or mailed to stockholders. At such annual meeting, the stockholders shall elect directors, in accordance with the requirements of the Certificate of Incorporation of the Corporation (the “</w:t>
      </w:r>
      <w:r>
        <w:rPr>
          <w:rFonts w:ascii="Times New Roman;serif" w:hAnsi="Times New Roman;serif"/>
          <w:b w:val="false"/>
          <w:color w:val="000000"/>
          <w:sz w:val="24"/>
          <w:u w:val="single"/>
        </w:rPr>
        <w:t>Certificate of Incorporation</w:t>
      </w:r>
      <w:r>
        <w:rPr>
          <w:color w:val="000000"/>
        </w:rPr>
        <w:t>”</w:t>
      </w:r>
      <w:r>
        <w:rPr>
          <w:rFonts w:ascii="Times New Roman;serif" w:hAnsi="Times New Roman;serif"/>
          <w:b w:val="false"/>
          <w:color w:val="000000"/>
          <w:sz w:val="24"/>
        </w:rPr>
        <w:t>), and transact such other business as may properly be brought before the meeting.</w:t>
      </w:r>
    </w:p>
    <w:p>
      <w:pPr>
        <w:pStyle w:val="TextBody"/>
        <w:bidi w:val="0"/>
        <w:spacing w:lineRule="auto" w:line="288" w:before="240" w:after="283"/>
        <w:ind w:left="0" w:right="0" w:firstLine="720"/>
        <w:jc w:val="left"/>
        <w:rPr/>
      </w:pPr>
      <w:r>
        <w:rPr>
          <w:rFonts w:ascii="Times New Roman;serif" w:hAnsi="Times New Roman;serif"/>
          <w:b w:val="false"/>
          <w:color w:val="000000"/>
          <w:sz w:val="24"/>
        </w:rPr>
        <w:t>3.</w:t>
      </w:r>
      <w:r>
        <w:rPr>
          <w:rFonts w:ascii="Times New Roman;serif" w:hAnsi="Times New Roman;serif"/>
          <w:b/>
          <w:i/>
          <w:color w:val="000000"/>
          <w:sz w:val="24"/>
        </w:rPr>
        <w:t>Quorum</w:t>
      </w:r>
      <w:r>
        <w:rPr>
          <w:rFonts w:ascii="Times New Roman;serif" w:hAnsi="Times New Roman;serif"/>
          <w:b w:val="false"/>
          <w:color w:val="000000"/>
          <w:sz w:val="24"/>
        </w:rPr>
        <w:t>. The holders of stock representing a majority of the voting power of all shares of stock issued and outstanding and entitled to vote at the meeting, present in person or represented by proxy, shall be requisite for and shall constitute a quorum of all meetings of the stockholders, except as otherwise provided by law, by the Certificate of Incorporation or by these Bylaws. If a quorum shall not be present or represented at any meeting of the stockholders, the meeting may be adjourned from time to time by the vote of holders of stock representing a majority of the voting power of all shares present or represented at the meeting or by the chair of the meeting, in the manner provided in Section 4 of Article I, until a quorum shall be present or represented. A quorum, once established, shall not be broken by the subsequent withdrawal of any stockholders or their proxies.</w:t>
      </w:r>
    </w:p>
    <w:p>
      <w:pPr>
        <w:pStyle w:val="TextBody"/>
        <w:bidi w:val="0"/>
        <w:spacing w:lineRule="auto" w:line="288" w:before="239" w:after="283"/>
        <w:ind w:left="0" w:right="0" w:firstLine="720"/>
        <w:jc w:val="left"/>
        <w:rPr/>
      </w:pPr>
      <w:r>
        <w:rPr>
          <w:rFonts w:ascii="Times New Roman;serif" w:hAnsi="Times New Roman;serif"/>
          <w:b w:val="false"/>
          <w:color w:val="000000"/>
          <w:sz w:val="24"/>
        </w:rPr>
        <w:t>4.</w:t>
      </w:r>
      <w:r>
        <w:rPr>
          <w:rFonts w:ascii="Times New Roman;serif" w:hAnsi="Times New Roman;serif"/>
          <w:b/>
          <w:i/>
          <w:color w:val="000000"/>
          <w:sz w:val="24"/>
        </w:rPr>
        <w:t>Adjournments; Postponement</w:t>
      </w:r>
      <w:r>
        <w:rPr>
          <w:rFonts w:ascii="Times New Roman;serif" w:hAnsi="Times New Roman;serif"/>
          <w:b w:val="false"/>
          <w:color w:val="000000"/>
          <w:sz w:val="24"/>
        </w:rPr>
        <w:t>. In the absence of a quorum, holders of stock representing a majority of the voting power of all shares present in person or represented by proxy at the meeting, or the chair of the meeting, may adjourn any meeting of stockholders, annual or special, from time to time, to reconvene at the same or some other place or by means of remote communication, and notice need not be given of any such adjourned meeting if the time and place or means of remote communication thereof are announced at the meeting at which the adjournment is taken. Furthermore, after the meeting has been duly organized, the chair of the meeting may adjourn any meeting of stockholders, annual or special, from time to time for any reason, to reconvene at the same or some other place or by means of remote communication, and notice need not be given of any such adjourned meeting if the time and place or means of remote communication thereof are announced at the meeting at which the adjournment is taken. At the adjourned meeting, the Corporation may transact any business which might have been transacted at the original meeting. Notwithstanding the foregoing, if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adjournment is for more than thirty (30) days, or if after the adjournment a new record date is fixed for the adjourned meeting, a notice of the adjourned meeting shall be given to each stockholder of record entitled to vote at the meeting. Any previously scheduled annual or special meeting of the stockholders may be postponed, and any previously scheduled annual or special meeting of the stockholders called by the Board of Directors may be canceled, by resolution of the Board of Directors upon public notice given prior to the time previously scheduled for such meeting of stockholders. In no event shall any adjournment or postponement of a stockholders meeting (whether or not already publicly noticed) or the announcement thereof commence a new time period (or extend any time period) for the giving of a stockholder notice pursuant to Section 10 or Section 13 of Article I.</w:t>
      </w:r>
    </w:p>
    <w:p>
      <w:pPr>
        <w:pStyle w:val="TextBody"/>
        <w:bidi w:val="0"/>
        <w:spacing w:lineRule="auto" w:line="288" w:before="240" w:after="283"/>
        <w:ind w:left="0" w:right="0" w:hanging="719"/>
        <w:jc w:val="left"/>
        <w:rPr/>
      </w:pPr>
      <w:r>
        <w:rPr>
          <w:rFonts w:ascii="Times New Roman;serif" w:hAnsi="Times New Roman;serif"/>
          <w:b w:val="false"/>
          <w:color w:val="000000"/>
          <w:sz w:val="24"/>
        </w:rPr>
        <w:t>5.</w:t>
      </w:r>
      <w:r>
        <w:rPr>
          <w:rFonts w:ascii="Times New Roman;serif" w:hAnsi="Times New Roman;serif"/>
          <w:b/>
          <w:i/>
          <w:color w:val="000000"/>
          <w:sz w:val="24"/>
        </w:rPr>
        <w:t>Voting; Proxies</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(a)At each meeting of the stockholders of the Corporation, every stockholder having the right to vote may authorize another person to act for him or her by proxy.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Section 5 of Article I may be substituted for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transmission. No proxy authorized hereby shall be voted or acted upon more than three (3) years from its date, unless the proxy provides for a longer period. No ballot, proxies, or votes, nor any revocations thereof or changes thereto shall be accepted after the time set for the closing of the polls pursuant to Section 14 of Article I unless the Delaware Court of Chancery upon application of a stockholder shall determine otherwise. Each proxy shall be delivered to the inspectors of election prior to or at the meeting.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by filing a subsequent duly executed proxy with the Secretary of the Corporation (the “</w:t>
      </w:r>
      <w:r>
        <w:rPr>
          <w:rFonts w:ascii="Times New Roman;serif" w:hAnsi="Times New Roman;serif"/>
          <w:b w:val="false"/>
          <w:color w:val="000000"/>
          <w:sz w:val="24"/>
          <w:u w:val="single"/>
        </w:rPr>
        <w:t>Secretary</w:t>
      </w:r>
      <w:r>
        <w:rPr>
          <w:color w:val="000000"/>
        </w:rPr>
        <w:t>”</w:t>
      </w:r>
      <w:r>
        <w:rPr>
          <w:rFonts w:ascii="Times New Roman;serif" w:hAnsi="Times New Roman;serif"/>
          <w:b w:val="false"/>
          <w:color w:val="000000"/>
          <w:sz w:val="24"/>
        </w:rPr>
        <w:t>). The vote for directors shall be by ballot.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(b)At any meeting of stockholders for the election of one or more directors at which a quorum is present, each director shall be elected by the vote of a majority of the votes cast with respect to the director, provided that the directors shall be elected by the vote of a plurality of the votes cast by the stockholders entitled to vote at the election at any meeting at which a quorum is present for which (i) the Corporation receives a notice pursuant to these Bylaws that a stockholder intends to nominate a director or directors at any such meeting and (ii) such proposed nomination has not been withdrawn by such stockholder on or prior to the tenth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15975"/>
                <wp:effectExtent l="0" t="0" r="0" b="0"/>
                <wp:wrapNone/>
                <wp:docPr id="38" name="Frame3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(10th) day preceding the date the Corporation first mails its notice of meeting for such meeting to the stockholders (any such meeting, a “</w:t>
      </w:r>
      <w:r>
        <w:rPr>
          <w:rFonts w:ascii="Times New Roman;serif" w:hAnsi="Times New Roman;serif"/>
          <w:b w:val="false"/>
          <w:color w:val="000000"/>
          <w:sz w:val="24"/>
          <w:u w:val="single"/>
        </w:rPr>
        <w:t>contested election</w:t>
      </w:r>
      <w:r>
        <w:rPr>
          <w:color w:val="000000"/>
        </w:rPr>
        <w:t>”</w:t>
      </w:r>
      <w:r>
        <w:rPr>
          <w:rFonts w:ascii="Times New Roman;serif" w:hAnsi="Times New Roman;serif"/>
          <w:b w:val="false"/>
          <w:color w:val="000000"/>
          <w:sz w:val="24"/>
        </w:rPr>
        <w:t>). If an incumbent director then serving on the Board of Directors does not receive the required majority in an uncontested election, the director shall promptly tender his or her resignation to the Board of Directors and such resignation shall become effective upon the Board of Director’s acceptance. Within ninety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 days after the date of the meeting of stockholders, (i) the Nominating &amp; Governance Committee or other committee that may be designated by the Board of Directors will make a recommendation to the Board of Directors as to whether to accept or reject the resignation, or whether other action should be taken, and (ii) the Board of Directors will act on the tendered resignation, taking into account such committee’s recommendation. The director who tenders his or her resignation will not participate in the recommendation of the committee or the decision of the Board of Directors with respect to his or her resignation. If such incumbent director’s resignation is not accepted by the Board of Directors, the Board of Director shall publicly disclose its decision regarding the tendered resignation and the rationale behind the decision. If a director’s resignation is accepted by the Board of Directors pursuant to this Section 5(b) of Article I, or if a nominee for director is not elected and the nominee is not an incumbent director, then the Board of Directors may fill the resulting vacancy pursuant to the provisions of Section 3 of Article II or may decrease the size of the Board of Directors pursuant to the provisions of Section 1 of Article II. Unless otherwise provided in the Certificate of Incorporation, cumulative voting for the election of directors shall be prohibited.</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(c)Any stockholder directly or indirectly soliciting proxies from other stockholders in respect of any nomination or other proposal must use a proxy card color other than white, which shall be reserved for the exclusive use by the Board of Directors.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6.</w:t>
      </w:r>
      <w:r>
        <w:rPr>
          <w:rFonts w:ascii="Times New Roman;serif" w:hAnsi="Times New Roman;serif"/>
          <w:b/>
          <w:i/>
          <w:color w:val="000000"/>
          <w:sz w:val="24"/>
        </w:rPr>
        <w:t>Notice</w:t>
      </w:r>
      <w:r>
        <w:rPr>
          <w:rFonts w:ascii="Times New Roman;serif" w:hAnsi="Times New Roman;serif"/>
          <w:b w:val="false"/>
          <w:color w:val="000000"/>
          <w:sz w:val="24"/>
        </w:rPr>
        <w:t>. Written notice of an annual or special meeting shall be given to each stockholder entitled to vote thereat, not less than ten (10) nor more than sixty (60) days prior to the meeting. The notice shall specify the place, if any, date and time of the meeting and the means of remote communication, if any, by which stockholders and proxy holders may be deemed to be present in person and vote at such meeting. If mailed, such notice shall be deemed to be given when deposited in the mail, postage pre-paid, directed to the stockholder at his or her address as it appears on the records of the Corporation. Notice given by electronic transmission shall only be valid if it complies with Section 232 of the DGCL.</w:t>
      </w:r>
    </w:p>
    <w:p>
      <w:pPr>
        <w:pStyle w:val="TextBody"/>
        <w:bidi w:val="0"/>
        <w:spacing w:lineRule="auto" w:line="288" w:before="239" w:after="283"/>
        <w:ind w:left="0" w:right="0" w:firstLine="720"/>
        <w:jc w:val="left"/>
        <w:rPr/>
      </w:pPr>
      <w:r>
        <w:rPr>
          <w:rFonts w:ascii="Times New Roman;serif" w:hAnsi="Times New Roman;serif"/>
          <w:b w:val="false"/>
          <w:color w:val="000000"/>
          <w:sz w:val="24"/>
        </w:rPr>
        <w:t>7.</w:t>
      </w:r>
      <w:r>
        <w:rPr>
          <w:rFonts w:ascii="Times New Roman;serif" w:hAnsi="Times New Roman;serif"/>
          <w:b/>
          <w:i/>
          <w:color w:val="000000"/>
          <w:sz w:val="24"/>
        </w:rPr>
        <w:t>Waiver of Notice</w:t>
      </w:r>
      <w:r>
        <w:rPr>
          <w:rFonts w:ascii="Times New Roman;serif" w:hAnsi="Times New Roman;serif"/>
          <w:b w:val="false"/>
          <w:color w:val="000000"/>
          <w:sz w:val="24"/>
        </w:rPr>
        <w:t>. Whenever notice is required to be given under any provisions of the DGCL,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solely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pStyle w:val="TextBody"/>
        <w:bidi w:val="0"/>
        <w:spacing w:before="240" w:after="283"/>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15975"/>
                <wp:effectExtent l="0" t="0" r="0" b="0"/>
                <wp:wrapNone/>
                <wp:docPr id="39" name="Frame3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720"/>
        <w:jc w:val="left"/>
        <w:rPr/>
      </w:pPr>
      <w:r>
        <w:rPr>
          <w:rFonts w:ascii="Times New Roman;serif" w:hAnsi="Times New Roman;serif"/>
          <w:b w:val="false"/>
          <w:color w:val="000000"/>
          <w:sz w:val="24"/>
        </w:rPr>
        <w:t>8.</w:t>
      </w:r>
      <w:r>
        <w:rPr>
          <w:rFonts w:ascii="Times New Roman;serif" w:hAnsi="Times New Roman;serif"/>
          <w:b/>
          <w:i/>
          <w:color w:val="000000"/>
          <w:sz w:val="24"/>
        </w:rPr>
        <w:t>Inspectors of Election</w:t>
      </w:r>
      <w:r>
        <w:rPr>
          <w:rFonts w:ascii="Times New Roman;serif" w:hAnsi="Times New Roman;serif"/>
          <w:b w:val="false"/>
          <w:color w:val="000000"/>
          <w:sz w:val="24"/>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present or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present or represented at the meeting and such inspectors’ count of all votes and ballots. Such certification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 If there are three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 inspectors, the decision, act, or certificate of a majority is effective in all respects as the decision, act, or certificate of all.</w:t>
      </w:r>
    </w:p>
    <w:p>
      <w:pPr>
        <w:pStyle w:val="TextBody"/>
        <w:bidi w:val="0"/>
        <w:spacing w:lineRule="auto" w:line="288" w:before="241" w:after="283"/>
        <w:ind w:left="0" w:right="0" w:firstLine="720"/>
        <w:jc w:val="left"/>
        <w:rPr/>
      </w:pPr>
      <w:r>
        <w:rPr>
          <w:rFonts w:ascii="Times New Roman;serif" w:hAnsi="Times New Roman;serif"/>
          <w:b w:val="false"/>
          <w:color w:val="000000"/>
          <w:sz w:val="24"/>
        </w:rPr>
        <w:t>9.</w:t>
      </w:r>
      <w:r>
        <w:rPr>
          <w:rFonts w:ascii="Times New Roman;serif" w:hAnsi="Times New Roman;serif"/>
          <w:b/>
          <w:i/>
          <w:color w:val="000000"/>
          <w:sz w:val="24"/>
        </w:rPr>
        <w:t>List of Stockholders Entitled to Vote</w:t>
      </w:r>
      <w:r>
        <w:rPr>
          <w:rFonts w:ascii="Times New Roman;serif" w:hAnsi="Times New Roman;serif"/>
          <w:b w:val="false"/>
          <w:color w:val="000000"/>
          <w:sz w:val="24"/>
        </w:rPr>
        <w:t>. At least ten (10) days before every meeting of the stockholders a complete list of the stockholders entitled to vote at said meeting, arranged in alphabetical order, with the post office address of each, and the number of shares held by each, shall be prepared by the Secretary. Such list shall be open to the examination of any stockholder for any purpose germane to the meeting, for a period of ten (10) days ending on the date before the meeting date, during ordinary business hours at the Corporation’s principal executive offices or on a reasonably accessible electronic network; provided that the information required to gain access to such list is provided with the notice of the meeting. In the event that the Corporation determines to make the list available on an electronic network, the Corporation may take reasonable steps to ensure that such information is available only to stockholders of the Corporation. The original or duplicate stock ledger shall be the only evidence as to who are the stockholders entitled to examine the list of stockholders or to vote in person or by proxy at such meeting.</w:t>
      </w:r>
    </w:p>
    <w:p>
      <w:pPr>
        <w:pStyle w:val="TextBody"/>
        <w:bidi w:val="0"/>
        <w:spacing w:lineRule="auto" w:line="288" w:before="239" w:after="283"/>
        <w:ind w:left="0" w:right="0" w:hanging="719"/>
        <w:jc w:val="left"/>
        <w:rPr/>
      </w:pPr>
      <w:r>
        <w:rPr>
          <w:rFonts w:ascii="Times New Roman;serif" w:hAnsi="Times New Roman;serif"/>
          <w:b w:val="false"/>
          <w:color w:val="000000"/>
          <w:sz w:val="24"/>
        </w:rPr>
        <w:t>10.</w:t>
      </w:r>
      <w:r>
        <w:rPr>
          <w:rFonts w:ascii="Times New Roman;serif" w:hAnsi="Times New Roman;serif"/>
          <w:b/>
          <w:i/>
          <w:color w:val="000000"/>
          <w:sz w:val="24"/>
        </w:rPr>
        <w:t>Special Meetings</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(a)Special meetings of the stockholders may be called at any time (i) by the Chair of the Board, (ii) by the President, (iii) by the Board of Directors, or (iv) by the Secretary upon receipt of a written request in proper written form (a “</w:t>
      </w:r>
      <w:r>
        <w:rPr>
          <w:rFonts w:ascii="Times New Roman;serif" w:hAnsi="Times New Roman;serif"/>
          <w:b w:val="false"/>
          <w:color w:val="000000"/>
          <w:sz w:val="24"/>
          <w:u w:val="single"/>
        </w:rPr>
        <w:t>Special Meeting Request</w:t>
      </w:r>
      <w:r>
        <w:rPr>
          <w:color w:val="000000"/>
        </w:rPr>
        <w:t>”</w:t>
      </w:r>
      <w:r>
        <w:rPr>
          <w:rFonts w:ascii="Times New Roman;serif" w:hAnsi="Times New Roman;serif"/>
          <w:b w:val="false"/>
          <w:color w:val="000000"/>
          <w:sz w:val="24"/>
        </w:rPr>
        <w:t>) from stockholders (the “</w:t>
      </w:r>
      <w:r>
        <w:rPr>
          <w:rFonts w:ascii="Times New Roman;serif" w:hAnsi="Times New Roman;serif"/>
          <w:b w:val="false"/>
          <w:color w:val="000000"/>
          <w:sz w:val="24"/>
          <w:u w:val="single"/>
        </w:rPr>
        <w:t>Requesting Stockholders</w:t>
      </w:r>
      <w:r>
        <w:rPr>
          <w:color w:val="000000"/>
        </w:rPr>
        <w:t>”</w:t>
      </w:r>
      <w:r>
        <w:rPr>
          <w:rFonts w:ascii="Times New Roman;serif" w:hAnsi="Times New Roman;serif"/>
          <w:b w:val="false"/>
          <w:color w:val="000000"/>
          <w:sz w:val="24"/>
        </w:rPr>
        <w:t>) holding not less than twenty percent (20%) of the voting power of the Corporation on the record date established pursuant to Section 12 of Article I (the “</w:t>
      </w:r>
      <w:r>
        <w:rPr>
          <w:rFonts w:ascii="Times New Roman;serif" w:hAnsi="Times New Roman;serif"/>
          <w:b w:val="false"/>
          <w:color w:val="000000"/>
          <w:sz w:val="24"/>
          <w:u w:val="single"/>
        </w:rPr>
        <w:t>Requisite Percentage</w:t>
      </w:r>
      <w:r>
        <w:rPr>
          <w:color w:val="000000"/>
        </w:rPr>
        <w:t>”</w:t>
      </w:r>
      <w:r>
        <w:rPr>
          <w:rFonts w:ascii="Times New Roman;serif" w:hAnsi="Times New Roman;serif"/>
          <w:b w:val="false"/>
          <w:color w:val="000000"/>
          <w:sz w:val="24"/>
        </w:rPr>
        <w:t>); provided that a special meeting requested by the Requite Holders (a “</w:t>
      </w:r>
      <w:r>
        <w:rPr>
          <w:rFonts w:ascii="Times New Roman;serif" w:hAnsi="Times New Roman;serif"/>
          <w:b w:val="false"/>
          <w:color w:val="000000"/>
          <w:sz w:val="24"/>
          <w:u w:val="single"/>
        </w:rPr>
        <w:t>Stockholder Requested Special Meeting</w:t>
      </w:r>
      <w:r>
        <w:rPr>
          <w:color w:val="000000"/>
        </w:rPr>
        <w:t>”</w:t>
      </w:r>
      <w:r>
        <w:rPr>
          <w:rFonts w:ascii="Times New Roman;serif" w:hAnsi="Times New Roman;serif"/>
          <w:b w:val="false"/>
          <w:color w:val="000000"/>
          <w:sz w:val="24"/>
        </w:rPr>
        <w:t xml:space="preserve">) shall be called by the Secretary only if such Requisite Stockholders and their Special Meeting Request comply with the applicable provisions of these Bylaws (including this Section 10 of Article I), the Certificate of Incorporation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15975"/>
                <wp:effectExtent l="0" t="0" r="0" b="0"/>
                <wp:wrapNone/>
                <wp:docPr id="40" name="Frame4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4"/>
        </w:rPr>
        <w:t>applicable law. The person or persons calling any such meeting shall concurrently specify the purpose of such meeting and the business proposed to be transacted at such meeting. A Stockholder Requested Special Meeting shall be held at such date, time and place, within or without the State of Delaware, or by such means of remote communication, in each case, as may be designated by the Board of Directors; provided, however, that the date of any such Stockholder Requested Special Meeting shall be not more than ninety (90) days after a valid Special Meeting Request is received by the Secretary. Notwithstanding the foregoing, a Stockholder Requested Special Meeting shall not be held if: (1) the stated business to be brought before the Stockholder Requested Special Meeting is not a proper subject for stockholder action under applicable law, (2) the Board of Directors has called or calls for a meeting of stockholders to be held within ninety (90) days after the Secretary receives the Special Meeting Request and the Board of Directors determines in good faith that the business of such meeting includes an identical or substantially similar item of business to the business specified in the Special Meeting Request (a “</w:t>
      </w:r>
      <w:r>
        <w:rPr>
          <w:rFonts w:ascii="Times New Roman;serif" w:hAnsi="Times New Roman;serif"/>
          <w:b w:val="false"/>
          <w:color w:val="000000"/>
          <w:sz w:val="24"/>
          <w:u w:val="single"/>
        </w:rPr>
        <w:t>Similar Item</w:t>
      </w:r>
      <w:r>
        <w:rPr>
          <w:color w:val="000000"/>
        </w:rPr>
        <w:t>”</w:t>
      </w:r>
      <w:r>
        <w:rPr>
          <w:rFonts w:ascii="Times New Roman;serif" w:hAnsi="Times New Roman;serif"/>
          <w:b w:val="false"/>
          <w:color w:val="000000"/>
          <w:sz w:val="24"/>
        </w:rPr>
        <w:t>), (3) the Special Meeting Request is received during the period commencing ninety (90) days prior to the first anniversary of the date of the preceding annual meeting of the stockholders and ending on the date of the next annual meeting of stockholders,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 the Special Meeting Request relates to the election or removal of directors and a Similar Item involving the election or removal of directors, a change in the size of the Board of Directors or the filling of vacancies and/or newly created directorships resulting from any increase in the authorized number of directors was presented at any meeting of stockholders held within twelve</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(12) months prior to the date the Special Meeting Request is received, or (5) the Special Meeting Request relates to a matter other than the election or removal of directors, and a Similar Item was presented at any meeting of stockholders held within twelve (12) months prior to the date the Special Meeting Request is received.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(b)For a Special Meeting Request to be in proper form the Special Meeting Request must be in writing, sent by registered mail and received by the Secretary, and include, as applicable:</w:t>
      </w:r>
    </w:p>
    <w:p>
      <w:pPr>
        <w:pStyle w:val="TextBody"/>
        <w:bidi w:val="0"/>
        <w:spacing w:lineRule="auto" w:line="288" w:before="238" w:after="283"/>
        <w:ind w:left="0" w:right="0" w:firstLine="2160"/>
        <w:jc w:val="left"/>
        <w:rPr/>
      </w:pPr>
      <w:r>
        <w:rPr>
          <w:rFonts w:ascii="Times New Roman;serif" w:hAnsi="Times New Roman;serif"/>
          <w:b w:val="false"/>
          <w:color w:val="010000"/>
          <w:sz w:val="24"/>
        </w:rPr>
        <w:t>(i)</w:t>
      </w:r>
      <w:r>
        <w:rPr>
          <w:rFonts w:ascii="Times New Roman;serif" w:hAnsi="Times New Roman;serif"/>
          <w:b w:val="false"/>
          <w:color w:val="000000"/>
          <w:sz w:val="24"/>
        </w:rPr>
        <w:t>in the case of any Requesting Stockholder that is a stockholder of record, the name and address of such Requesting Stockholder as they appear in the Corporation’s books, and, in the case of any Requesting Stockholder that is a beneficial owner, the name and the valid and current address of such Requesting Stockholder;</w:t>
      </w:r>
    </w:p>
    <w:p>
      <w:pPr>
        <w:pStyle w:val="TextBody"/>
        <w:bidi w:val="0"/>
        <w:spacing w:lineRule="auto" w:line="288" w:before="241" w:after="283"/>
        <w:ind w:left="0" w:right="0" w:firstLine="2160"/>
        <w:jc w:val="left"/>
        <w:rPr/>
      </w:pPr>
      <w:r>
        <w:rPr>
          <w:rFonts w:ascii="Times New Roman;serif" w:hAnsi="Times New Roman;serif"/>
          <w:b w:val="false"/>
          <w:color w:val="010000"/>
          <w:sz w:val="24"/>
        </w:rPr>
        <w:t>(ii)</w:t>
      </w:r>
      <w:r>
        <w:rPr>
          <w:rFonts w:ascii="Times New Roman;serif" w:hAnsi="Times New Roman;serif"/>
          <w:b w:val="false"/>
          <w:color w:val="000000"/>
          <w:sz w:val="24"/>
        </w:rPr>
        <w:t>a description of the business desired to be brought before the Stockholder Requested Special Meeting (including the text of any proposal to be presented and, in the event such business includes a proposal to amend the Certificate of Incorporation or these Bylaws, the language of the proposed amendment) and the reasons for conducting such business at the meeting (including the text of any reasons for the proposed business that will be disclosed in any proxy statement or supplement thereto to be filed with the Securities and Exchange Commission) (collectively, “</w:t>
      </w:r>
      <w:r>
        <w:rPr>
          <w:rFonts w:ascii="Times New Roman;serif" w:hAnsi="Times New Roman;serif"/>
          <w:b w:val="false"/>
          <w:color w:val="000000"/>
          <w:sz w:val="24"/>
          <w:u w:val="single"/>
        </w:rPr>
        <w:t>Proposal Information</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2160"/>
        <w:jc w:val="left"/>
        <w:rPr/>
      </w:pPr>
      <w:r>
        <w:rPr>
          <w:rFonts w:ascii="Times New Roman;serif" w:hAnsi="Times New Roman;serif"/>
          <w:b w:val="false"/>
          <w:color w:val="010000"/>
          <w:sz w:val="24"/>
        </w:rPr>
        <w:t>(iii)</w:t>
      </w:r>
      <w:r>
        <w:rPr>
          <w:rFonts w:ascii="Times New Roman;serif" w:hAnsi="Times New Roman;serif"/>
          <w:b w:val="false"/>
          <w:color w:val="000000"/>
          <w:sz w:val="24"/>
        </w:rPr>
        <w:t>documentary evidence that such Requesting Stockholders hold not less than the Requisite Percentage as of the date of such Special Meeting Request; provided that, if any Requesting Stockholder is not the record holder of any shares representing the Requisite Percentage, then, to be valid, such Special Meeting Request must also include documentary</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15975"/>
                <wp:effectExtent l="0" t="0" r="0" b="0"/>
                <wp:wrapNone/>
                <wp:docPr id="41" name="Frame4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evidence of such Requesting Stockholder’s authority to execute the Special Meeting Request on behalf of one or more record holder(s) of such shares;</w:t>
      </w:r>
    </w:p>
    <w:p>
      <w:pPr>
        <w:pStyle w:val="TextBody"/>
        <w:bidi w:val="0"/>
        <w:spacing w:lineRule="auto" w:line="288" w:before="240" w:after="283"/>
        <w:ind w:left="0" w:right="0" w:firstLine="2160"/>
        <w:jc w:val="both"/>
        <w:rPr/>
      </w:pPr>
      <w:r>
        <w:rPr>
          <w:rFonts w:ascii="Times New Roman;serif" w:hAnsi="Times New Roman;serif"/>
          <w:b w:val="false"/>
          <w:color w:val="010000"/>
          <w:sz w:val="24"/>
        </w:rPr>
        <w:t>(iv)</w:t>
      </w:r>
      <w:r>
        <w:rPr>
          <w:rFonts w:ascii="Times New Roman;serif" w:hAnsi="Times New Roman;serif"/>
          <w:b w:val="false"/>
          <w:color w:val="000000"/>
          <w:sz w:val="24"/>
        </w:rPr>
        <w:t>the information required by Section 13(a) of Article I as to each Requesting Stockholder and any Stockholder Associated Person (as defined in clause (h)(i) of this Section 10 of Article I);</w:t>
      </w:r>
    </w:p>
    <w:p>
      <w:pPr>
        <w:pStyle w:val="TextBody"/>
        <w:bidi w:val="0"/>
        <w:spacing w:lineRule="auto" w:line="288" w:before="240" w:after="283"/>
        <w:ind w:left="0" w:right="0" w:firstLine="2160"/>
        <w:jc w:val="left"/>
        <w:rPr/>
      </w:pPr>
      <w:r>
        <w:rPr>
          <w:rFonts w:ascii="Times New Roman;serif" w:hAnsi="Times New Roman;serif"/>
          <w:b w:val="false"/>
          <w:color w:val="010000"/>
          <w:sz w:val="24"/>
        </w:rPr>
        <w:t>(v)</w:t>
      </w:r>
      <w:r>
        <w:rPr>
          <w:rFonts w:ascii="Times New Roman;serif" w:hAnsi="Times New Roman;serif"/>
          <w:b w:val="false"/>
          <w:color w:val="000000"/>
          <w:sz w:val="24"/>
        </w:rPr>
        <w:t>an agreement signed by each Requesting Stockholder to own the Requisite Percentage at all times between the date of the Secretary’s receipt of the Special Meeting Request, on the one hand, and the date of the Stockholder Requested Special Meeting, on the other hand, to notify the Corporation immediately in the case of any reduction in the shares of capital stock of the Corporation owned by such Requesting Stockholder prior to the date of the Stockholder Requested Special Meeting, and an acknowledgement that the Special Meeting Request shall be deemed to be revoked (and any special meeting scheduled in response thereto may be canceled) if the capital stock of the Corporation owned by such Requesting Stockholder(s) does not represent ownership of at least the Requisite Percentage at all times between the date of the Secretary’s receipt of the Special Meeting Request and the date of the Stockholder Requested Special Meeting.</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(c)The Requesting Stockholders shall further update and supplement the Special Meeting Request delivered and information previously provided to the Corporation pursuant to this Section 10 of Article I, if necessary, so that the information provided or required to be provided in such Special Meeting Request shall continue to be true and correct as of (x) the record date for determining the stockholders entitled to notice of the Stockholder Requested Special Meeting and (y) the date that is ten (10) business days prior to the Stockholder Requested Special Meeting (or any adjournment or postponement thereof), and such update and supplement must be received by the Secretary not later than five (5) business days after the record date for such Stockholder Requested Special Meeting (in the case of an update required to be made as of the record date) and not later than eight (8) business days prior to the date of such Stockholder Requested Special Meeting (in the case of an update required to be made as of the date that is 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 business days prior to such Stockholder Requested Special Meeting or any adjournment or postponement thereof).</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(d)The obligation of a Requesting Stockholder to provide information or an update pursuant to this Section 10 of Article I shall not limit the Corporation’s rights with respect to any deficiencies in any Special Meeting Request or information provided by such person or enable or be deemed to permit such person to amend or update any proposal or to submit any new proposal, including by substituting or adding proposals.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(e)Any Requesting Stockholder may revoke his, her or its Special Meeting Request at any time by revocation received by the Secretary at the principal executive offices of the Corporation. If, following such revocation (including any revocation resulting from a reduction in the shares of capital stock of the Corporation owned by a Requesting Stockholder), there are outstanding unrevoked Special Meeting Requests from stockholders holding in the aggregate less than the Requisite Percentage, the Board of Directors may, in its discretion, cancel the Stockholder Requested Special Meeting.</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5975"/>
                <wp:effectExtent l="0" t="0" r="0" b="0"/>
                <wp:wrapNone/>
                <wp:docPr id="42" name="Frame4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(f)Within ten (10) business days after receiving a Special Meeting Request, the Board of Directors shall determine whether such Requesting Stockholders have satisfied the requirements for calling a special meeting of the stockholders pursuant to these Bylaws and notify the Requesting Stockholders of its finding. Nothing contained in this Section 10(f) of Article I shall be construed as limiting, fixing, or affecting the time when a meeting of stockholders called by action of the Board of Directors may be held.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(g)At any special meeting of the stockholders, only such business shall be conducted or considered as shall have been properly brought before the special meeting. For business to be properly brought before a special meeting, it must be (1) specified in the Corporation’s notice of meeting (or any supplement thereto) given by or at the direction of the Board of Directors, (2) otherwise properly brought before the special meeting by or at the direction of the Board of Directors, or (3) otherwise properly requested to be brought before a special meeting requested by Requesting Stockholders in a valid Special Meeting Request in accordance with these Bylaws; provided, however, notwithstanding anything in these Bylaws to the contrary, the Board of Directors may submit its own proposal or proposals for consideration at any Stockholder Requested Special Meeting. Notwithstanding anything to the contrary contained herein, stockholders may not nominate persons for election to the Board of Directors at any special meeting of stockholders unless such meeting has been called by the Board of Directors for the purpose of electing directors.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(h)Notwithstanding the foregoing provisions of this Section 10 of Article I, unless otherwise required by law, if the Requesting Stockholder (or a qualified representative of the Requesting Stockholder) does not appear at the special meeting of stockholders to present the proposed business set forth in the Special Meeting Request, such proposed business shall be disregarded, notwithstanding that proxies in respect of such vote may have been received by the Corporation (which proxies shall also be disregarded).</w:t>
      </w:r>
    </w:p>
    <w:p>
      <w:pPr>
        <w:pStyle w:val="TextBody"/>
        <w:bidi w:val="0"/>
        <w:spacing w:lineRule="auto" w:line="288" w:before="241"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(i)For purposes of these Bylaws:</w:t>
      </w:r>
    </w:p>
    <w:p>
      <w:pPr>
        <w:pStyle w:val="TextBody"/>
        <w:bidi w:val="0"/>
        <w:spacing w:lineRule="auto" w:line="288" w:before="238" w:after="283"/>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rPr>
        <w:t>a “</w:t>
      </w:r>
      <w:r>
        <w:rPr>
          <w:rFonts w:ascii="Times New Roman;serif" w:hAnsi="Times New Roman;serif"/>
          <w:b w:val="false"/>
          <w:color w:val="000000"/>
          <w:sz w:val="24"/>
          <w:u w:val="single"/>
        </w:rPr>
        <w:t>Stockholder Associated Person</w:t>
      </w:r>
      <w:r>
        <w:rPr>
          <w:color w:val="000000"/>
        </w:rPr>
        <w:t xml:space="preserve">” </w:t>
      </w:r>
      <w:r>
        <w:rPr>
          <w:rFonts w:ascii="Times New Roman;serif" w:hAnsi="Times New Roman;serif"/>
          <w:b w:val="false"/>
          <w:color w:val="000000"/>
          <w:sz w:val="24"/>
        </w:rPr>
        <w:t>of any stockholder submitting a Special Meeting Request or providing a notice pursuant to this Section 10 or Section 13 of Article I, respectively, shall mean (i) any beneficial owner of shares of stock of the Corporation owned of record or beneficially by such stockholder and on whose behalf the request, proposal or nomination, as the case may be, is being made, (ii) any Affiliate of such stockholder (within the meaning of Rule 12b-2 under the Securities and Exchange Act of 1934 (together with the rules and regulations promulgated thereunder, in each case, as may be amended from time to time,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for purposes of these Bylaws) of such stockholder or beneficial owner, and (iii) any person controlling, controlled by or under common control with any person referred to in the preceding clauses</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(i) and (ii); and</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rPr>
        <w:t>to be considered a “</w:t>
      </w:r>
      <w:r>
        <w:rPr>
          <w:rFonts w:ascii="Times New Roman;serif" w:hAnsi="Times New Roman;serif"/>
          <w:b w:val="false"/>
          <w:color w:val="000000"/>
          <w:sz w:val="24"/>
          <w:u w:val="single"/>
        </w:rPr>
        <w:t>qualified representative</w:t>
      </w:r>
      <w:r>
        <w:rPr>
          <w:color w:val="000000"/>
        </w:rPr>
        <w:t xml:space="preserve">” </w:t>
      </w:r>
      <w:r>
        <w:rPr>
          <w:rFonts w:ascii="Times New Roman;serif" w:hAnsi="Times New Roman;serif"/>
          <w:b w:val="false"/>
          <w:color w:val="000000"/>
          <w:sz w:val="24"/>
        </w:rPr>
        <w:t>of a stockholder, a person must be authorized by a writing executed by such stockholder or an electronic transmission delivered by such stockholder to act for such stockholder as proxy at the meeting of stockholders and such person must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5975"/>
                <wp:effectExtent l="0" t="0" r="0" b="0"/>
                <wp:wrapNone/>
                <wp:docPr id="43" name="Frame4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produce such writing or electronic transmission, or a reliable reproduction of the writing or electronic transmission, at the meeting of stockholders.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11.</w:t>
      </w:r>
      <w:r>
        <w:rPr>
          <w:rFonts w:ascii="Times New Roman;serif" w:hAnsi="Times New Roman;serif"/>
          <w:b/>
          <w:i/>
          <w:color w:val="000000"/>
          <w:sz w:val="24"/>
        </w:rPr>
        <w:t>Organization</w:t>
      </w:r>
      <w:r>
        <w:rPr>
          <w:rFonts w:ascii="Times New Roman;serif" w:hAnsi="Times New Roman;serif"/>
          <w:b w:val="false"/>
          <w:color w:val="000000"/>
          <w:sz w:val="24"/>
        </w:rPr>
        <w:t>. The Chair of the Board, or in the absence of the Chair, the President, or in their absence, the Vice Chair, or if no such officer is present, a director designated by the Board of Directors, shall call meetings of the stockholders to order and shall act as chair of the meeting. The Secretary, or in the absence of the Secretary, an Assistant Secretary, shall act as secretary of the meeting of the stockholders, but in the absence of the Secretary and Assistant Secretary at a meeting of the stockholders the chair of the meeting may appoint any person to act as secretary of the meeting.</w:t>
      </w:r>
    </w:p>
    <w:p>
      <w:pPr>
        <w:pStyle w:val="TextBody"/>
        <w:bidi w:val="0"/>
        <w:spacing w:lineRule="auto" w:line="288" w:before="240" w:after="283"/>
        <w:ind w:left="0" w:right="0" w:hanging="719"/>
        <w:jc w:val="left"/>
        <w:rPr/>
      </w:pPr>
      <w:r>
        <w:rPr>
          <w:rFonts w:ascii="Times New Roman;serif" w:hAnsi="Times New Roman;serif"/>
          <w:b w:val="false"/>
          <w:color w:val="000000"/>
          <w:sz w:val="24"/>
        </w:rPr>
        <w:t>12.</w:t>
      </w:r>
      <w:r>
        <w:rPr>
          <w:rFonts w:ascii="Times New Roman;serif" w:hAnsi="Times New Roman;serif"/>
          <w:b/>
          <w:i/>
          <w:color w:val="000000"/>
          <w:sz w:val="24"/>
        </w:rPr>
        <w:t>Fixing Date for Determination of Stockholders of Record</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(i) in the case of determination of stockholders entitled to vote at any meeting of stockholders or adjournment thereof, shall, unless otherwise required by law, not be more than sixty (60) nor less than ten (10) days before the date of such meeting; and (ii) in the case of any other action, shall not be more than sixty (60) days prior to such other action. If no record date is fixed pursuant to above: (1) the record date for determining stockholders entitled to notice of or to vote at a meeting of stockholders shall be at the close of business on the business day next preceding the day on which notice is given or, if notice is waived, at the close of business on the business day next preceding the day on which the meeting is held; and (2)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attention of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5975"/>
                <wp:effectExtent l="0" t="0" r="0" b="0"/>
                <wp:wrapNone/>
                <wp:docPr id="44" name="Frame4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delivered to the Corporation by delivery to its registered office in the State of Delaware, its principal place of business, or an officer or agent of the Corporation having custody of the book in which proceedings of meetings of stockholders are recorded. Delivery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pStyle w:val="TextBody"/>
        <w:bidi w:val="0"/>
        <w:spacing w:lineRule="auto" w:line="288" w:before="240" w:after="283"/>
        <w:ind w:left="0" w:right="0" w:hanging="719"/>
        <w:jc w:val="left"/>
        <w:rPr/>
      </w:pPr>
      <w:r>
        <w:rPr>
          <w:rFonts w:ascii="Times New Roman;serif" w:hAnsi="Times New Roman;serif"/>
          <w:b w:val="false"/>
          <w:color w:val="000000"/>
          <w:sz w:val="24"/>
        </w:rPr>
        <w:t>13.</w:t>
      </w:r>
      <w:r>
        <w:rPr>
          <w:rFonts w:ascii="Times New Roman;serif" w:hAnsi="Times New Roman;serif"/>
          <w:b/>
          <w:i/>
          <w:color w:val="000000"/>
          <w:sz w:val="24"/>
        </w:rPr>
        <w:t>Advance Notice of Stockholder Business and Nominations</w:t>
      </w:r>
      <w:r>
        <w:rPr>
          <w:rFonts w:ascii="Times New Roman;serif" w:hAnsi="Times New Roman;serif"/>
          <w:b w:val="false"/>
          <w:color w:val="000000"/>
          <w:sz w:val="24"/>
        </w:rPr>
        <w:t>.</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(a)Annual Meetings of Stockholders.</w:t>
      </w:r>
    </w:p>
    <w:p>
      <w:pPr>
        <w:pStyle w:val="TextBody"/>
        <w:bidi w:val="0"/>
        <w:spacing w:lineRule="auto" w:line="288" w:before="60" w:after="283"/>
        <w:ind w:left="0" w:right="0" w:firstLine="2160"/>
        <w:jc w:val="left"/>
        <w:rPr/>
      </w:pPr>
      <w:r>
        <w:rPr>
          <w:rFonts w:ascii="Times New Roman;serif" w:hAnsi="Times New Roman;serif"/>
          <w:b w:val="false"/>
          <w:color w:val="010000"/>
          <w:sz w:val="24"/>
        </w:rPr>
        <w:t>(i)</w:t>
      </w:r>
      <w:r>
        <w:rPr>
          <w:rFonts w:ascii="Times New Roman;serif" w:hAnsi="Times New Roman;serif"/>
          <w:b w:val="false"/>
          <w:color w:val="000000"/>
          <w:sz w:val="24"/>
        </w:rPr>
        <w:t>Nominations of persons for election to the Board of Directors and the proposal of other business to be considered by the stockholders may be made at an annual meeting of stockholders only (A) pursuant to the Corporation’s notice of meeting (or any supplement thereto), (B) by or at the direction of the Board of Directors, or (C) if properly brought before the meeting by any stockholder of the Corporation who is a stockholder of record of the Corporation both at the time the notice provided for in this Section 13(a) of Article I is received by the Secretary and at the time of the meeting, who is entitled to vote at the meeting, and who timely complies with the notice procedures set forth in this Section 13(a) of Article I and all other applicable requirements set forth in these Bylaws, the Certificate of Incorporation and applicable law. For the avoidance of doubt, except for proposals properly made in accordance with Rule 14a-8 under the Exchange Act, and included in the notice of meeting given by or at the direction of the Board of Directors, clause (C) above shall be the exclusive means for a stockholder to bring director nominations or other business before an annual meeting of stockholders. Any matter proposed to be brought by a stockholder must also constitute a proper matter for stockholder action.</w:t>
      </w:r>
    </w:p>
    <w:p>
      <w:pPr>
        <w:pStyle w:val="TextBody"/>
        <w:bidi w:val="0"/>
        <w:spacing w:lineRule="auto" w:line="288" w:before="60" w:after="283"/>
        <w:ind w:left="0" w:right="0" w:firstLine="2160"/>
        <w:jc w:val="left"/>
        <w:rPr/>
      </w:pPr>
      <w:r>
        <w:rPr>
          <w:rFonts w:ascii="Times New Roman;serif" w:hAnsi="Times New Roman;serif"/>
          <w:b w:val="false"/>
          <w:color w:val="010000"/>
          <w:sz w:val="24"/>
        </w:rPr>
        <w:t>(ii)</w:t>
      </w:r>
      <w:r>
        <w:rPr>
          <w:rFonts w:ascii="Times New Roman;serif" w:hAnsi="Times New Roman;serif"/>
          <w:b w:val="false"/>
          <w:color w:val="000000"/>
          <w:sz w:val="24"/>
        </w:rPr>
        <w:t xml:space="preserve">For nominations or other business to be properly brought before an annual meeting of stockholders by a stockholder pursuant to clause (C) of Section 13(a)(i) of Article I, the stockholder must have given timely notice thereof in proper written form to the Secretary. To be timely, a stockholder’s notice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stockholder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Notwithstanding the foregoing, in the event that the number of directors to be elected to the Board of Directors at an annual meeting is increased and there is no public announcement by the Corporation naming all of the nominees for director or specifying the size of the increased Board of Directors at least one hundred (100) days prior to the first anniversary of the preceding year’s annual meeting, a stockholder notice required by this Section 13(a) of Article I shall also be considered timely, but only with respect to nominees for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5975"/>
                <wp:effectExtent l="0" t="0" r="0" b="0"/>
                <wp:wrapNone/>
                <wp:docPr id="45" name="Frame4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center"/>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any new positions created by such increase, if it shall be received by the Secretary at the principal executive offices of the Corporation not later than the close of business on the tenth (10th) day following the day on which such public announcement is first made by the Corporation. In no event shall the public announcement of an adjournment or postponement of an annual meeting of stockholders commence a new time period (or extend any time period) for the giving of a stockholder’s notice as described above. To be in proper written form, a stockholder’s notice to the Secretary (whether pursuant to this Section 13(a) or Section 13(b) of Article I) must set forth:</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(A)</w:t>
      </w:r>
      <w:r>
        <w:rPr>
          <w:rFonts w:ascii="Times New Roman;serif" w:hAnsi="Times New Roman;serif"/>
          <w:b w:val="false"/>
          <w:color w:val="000000"/>
          <w:sz w:val="24"/>
        </w:rPr>
        <w:t>the name and address, as they appear on the Corporation’s books, of the stockholder providing the notice and any Stockholder Associated Person;</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(B)</w:t>
      </w:r>
      <w:r>
        <w:rPr>
          <w:rFonts w:ascii="Times New Roman;serif" w:hAnsi="Times New Roman;serif"/>
          <w:b w:val="false"/>
          <w:color w:val="000000"/>
          <w:sz w:val="24"/>
        </w:rPr>
        <w:t>(1) the class and number of shares of the Corporation’s stock which are, directly or indirectly, held of record or are beneficially owned (as determined by Rule 13(d) of the Exchange Act) by such stockholder or any Stockholder Associated Person on the date of such stockholder’s notice, (2) the dates such shares were acquired, (3) the investment intent of such acquisitions 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 evidence of such beneficial or record ownership;</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(C)</w:t>
      </w:r>
      <w:r>
        <w:rPr>
          <w:rFonts w:ascii="Times New Roman;serif" w:hAnsi="Times New Roman;serif"/>
          <w:b w:val="false"/>
          <w:color w:val="000000"/>
          <w:sz w:val="24"/>
        </w:rPr>
        <w:t>a complete and accurate description of any derivative positions with respect to shares of capital stock of the Corporation held of record or beneficially owned by or on behalf of such stockholder or any Stockholder Associated Person;</w:t>
      </w:r>
    </w:p>
    <w:p>
      <w:pPr>
        <w:pStyle w:val="TextBody"/>
        <w:bidi w:val="0"/>
        <w:spacing w:lineRule="auto" w:line="288" w:before="241" w:after="283"/>
        <w:ind w:left="0" w:right="0" w:firstLine="1440"/>
        <w:jc w:val="left"/>
        <w:rPr/>
      </w:pPr>
      <w:r>
        <w:rPr>
          <w:rFonts w:ascii="Times New Roman;serif" w:hAnsi="Times New Roman;serif"/>
          <w:b w:val="false"/>
          <w:color w:val="010000"/>
          <w:sz w:val="24"/>
        </w:rPr>
        <w:t>(D)</w:t>
      </w:r>
      <w:r>
        <w:rPr>
          <w:rFonts w:ascii="Times New Roman;serif" w:hAnsi="Times New Roman;serif"/>
          <w:b w:val="false"/>
          <w:color w:val="000000"/>
          <w:sz w:val="24"/>
        </w:rPr>
        <w:t>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w:t>
      </w:r>
    </w:p>
    <w:p>
      <w:pPr>
        <w:pStyle w:val="TextBody"/>
        <w:bidi w:val="0"/>
        <w:spacing w:lineRule="auto" w:line="288" w:before="239" w:after="283"/>
        <w:ind w:left="0" w:right="0" w:firstLine="1440"/>
        <w:jc w:val="left"/>
        <w:rPr/>
      </w:pPr>
      <w:r>
        <w:rPr>
          <w:rFonts w:ascii="Times New Roman;serif" w:hAnsi="Times New Roman;serif"/>
          <w:b w:val="false"/>
          <w:color w:val="010000"/>
          <w:sz w:val="24"/>
        </w:rPr>
        <w:t>(E)</w:t>
      </w:r>
      <w:r>
        <w:rPr>
          <w:rFonts w:ascii="Times New Roman;serif" w:hAnsi="Times New Roman;serif"/>
          <w:b w:val="false"/>
          <w:color w:val="000000"/>
          <w:sz w:val="24"/>
        </w:rPr>
        <w:t>a complete and accurate description of any agreement, arrangement or understanding pursuant to which such stockholder or any Stockholder Associated Person has received any financial assistance, funding, or other consideration from any other person with respect to the investment by such stockholder or any Stockholder Associated Person in the Corporation;</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(F)</w:t>
      </w:r>
      <w:r>
        <w:rPr>
          <w:rFonts w:ascii="Times New Roman;serif" w:hAnsi="Times New Roman;serif"/>
          <w:b w:val="false"/>
          <w:color w:val="000000"/>
          <w:sz w:val="24"/>
        </w:rPr>
        <w:t>a complete and accurate description of any performance- related fees (other than an asset-based fee) to which such stockholder or any Stockholder Associated Person may be entitled as a result of any increase or decrease in the value of any shares of the Corporation or any derivative positions with respect to shares of capital stock of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5975"/>
                <wp:effectExtent l="0" t="0" r="0" b="0"/>
                <wp:wrapNone/>
                <wp:docPr id="46" name="Frame4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60" w:after="283"/>
        <w:ind w:left="0" w:right="0" w:firstLine="1440"/>
        <w:jc w:val="left"/>
        <w:rPr/>
      </w:pPr>
      <w:r>
        <w:rPr>
          <w:rFonts w:ascii="Times New Roman;serif" w:hAnsi="Times New Roman;serif"/>
          <w:b w:val="false"/>
          <w:color w:val="010000"/>
          <w:sz w:val="24"/>
        </w:rPr>
        <w:t>(G)</w:t>
      </w:r>
      <w:r>
        <w:rPr>
          <w:rFonts w:ascii="Times New Roman;serif" w:hAnsi="Times New Roman;serif"/>
          <w:b w:val="false"/>
          <w:color w:val="000000"/>
          <w:sz w:val="24"/>
        </w:rPr>
        <w:t>any material interest of such stockholder or any Stockholder Associated Person in the proposed nomination or other business to be brought at the meeting;</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(H)</w:t>
      </w:r>
      <w:r>
        <w:rPr>
          <w:rFonts w:ascii="Times New Roman;serif" w:hAnsi="Times New Roman;serif"/>
          <w:b w:val="false"/>
          <w:color w:val="000000"/>
          <w:sz w:val="24"/>
        </w:rPr>
        <w:t>a reasonably detailed description of all agreements, arrangements and understandings (x) between or among the stockholder and any Stockholder Associated Person or (y) between or among the stockholder or any Stockholder Associated Person and any other person or entity (including their names) in connection with the proposed nomination or other business by such stockholder, including without limitation any agreements that would be required to be disclosed pursuant to Item 5 or Item 6 of a Schedule 13D that would be filed pursuant to the Exchange Act (regardless of whether the requirement to file a Schedule 13D is applicable to the stockholder or any Stockholder Associated Person or other person or entity);</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(I)</w:t>
      </w:r>
      <w:r>
        <w:rPr>
          <w:rFonts w:ascii="Times New Roman;serif" w:hAnsi="Times New Roman;serif"/>
          <w:b w:val="false"/>
          <w:color w:val="000000"/>
          <w:sz w:val="24"/>
        </w:rPr>
        <w:t>a representation that such stockholder is a holder of record of stock of the Corporation entitled to vote at such meeting and intends to appear in person or by proxy at the meeting to propose such nomination or other business;</w:t>
      </w:r>
    </w:p>
    <w:p>
      <w:pPr>
        <w:pStyle w:val="TextBody"/>
        <w:bidi w:val="0"/>
        <w:spacing w:lineRule="auto" w:line="288" w:before="240" w:after="283"/>
        <w:ind w:left="0" w:right="0" w:firstLine="1440"/>
        <w:jc w:val="both"/>
        <w:rPr/>
      </w:pPr>
      <w:r>
        <w:rPr>
          <w:rFonts w:ascii="Times New Roman;serif" w:hAnsi="Times New Roman;serif"/>
          <w:b w:val="false"/>
          <w:color w:val="010000"/>
          <w:sz w:val="24"/>
        </w:rPr>
        <w:t>(J)</w:t>
      </w:r>
      <w:r>
        <w:rPr>
          <w:rFonts w:ascii="Times New Roman;serif" w:hAnsi="Times New Roman;serif"/>
          <w:b w:val="false"/>
          <w:color w:val="000000"/>
          <w:sz w:val="24"/>
        </w:rPr>
        <w:t>to the extent known by such stockholder, the names and addresses of any other beneficial or record owners of stock of the Corporation known to be supporting such nomination or other business;</w:t>
      </w:r>
    </w:p>
    <w:p>
      <w:pPr>
        <w:pStyle w:val="TextBody"/>
        <w:bidi w:val="0"/>
        <w:spacing w:lineRule="auto" w:line="288" w:before="241" w:after="283"/>
        <w:ind w:left="0" w:right="0" w:firstLine="1440"/>
        <w:jc w:val="left"/>
        <w:rPr/>
      </w:pPr>
      <w:r>
        <w:rPr>
          <w:rFonts w:ascii="Times New Roman;serif" w:hAnsi="Times New Roman;serif"/>
          <w:b w:val="false"/>
          <w:color w:val="010000"/>
          <w:sz w:val="24"/>
        </w:rPr>
        <w:t>(K)</w:t>
      </w:r>
      <w:r>
        <w:rPr>
          <w:rFonts w:ascii="Times New Roman;serif" w:hAnsi="Times New Roman;serif"/>
          <w:b w:val="false"/>
          <w:color w:val="000000"/>
          <w:sz w:val="24"/>
        </w:rPr>
        <w:t>a representation whether such stockholder or any Stockholder Associated Person intends or is part of a group that intends (1) to deliver a proxy statement and/or form of proxy to the holders of at least the percentage of the Corporation’s outstanding capital stock required to approve or adopt the proposal or elect each proposed nominee, (2) otherwise to solicit proxies from stockholders in support of such proposed nomination or other business, and/or (iii) to solicit the holders of the Corporation’s shares in accordance with Rule 14a-19 under the Exchange Act;</w:t>
      </w:r>
    </w:p>
    <w:p>
      <w:pPr>
        <w:pStyle w:val="TextBody"/>
        <w:bidi w:val="0"/>
        <w:spacing w:lineRule="auto" w:line="288" w:before="238" w:after="283"/>
        <w:ind w:left="0" w:right="0" w:firstLine="1440"/>
        <w:jc w:val="left"/>
        <w:rPr/>
      </w:pPr>
      <w:r>
        <w:rPr>
          <w:rFonts w:ascii="Times New Roman;serif" w:hAnsi="Times New Roman;serif"/>
          <w:b w:val="false"/>
          <w:color w:val="010000"/>
          <w:sz w:val="24"/>
        </w:rPr>
        <w:t>(L)</w:t>
      </w:r>
      <w:r>
        <w:rPr>
          <w:rFonts w:ascii="Times New Roman;serif" w:hAnsi="Times New Roman;serif"/>
          <w:b w:val="false"/>
          <w:color w:val="000000"/>
          <w:sz w:val="24"/>
        </w:rPr>
        <w:t>as to each proposal of business (other than the nomination of persons for election to the Board of Directors) such stockholder proposes to bring before the meeting, the Proposal Information; and</w:t>
      </w:r>
    </w:p>
    <w:p>
      <w:pPr>
        <w:pStyle w:val="TextBody"/>
        <w:bidi w:val="0"/>
        <w:spacing w:lineRule="auto" w:line="288" w:before="241" w:after="283"/>
        <w:ind w:left="0" w:right="0" w:firstLine="1440"/>
        <w:jc w:val="left"/>
        <w:rPr/>
      </w:pPr>
      <w:r>
        <w:rPr>
          <w:rFonts w:ascii="Times New Roman;serif" w:hAnsi="Times New Roman;serif"/>
          <w:b w:val="false"/>
          <w:color w:val="010000"/>
          <w:sz w:val="24"/>
        </w:rPr>
        <w:t>(M)</w:t>
      </w:r>
      <w:r>
        <w:rPr>
          <w:rFonts w:ascii="Times New Roman;serif" w:hAnsi="Times New Roman;serif"/>
          <w:b w:val="false"/>
          <w:color w:val="000000"/>
          <w:sz w:val="24"/>
        </w:rPr>
        <w:t>as to each person whom such stockholder proposes to nominate for election as a director at the meeting:</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(1)</w:t>
      </w:r>
      <w:r>
        <w:rPr>
          <w:rFonts w:ascii="Times New Roman;serif" w:hAnsi="Times New Roman;serif"/>
          <w:b w:val="false"/>
          <w:color w:val="000000"/>
          <w:sz w:val="24"/>
        </w:rPr>
        <w:t>the stockholder’s intent to nominate such person for election as a director of the Corporation, the name of each such nominee proposed by the stockholder giving the notice, and the reason for making such nomination at the annual meeting;</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(2)</w:t>
      </w:r>
      <w:r>
        <w:rPr>
          <w:rFonts w:ascii="Times New Roman;serif" w:hAnsi="Times New Roman;serif"/>
          <w:b w:val="false"/>
          <w:color w:val="000000"/>
          <w:sz w:val="24"/>
        </w:rPr>
        <w:t>such nominee’s name, age, business address and residence address;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5975"/>
                <wp:effectExtent l="0" t="0" r="0" b="0"/>
                <wp:wrapNone/>
                <wp:docPr id="47" name="Frame4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1440"/>
        <w:jc w:val="left"/>
        <w:rPr/>
      </w:pPr>
      <w:r>
        <w:rPr>
          <w:rFonts w:ascii="Times New Roman;serif" w:hAnsi="Times New Roman;serif"/>
          <w:b w:val="false"/>
          <w:color w:val="010000"/>
          <w:sz w:val="24"/>
        </w:rPr>
        <w:t>(3)</w:t>
      </w:r>
      <w:r>
        <w:rPr>
          <w:rFonts w:ascii="Times New Roman;serif" w:hAnsi="Times New Roman;serif"/>
          <w:b w:val="false"/>
          <w:color w:val="000000"/>
          <w:sz w:val="24"/>
        </w:rPr>
        <w:t>a description of all arrangements or understandings between or among any of the stockholder, any Stockholder Associated Person, such nominee, and any other person or persons (naming such person or persons) in connection with such nominee’s nomination or service or action as a director;</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(4)</w:t>
      </w:r>
      <w:r>
        <w:rPr>
          <w:rFonts w:ascii="Times New Roman;serif" w:hAnsi="Times New Roman;serif"/>
          <w:b w:val="false"/>
          <w:color w:val="000000"/>
          <w:sz w:val="24"/>
        </w:rPr>
        <w:t>all of the information that would be required to be disclosed pursuant to Item 404 under Regulation S-K if the stockholder providing the notice or any Stockholder Associated Person were the “registrant” for purposes of such rule and such nominee was a director or executive officer of such registrant;</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(5)</w:t>
      </w:r>
      <w:r>
        <w:rPr>
          <w:rFonts w:ascii="Times New Roman;serif" w:hAnsi="Times New Roman;serif"/>
          <w:b w:val="false"/>
          <w:color w:val="000000"/>
          <w:sz w:val="24"/>
        </w:rPr>
        <w:t>all of the information with respect to such nominee as would be required to be set forth in the stockholder notice pursuant to this Section 13(a)(ii) of Article I if such nominee were the noticing stockholder;</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(6)</w:t>
      </w:r>
      <w:r>
        <w:rPr>
          <w:rFonts w:ascii="Times New Roman;serif" w:hAnsi="Times New Roman;serif"/>
          <w:b w:val="false"/>
          <w:color w:val="000000"/>
          <w:sz w:val="24"/>
        </w:rPr>
        <w:t>such nominee’s principal occupation(s) during the past five (5) years;</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(7)</w:t>
      </w:r>
      <w:r>
        <w:rPr>
          <w:rFonts w:ascii="Times New Roman;serif" w:hAnsi="Times New Roman;serif"/>
          <w:b w:val="false"/>
          <w:color w:val="000000"/>
          <w:sz w:val="24"/>
        </w:rPr>
        <w:t>such nominee’s previous and/or current memberships on all public company boards of directors;</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(8)</w:t>
      </w:r>
      <w:r>
        <w:rPr>
          <w:rFonts w:ascii="Times New Roman;serif" w:hAnsi="Times New Roman;serif"/>
          <w:b w:val="false"/>
          <w:color w:val="000000"/>
          <w:sz w:val="24"/>
        </w:rPr>
        <w:t>details of any positions where such nominee has served as an officer or director of any entity that is in the same industry as the Corporation within the three (3) years preceding the submission of the stockholder’s notice;</w:t>
      </w:r>
    </w:p>
    <w:p>
      <w:pPr>
        <w:pStyle w:val="TextBody"/>
        <w:bidi w:val="0"/>
        <w:spacing w:lineRule="auto" w:line="288" w:before="241" w:after="283"/>
        <w:ind w:left="0" w:right="0" w:firstLine="1440"/>
        <w:jc w:val="left"/>
        <w:rPr/>
      </w:pPr>
      <w:r>
        <w:rPr>
          <w:rFonts w:ascii="Times New Roman;serif" w:hAnsi="Times New Roman;serif"/>
          <w:b w:val="false"/>
          <w:color w:val="010000"/>
          <w:sz w:val="24"/>
        </w:rPr>
        <w:t>(9)</w:t>
      </w:r>
      <w:r>
        <w:rPr>
          <w:rFonts w:ascii="Times New Roman;serif" w:hAnsi="Times New Roman;serif"/>
          <w:b w:val="false"/>
          <w:color w:val="000000"/>
          <w:sz w:val="24"/>
        </w:rPr>
        <w:t>any bankruptcy filings of such nominee or any affiliate of such nominee;</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(10)</w:t>
      </w:r>
      <w:r>
        <w:rPr>
          <w:rFonts w:ascii="Times New Roman;serif" w:hAnsi="Times New Roman;serif"/>
          <w:b w:val="false"/>
          <w:color w:val="000000"/>
          <w:sz w:val="24"/>
        </w:rPr>
        <w:t>any criminal convictions of such nominee or any affiliate of such nominee;</w:t>
      </w:r>
    </w:p>
    <w:p>
      <w:pPr>
        <w:pStyle w:val="TextBody"/>
        <w:bidi w:val="0"/>
        <w:spacing w:lineRule="auto" w:line="288" w:before="238" w:after="283"/>
        <w:ind w:left="0" w:right="0" w:firstLine="1440"/>
        <w:jc w:val="left"/>
        <w:rPr/>
      </w:pPr>
      <w:r>
        <w:rPr>
          <w:rFonts w:ascii="Times New Roman;serif" w:hAnsi="Times New Roman;serif"/>
          <w:b w:val="false"/>
          <w:color w:val="010000"/>
          <w:sz w:val="24"/>
        </w:rPr>
        <w:t>(11)</w:t>
      </w:r>
      <w:r>
        <w:rPr>
          <w:rFonts w:ascii="Times New Roman;serif" w:hAnsi="Times New Roman;serif"/>
          <w:b w:val="false"/>
          <w:color w:val="000000"/>
          <w:sz w:val="24"/>
        </w:rPr>
        <w:t>any civil action(s) by the Securities and Exchange Commission or other regulatory agency against such nominee whereby such nominee was found to have violated any federal or state securities law;</w:t>
      </w:r>
    </w:p>
    <w:p>
      <w:pPr>
        <w:pStyle w:val="TextBody"/>
        <w:bidi w:val="0"/>
        <w:spacing w:lineRule="auto" w:line="288" w:before="241" w:after="283"/>
        <w:ind w:left="0" w:right="0" w:firstLine="1440"/>
        <w:jc w:val="left"/>
        <w:rPr/>
      </w:pPr>
      <w:r>
        <w:rPr>
          <w:rFonts w:ascii="Times New Roman;serif" w:hAnsi="Times New Roman;serif"/>
          <w:b w:val="false"/>
          <w:color w:val="010000"/>
          <w:sz w:val="24"/>
        </w:rPr>
        <w:t>(12)</w:t>
      </w:r>
      <w:r>
        <w:rPr>
          <w:rFonts w:ascii="Times New Roman;serif" w:hAnsi="Times New Roman;serif"/>
          <w:b w:val="false"/>
          <w:color w:val="000000"/>
          <w:sz w:val="24"/>
        </w:rPr>
        <w:t>a completed directors’ and officers’ questionnaire with respect to such nominee in the form required by the Corporation (which form the stockholder giving the notice shall request in writing from the Secretary and which the Secretary shall provide to the stockholder within ten (10) days of receiving such request) and signed by such nominee;</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(13)</w:t>
      </w:r>
      <w:r>
        <w:rPr>
          <w:rFonts w:ascii="Times New Roman;serif" w:hAnsi="Times New Roman;serif"/>
          <w:b w:val="false"/>
          <w:color w:val="000000"/>
          <w:sz w:val="24"/>
        </w:rPr>
        <w:t xml:space="preserve">the signed consent of such nominee to being named in the proxy statement, associated proxy card and other proxy materials as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5975"/>
                <wp:effectExtent l="0" t="0" r="0" b="0"/>
                <wp:wrapNone/>
                <wp:docPr id="48" name="Frame4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a nominee and to serving as a director if elected or re-elected, as the case may be;</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(14)</w:t>
      </w:r>
      <w:r>
        <w:rPr>
          <w:rFonts w:ascii="Times New Roman;serif" w:hAnsi="Times New Roman;serif"/>
          <w:b w:val="false"/>
          <w:color w:val="000000"/>
          <w:sz w:val="24"/>
        </w:rPr>
        <w:t>a written representation and agreement in a form reasonably satisfactory to the Board of Directors and signed by such nominee that such nominee:</w:t>
      </w:r>
    </w:p>
    <w:p>
      <w:pPr>
        <w:pStyle w:val="TextBody"/>
        <w:bidi w:val="0"/>
        <w:spacing w:lineRule="auto" w:line="288" w:before="240" w:after="283"/>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will comply with the Corporation’s processes for evaluating any person being considered for nomination or re-nomination to the Board of Directors, including an agreement to meet with the Nominating &amp; Governance Committee, if requested, to discuss matters relating to the nomination of such nominee, including the information provided by such nominee to the Corporation in connection with his or her nomination and such nominee’s eligibility to serve as a member of the Board of Directors;</w:t>
      </w:r>
    </w:p>
    <w:p>
      <w:pPr>
        <w:pStyle w:val="TextBody"/>
        <w:bidi w:val="0"/>
        <w:spacing w:lineRule="auto" w:line="288" w:before="240" w:after="283"/>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consents to the running of a background check in accordance with the Corporation’s policy for prospective directors and will provide any information requested by the Corporation that is necessary to run such background check;</w:t>
      </w:r>
    </w:p>
    <w:p>
      <w:pPr>
        <w:pStyle w:val="TextBody"/>
        <w:bidi w:val="0"/>
        <w:spacing w:lineRule="auto" w:line="288" w:before="241" w:after="283"/>
        <w:ind w:left="0" w:right="0" w:firstLine="720"/>
        <w:jc w:val="left"/>
        <w:rPr/>
      </w:pPr>
      <w:r>
        <w:rPr>
          <w:rFonts w:ascii="Times New Roman;serif" w:hAnsi="Times New Roman;serif"/>
          <w:b w:val="false"/>
          <w:color w:val="010000"/>
          <w:sz w:val="24"/>
        </w:rPr>
        <w:t>(c)</w:t>
      </w:r>
      <w:r>
        <w:rPr>
          <w:rFonts w:ascii="Times New Roman;serif" w:hAnsi="Times New Roman;serif"/>
          <w:b w:val="false"/>
          <w:color w:val="000000"/>
          <w:sz w:val="24"/>
        </w:rPr>
        <w:t>is not and will not become a party to (i) any compensatory, payment or other financial agreement, arrangement or understanding with any person other than the Corporation in connection with service or action as a director of the Corporation that has not been disclosed to the Corporation; (ii) any agreement, arrangement or understanding with any person as to how such nominee would vote or act on any issue or question as a director of the Corporation (a “</w:t>
      </w:r>
      <w:r>
        <w:rPr>
          <w:rFonts w:ascii="Times New Roman;serif" w:hAnsi="Times New Roman;serif"/>
          <w:b w:val="false"/>
          <w:color w:val="000000"/>
          <w:sz w:val="24"/>
          <w:u w:val="single"/>
        </w:rPr>
        <w:t>Voting Commitment</w:t>
      </w:r>
      <w:r>
        <w:rPr>
          <w:color w:val="000000"/>
        </w:rPr>
        <w:t>”</w:t>
      </w:r>
      <w:r>
        <w:rPr>
          <w:rFonts w:ascii="Times New Roman;serif" w:hAnsi="Times New Roman;serif"/>
          <w:b w:val="false"/>
          <w:color w:val="000000"/>
          <w:sz w:val="24"/>
        </w:rPr>
        <w:t>) that has not been disclosed to the Corporation; or (iii) any Voting Commitment that could reasonably be expected to limit or interfere with such nominee’s ability to comply, if elected as a director of the Corporation, with his or her fiduciary duties under applicable law;</w:t>
      </w:r>
    </w:p>
    <w:p>
      <w:pPr>
        <w:pStyle w:val="TextBody"/>
        <w:bidi w:val="0"/>
        <w:spacing w:lineRule="auto" w:line="288" w:before="239" w:after="283"/>
        <w:ind w:left="0" w:right="0" w:firstLine="720"/>
        <w:jc w:val="left"/>
        <w:rPr/>
      </w:pPr>
      <w:r>
        <w:rPr>
          <w:rFonts w:ascii="Times New Roman;serif" w:hAnsi="Times New Roman;serif"/>
          <w:b w:val="false"/>
          <w:color w:val="010000"/>
          <w:sz w:val="24"/>
        </w:rPr>
        <w:t>(d)</w:t>
      </w:r>
      <w:r>
        <w:rPr>
          <w:rFonts w:ascii="Times New Roman;serif" w:hAnsi="Times New Roman;serif"/>
          <w:b w:val="false"/>
          <w:color w:val="000000"/>
          <w:sz w:val="24"/>
        </w:rPr>
        <w:t xml:space="preserve">if elected as a director of the Corporation, (i) will comply with applicable state and federal law (including applicable fiduciary duties under state law), the rules of any stock exchange on which any of the Corporation’s shares are traded, and all of the Corporation’s corporate governance, ethics, conflict of interest, confidentiality and stock ownership and trading policies and guidelines applicable generally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5975"/>
                <wp:effectExtent l="0" t="0" r="0" b="0"/>
                <wp:wrapNone/>
                <wp:docPr id="49" name="Frame4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39" w:after="283"/>
        <w:jc w:val="left"/>
        <w:rPr>
          <w:rFonts w:ascii="Times New Roman;serif" w:hAnsi="Times New Roman;serif"/>
          <w:b w:val="false"/>
          <w:color w:val="000000"/>
          <w:sz w:val="24"/>
        </w:rPr>
      </w:pPr>
      <w:r>
        <w:rPr>
          <w:rFonts w:ascii="Times New Roman;serif" w:hAnsi="Times New Roman;serif"/>
          <w:b w:val="false"/>
          <w:color w:val="000000"/>
          <w:sz w:val="24"/>
        </w:rPr>
        <w:t>Corporation’s directors; and (ii) would be in compliance with any such policies and guidelines that have been publicly disclosed;</w:t>
      </w:r>
    </w:p>
    <w:p>
      <w:pPr>
        <w:pStyle w:val="TextBody"/>
        <w:bidi w:val="0"/>
        <w:spacing w:lineRule="auto" w:line="288" w:before="240" w:after="283"/>
        <w:ind w:left="0" w:right="0" w:firstLine="720"/>
        <w:jc w:val="left"/>
        <w:rPr/>
      </w:pPr>
      <w:r>
        <w:rPr>
          <w:rFonts w:ascii="Times New Roman;serif" w:hAnsi="Times New Roman;serif"/>
          <w:b w:val="false"/>
          <w:color w:val="010000"/>
          <w:sz w:val="24"/>
        </w:rPr>
        <w:t>(e)</w:t>
      </w:r>
      <w:r>
        <w:rPr>
          <w:rFonts w:ascii="Times New Roman;serif" w:hAnsi="Times New Roman;serif"/>
          <w:b w:val="false"/>
          <w:color w:val="000000"/>
          <w:sz w:val="24"/>
        </w:rPr>
        <w:t>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therein, in light of the circumstances under which they were made, not misleading;</w:t>
      </w:r>
    </w:p>
    <w:p>
      <w:pPr>
        <w:pStyle w:val="TextBody"/>
        <w:bidi w:val="0"/>
        <w:spacing w:lineRule="auto" w:line="288" w:before="240" w:after="283"/>
        <w:ind w:left="0" w:right="0" w:firstLine="720"/>
        <w:jc w:val="left"/>
        <w:rPr/>
      </w:pPr>
      <w:r>
        <w:rPr>
          <w:rFonts w:ascii="Times New Roman;serif" w:hAnsi="Times New Roman;serif"/>
          <w:b w:val="false"/>
          <w:color w:val="010000"/>
          <w:sz w:val="24"/>
        </w:rPr>
        <w:t>(f)</w:t>
      </w:r>
      <w:r>
        <w:rPr>
          <w:rFonts w:ascii="Times New Roman;serif" w:hAnsi="Times New Roman;serif"/>
          <w:b w:val="false"/>
          <w:color w:val="000000"/>
          <w:sz w:val="24"/>
        </w:rPr>
        <w:t>will furnish such other information as may reasonably be required by the Corporation to determine the eligibility of such nominee to serve as an independent director of the Corporation, or that could be material to a reasonable stockholder’s understanding of the independence, or lack thereof, of such nominee; and</w:t>
      </w:r>
    </w:p>
    <w:p>
      <w:pPr>
        <w:pStyle w:val="TextBody"/>
        <w:bidi w:val="0"/>
        <w:spacing w:lineRule="auto" w:line="288" w:before="240" w:after="283"/>
        <w:ind w:left="0" w:right="0" w:firstLine="720"/>
        <w:jc w:val="left"/>
        <w:rPr/>
      </w:pPr>
      <w:r>
        <w:rPr>
          <w:rFonts w:ascii="Times New Roman;serif" w:hAnsi="Times New Roman;serif"/>
          <w:b w:val="false"/>
          <w:color w:val="010000"/>
          <w:sz w:val="24"/>
        </w:rPr>
        <w:t>(g)</w:t>
      </w:r>
      <w:r>
        <w:rPr>
          <w:rFonts w:ascii="Times New Roman;serif" w:hAnsi="Times New Roman;serif"/>
          <w:b w:val="false"/>
          <w:color w:val="000000"/>
          <w:sz w:val="24"/>
        </w:rPr>
        <w:t>intends to serve as a director of the Corporation for the full term if elected; and</w:t>
      </w:r>
    </w:p>
    <w:p>
      <w:pPr>
        <w:pStyle w:val="TextBody"/>
        <w:bidi w:val="0"/>
        <w:spacing w:lineRule="auto" w:line="288" w:before="240" w:after="283"/>
        <w:ind w:left="0" w:right="0" w:firstLine="1440"/>
        <w:jc w:val="left"/>
        <w:rPr/>
      </w:pPr>
      <w:r>
        <w:rPr>
          <w:rFonts w:ascii="Times New Roman;serif" w:hAnsi="Times New Roman;serif"/>
          <w:b w:val="false"/>
          <w:color w:val="010000"/>
          <w:sz w:val="24"/>
        </w:rPr>
        <w:t>(15)</w:t>
      </w:r>
      <w:r>
        <w:rPr>
          <w:rFonts w:ascii="Times New Roman;serif" w:hAnsi="Times New Roman;serif"/>
          <w:b w:val="false"/>
          <w:color w:val="000000"/>
          <w:sz w:val="24"/>
        </w:rPr>
        <w:t>such other information regarding such nominee as would be required to be included in a proxy statement filed in accordance with the proxy rules of the Securities and Exchange Commission had the nominee been nominated, or intended to be nominated, by the Board of Directors.</w:t>
      </w:r>
    </w:p>
    <w:p>
      <w:pPr>
        <w:pStyle w:val="TextBody"/>
        <w:bidi w:val="0"/>
        <w:spacing w:lineRule="auto" w:line="288" w:before="241" w:after="283"/>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The Corporation may require any proposed nominee to furnish such other information as may reasonably be required by the Corporation to determine the eligibility of such proposed nominee to serve as an independent director or audit committee financial expert of the Corporation under applicable law, securities exchange rule or regulation, or any publicly disclosed corporate governance guideline or committee charter of the Corporation.</w:t>
      </w:r>
    </w:p>
    <w:p>
      <w:pPr>
        <w:pStyle w:val="TextBody"/>
        <w:bidi w:val="0"/>
        <w:spacing w:lineRule="auto" w:line="288" w:before="238" w:after="283"/>
        <w:ind w:left="0" w:right="0" w:firstLine="2160"/>
        <w:jc w:val="left"/>
        <w:rPr/>
      </w:pPr>
      <w:r>
        <w:rPr>
          <w:rFonts w:ascii="Times New Roman;serif" w:hAnsi="Times New Roman;serif"/>
          <w:b w:val="false"/>
          <w:color w:val="010000"/>
          <w:sz w:val="24"/>
        </w:rPr>
        <w:t>(iii)</w:t>
      </w:r>
      <w:r>
        <w:rPr>
          <w:rFonts w:ascii="Times New Roman;serif" w:hAnsi="Times New Roman;serif"/>
          <w:b w:val="false"/>
          <w:color w:val="000000"/>
          <w:sz w:val="24"/>
        </w:rPr>
        <w:t>A stockholder providing notice of any nomination or other business proposed to be brought before a meeting of stockholders shall further update and supplement such notice and the information previously provided to the Corporation pursuant to this Section 13(a) of Article I and under any questionnaire, representation or agreement, if necessary, so that the information provided or required to be provided shall continue to be true and correct as of (x) the record date for determining the stockholders entitled to receive notice of the meeting and (y) the date that is ten (10) business days prior to such meeting (or any adjournment or postponement thereof). Such update and supplement must be received by the Secretary at the principal executive offices of the Corporation not later than five (5) business days after the record date for such meeting (in the case of clause (x)) and not later than eight (8) business days prior to the date of such meeting (in the case of clause (y)). The obligation of a stockholder or any proposed nominee to provide information or an update pursuant to this Section 13(a) of Article I (including under any questionnaire, representation or agreement, as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15975"/>
                <wp:effectExtent l="0" t="0" r="0" b="0"/>
                <wp:wrapNone/>
                <wp:docPr id="50" name="Frame5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applicable) shall not limit the Corporation’s rights with respect to any deficiencies in any notice or information provided by such person, extend any applicable deadlines under this Section 13(a) of Article I or enable or be deemed to permit such person to amend or update any proposal or nomination or to submit any new proposal or nomination, including by substituting or adding proposals or nominees, as applicable. A stockholder may not, after the last day on which a notice would be timely under this Section 13(a) of Article I, cure in any way any defect preventing the submission of the proposal or nomination.</w:t>
      </w:r>
    </w:p>
    <w:p>
      <w:pPr>
        <w:pStyle w:val="TextBody"/>
        <w:bidi w:val="0"/>
        <w:spacing w:lineRule="auto" w:line="288" w:before="240" w:after="283"/>
        <w:ind w:left="0" w:right="0" w:firstLine="2160"/>
        <w:jc w:val="left"/>
        <w:rPr/>
      </w:pPr>
      <w:r>
        <w:rPr>
          <w:rFonts w:ascii="Times New Roman;serif" w:hAnsi="Times New Roman;serif"/>
          <w:b w:val="false"/>
          <w:color w:val="010000"/>
          <w:sz w:val="24"/>
        </w:rPr>
        <w:t>(iv)</w:t>
      </w:r>
      <w:r>
        <w:rPr>
          <w:rFonts w:ascii="Times New Roman;serif" w:hAnsi="Times New Roman;serif"/>
          <w:b w:val="false"/>
          <w:color w:val="000000"/>
          <w:sz w:val="24"/>
        </w:rPr>
        <w:t>Notwithstanding anything to the contrary in these Bylaws, unless otherwise required by applicable law, if any stockholder (I) provides notice pursuant to Rule 14a-19(b) under the Exchange Act with respect to any proposed nominee and (II) subsequently fails to comply with the requirements of Rule 14a-19(a)(2) or Rule 14a-19(a)(3) under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Exchange Act (or fails to timely provide reasonable evidence sufficient to satisfy the Corporation that such stockholder has met the requirements of Rule 14a-19(a)(3) in accordance with the following sentence), then the nomination of each such proposed nominee shall be disregarded, even if the Corporation has received proxies or votes in respect of such nomination (which proxies and votes shall also be disregarded). Upon request by the Corporation, if any stockholder provides notice pursuant to Rule 14a-19(b) or includes the information required by Rule 14a-19(b) in a preliminary or definitive proxy statement previously filed by such stockholder, then such stockholder shall deliver to the Corporation, no later than five (5) business days prior to the applicable meeting of stockholders, reasonable evidence that it has met the applicable requirements of Rule 14a-19 under the Exchange Act.</w:t>
      </w:r>
    </w:p>
    <w:p>
      <w:pPr>
        <w:pStyle w:val="TextBody"/>
        <w:bidi w:val="0"/>
        <w:spacing w:lineRule="auto" w:line="288" w:before="241" w:after="283"/>
        <w:ind w:left="0" w:right="0" w:firstLine="2160"/>
        <w:jc w:val="left"/>
        <w:rPr/>
      </w:pPr>
      <w:r>
        <w:rPr>
          <w:rFonts w:ascii="Times New Roman;serif" w:hAnsi="Times New Roman;serif"/>
          <w:b w:val="false"/>
          <w:color w:val="010000"/>
          <w:sz w:val="24"/>
        </w:rPr>
        <w:t>(v)</w:t>
      </w:r>
      <w:r>
        <w:rPr>
          <w:rFonts w:ascii="Times New Roman;serif" w:hAnsi="Times New Roman;serif"/>
          <w:b w:val="false"/>
          <w:color w:val="000000"/>
          <w:sz w:val="24"/>
        </w:rPr>
        <w:t>For the avoidance of doubt, notwithstanding any notice of the annual meeting sent to stockholders on behalf of the Corporation, a stockholder must comply with Section 13(a) of Article I to conduct business at any annual meeting. If the stockholder’s proposed business is the same or relates to business brought by the Corporation and included in its annual meeting notice, the stockholder is nevertheless required to comply and give its own separate and timely written notice to the Secretary pursuant to this Section 13(a) of Article I.</w:t>
      </w:r>
    </w:p>
    <w:p>
      <w:pPr>
        <w:pStyle w:val="TextBody"/>
        <w:bidi w:val="0"/>
        <w:spacing w:lineRule="auto" w:line="288" w:before="238" w:after="283"/>
        <w:ind w:left="0" w:right="0" w:firstLine="2160"/>
        <w:jc w:val="both"/>
        <w:rPr/>
      </w:pPr>
      <w:r>
        <w:rPr>
          <w:rFonts w:ascii="Times New Roman;serif" w:hAnsi="Times New Roman;serif"/>
          <w:b w:val="false"/>
          <w:color w:val="010000"/>
          <w:sz w:val="24"/>
        </w:rPr>
        <w:t>(vi)</w:t>
      </w:r>
      <w:r>
        <w:rPr>
          <w:rFonts w:ascii="Times New Roman;serif" w:hAnsi="Times New Roman;serif"/>
          <w:b w:val="false"/>
          <w:color w:val="000000"/>
          <w:sz w:val="24"/>
        </w:rPr>
        <w:t>Nothing contained in this Section 13 of Article I shall be deemed to affect any rights of stockholders to request inclusion of proposals in the Corporation’s proxy statement pursuant to Rule 14a-8 under the Exchange Act.</w:t>
      </w:r>
    </w:p>
    <w:p>
      <w:pPr>
        <w:pStyle w:val="TextBody"/>
        <w:bidi w:val="0"/>
        <w:spacing w:lineRule="auto" w:line="288" w:before="241"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Only such business shall be conducted at a special meeting of stockholders as provided in Section 10 of Article I. Nominations of persons for election to the Board of Directors may be made at a special meeting of stockholders at which directors are to be elected pursuant to the Corporation’s notice of meeting (i) by or at the direction of the Board of Directors or any duly authorized committee thereof or (ii) provided that the Board of Directors or any duly authorized committee thereof has determined that directors shall be elected at such meeting, by any stockholder of the Corporation who is a stockholder of record at the time the notice provided for in this Section 13(b) of Article I is received by the Secretary and at the time of the meeting, who is entitled to vote at the meeting and upon such election and who timely complies with the notice procedures set forth in this Section 13(b) of Article I and all other applicable requirements set forth in these Bylaws, the Certificate of Incorporation and applicable law. In the event the Corporation calls a special meeting of stockholders for the purpose of electing one or more directors to the Board of</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5975"/>
                <wp:effectExtent l="0" t="0" r="0" b="0"/>
                <wp:wrapNone/>
                <wp:docPr id="51" name="Frame5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Directors, any such stockholder may nominate a person or persons (as the case may be) for election to such position(s) as specified in the Corporation’s notice of meeting, if such stockholder provides written notice in the same form as required by clause (a) of this Section 13 of Article I and such notice is received by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above.</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(c)Notwithstanding anything in these Bylaws to the contrary, no business proposed to be brought by a stockholder before an annual meeting shall be conducted and no person nominated by a stockholder shall be eligible to serve as a director of the Corporation unless such proposal or nomination, as applicable, is brought in accordance with the procedures set forth in this Section 13 of Article I. In addition, a nomination or proposal of other business proposed to be brought by a stockholder may not be brought before a meeting if such stockholder or any proposed nominee takes action contrary to the representations made in the stockholder notice applicable to such nomination or business or if the stockholder notice contains an untrue statement of a material fact or omits to state a material fact necessary to make the statements therein not misleading. The chair of the applicable meeting shall determine and declare at the meeting whether a stockholder nomination or proposal was made in accordance with the terms of this Section 13 of Article I. If the chair of the meeting determines that a stockholder nomination or proposal was not made in accordance with the terms of this Section 13 of Article I, he or she shall declare at the meeting that such nomination or proposal is defective and any such defective nomination or proposal shall be disregarded, notwithstanding that proxies in respect of such vote may have been received by the Corporation (which proxies shall also be disregarded). Notwithstanding the foregoing provisions, a stockholder shall also comply with all applicable requirements of the Exchange Act and other applicable law with respect to the matters set forth in this Section 13 of Article I; for the avoidance of doubt, this Section 13 of Article I is intended as an additional requirement.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(d)Notwithstanding the foregoing provisions of this Section 13 of Article I, unless otherwise required by law, if the stockholder (or a qualified representative of the stockholder) does not appear at the annual or special meeting of stockholders of the Corporation to present a nomination or proposed business set forth in such stockholder’s notice given pursuant to this Section 13 of Article I, such proposed nomination or business shall be disregarded, notwithstanding that proxies in respect of such vote may have been received by the Corporation (which proxies shall also be disregarded).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(e)For purposes of this Section 13, “public announcement” shall include disclosure in a press release reported by a national news service or in a document publicly filed by the Corporation with the Securities and Exchange Commission pursuant to Section 13, 14, or 15(d) of the Exchange Act.</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15975"/>
                <wp:effectExtent l="0" t="0" r="0" b="0"/>
                <wp:wrapNone/>
                <wp:docPr id="52" name="Frame5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hanging="719"/>
        <w:jc w:val="left"/>
        <w:rPr/>
      </w:pPr>
      <w:r>
        <w:rPr>
          <w:rFonts w:ascii="Times New Roman;serif" w:hAnsi="Times New Roman;serif"/>
          <w:b w:val="false"/>
          <w:color w:val="000000"/>
          <w:sz w:val="24"/>
        </w:rPr>
        <w:t>14.</w:t>
      </w:r>
      <w:r>
        <w:rPr>
          <w:rFonts w:ascii="Times New Roman;serif" w:hAnsi="Times New Roman;serif"/>
          <w:b/>
          <w:i/>
          <w:color w:val="000000"/>
          <w:sz w:val="24"/>
        </w:rPr>
        <w:t>Conduct of the Meeting</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w:t>
      </w:r>
      <w:r>
        <w:rPr>
          <w:rFonts w:ascii="Times New Roman;serif" w:hAnsi="Times New Roman;serif"/>
          <w:b w:val="false"/>
          <w:i/>
          <w:color w:val="000000"/>
          <w:sz w:val="24"/>
          <w:u w:val="single"/>
        </w:rPr>
        <w:t>Order of Business</w:t>
      </w:r>
      <w:r>
        <w:rPr>
          <w:rFonts w:ascii="Times New Roman;serif" w:hAnsi="Times New Roman;serif"/>
          <w:b w:val="false"/>
          <w:color w:val="000000"/>
          <w:sz w:val="24"/>
        </w:rPr>
        <w:t>. The chair of the meeting shall have the right to determine the order of business at the meeting.</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(b)</w:t>
      </w:r>
      <w:r>
        <w:rPr>
          <w:rFonts w:ascii="Times New Roman;serif" w:hAnsi="Times New Roman;serif"/>
          <w:b w:val="false"/>
          <w:i/>
          <w:color w:val="000000"/>
          <w:sz w:val="24"/>
          <w:u w:val="single"/>
        </w:rPr>
        <w:t>Meeting Protocol</w:t>
      </w:r>
      <w:r>
        <w:rPr>
          <w:rFonts w:ascii="Times New Roman;serif" w:hAnsi="Times New Roman;serif"/>
          <w:b w:val="false"/>
          <w:color w:val="000000"/>
          <w:sz w:val="24"/>
        </w:rPr>
        <w:t>. To the maximum extent permitted by applicable law, the Board of Directors shall be entitled to make such rules or regulations for the conduct of meetings of stockholders as it shall deem necessary, appropriate, or convenient. Subject to such rules and regulations of the Board of Directors, if any, the chair of the meeting shall have the right and authority to prescribe such rules, regulations and procedures and take such action as, in the discretion of such chair, are deemed necessary, appropriate, or convenient for the proper conduct of the meeting. Such rules, regulations and procedures, whether adopted by the Board of Directors or prescribed by the chair of the meeting, may include, without limitation, the following: (i) establishing an agenda for the meeting and the order for the consideration of the items of business on such agenda; (ii) restricting admission to the time set for the commencement of the meeting; (iii) limiting attendance at the meeting to stockholders of record of the Corporation entitled to vote at the meeting, their duly authorized proxies or other such persons as the chair of the meeting may determine; (iv) limiting participation at the meeting on any matter to stockholders of record of the Corporation entitled to vote on such matter, their duly authorized proxies or other such persons as the chair of the meeting may determine to recognize and, as a condition to recognizing any such participant, requiring such participant to provide the chair of the meeting with evidence of his or her name and affiliation, whether he or she is a stockholder or a proxy for a stockholder, and the class and series and number of shares of each class and series of capital stock of the Corporation which are owned beneficially and/or of record by such stockholder; (v) limiting the time allotted to questions or comments by participants;</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(vi) taking such actions as are necessary or appropriate to maintain order, decorum, safety and security at the meeting; (vii) removing any stockholder who refuses to comply with meeting procedures, rules or guidelines as established by the Board of Directors or the chair of the meeting; and (viii) complying with any state and local laws and regulations concerning safety and security.</w:t>
      </w:r>
    </w:p>
    <w:p>
      <w:pPr>
        <w:pStyle w:val="TextBody"/>
        <w:bidi w:val="0"/>
        <w:spacing w:lineRule="auto" w:line="288" w:before="238" w:after="283"/>
        <w:ind w:left="0" w:right="0" w:hanging="719"/>
        <w:jc w:val="left"/>
        <w:rPr/>
      </w:pPr>
      <w:r>
        <w:rPr>
          <w:rFonts w:ascii="Times New Roman;serif" w:hAnsi="Times New Roman;serif"/>
          <w:b w:val="false"/>
          <w:color w:val="000000"/>
          <w:sz w:val="24"/>
        </w:rPr>
        <w:t>15.</w:t>
      </w:r>
      <w:r>
        <w:rPr>
          <w:rFonts w:ascii="Times New Roman;serif" w:hAnsi="Times New Roman;serif"/>
          <w:b/>
          <w:i/>
          <w:color w:val="000000"/>
          <w:sz w:val="24"/>
        </w:rPr>
        <w:t>Action without a Meeting</w:t>
      </w:r>
      <w:r>
        <w:rPr>
          <w:rFonts w:ascii="Times New Roman;serif" w:hAnsi="Times New Roman;serif"/>
          <w:b w:val="false"/>
          <w:color w:val="000000"/>
          <w:sz w:val="24"/>
        </w:rPr>
        <w:t>.</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(a)Any action which may be taken at any annual or special meeting of stockholders may be taken without a meeting and without prior notice, if a consent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voted; provided that directors may not be elected by written consent of the stockholders except by unanimous written consent of all shares entitled to vote for the election of directors.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(b)Every written consent shall bear the date of signature of each stockholder who signs the consent and no written consent shall be effective to take the corporate action referred to therein unless, within sixty (60) days of the date the earliest dated consent is delivered to the Corporation, a written consent or consents signed by a sufficient number of holders to take action are delivered to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15975"/>
                <wp:effectExtent l="0" t="0" r="0" b="0"/>
                <wp:wrapNone/>
                <wp:docPr id="53" name="Frame5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DGCL.</w:t>
      </w:r>
    </w:p>
    <w:p>
      <w:pPr>
        <w:pStyle w:val="TextBody"/>
        <w:bidi w:val="0"/>
        <w:spacing w:lineRule="auto" w:line="556" w:before="240" w:after="283"/>
        <w:jc w:val="center"/>
        <w:rPr>
          <w:rFonts w:ascii="Times New Roman;serif" w:hAnsi="Times New Roman;serif"/>
          <w:b/>
          <w:color w:val="000000"/>
          <w:sz w:val="24"/>
        </w:rPr>
      </w:pPr>
      <w:r>
        <w:rPr>
          <w:rFonts w:ascii="Times New Roman;serif" w:hAnsi="Times New Roman;serif"/>
          <w:b/>
          <w:color w:val="000000"/>
          <w:sz w:val="24"/>
        </w:rPr>
        <w:t>ARTICLE II DIRECTORS.</w:t>
      </w:r>
    </w:p>
    <w:p>
      <w:pPr>
        <w:pStyle w:val="TextBody"/>
        <w:bidi w:val="0"/>
        <w:spacing w:lineRule="atLeast" w:line="240" w:before="0" w:after="0"/>
        <w:ind w:left="0" w:right="0" w:hanging="719"/>
        <w:jc w:val="left"/>
        <w:rPr/>
      </w:pPr>
      <w:r>
        <w:rPr>
          <w:rFonts w:ascii="Times New Roman;serif" w:hAnsi="Times New Roman;serif"/>
          <w:b w:val="false"/>
          <w:color w:val="000000"/>
          <w:sz w:val="24"/>
        </w:rPr>
        <w:t>1.</w:t>
      </w:r>
      <w:r>
        <w:rPr>
          <w:rFonts w:ascii="Times New Roman;serif" w:hAnsi="Times New Roman;serif"/>
          <w:b/>
          <w:i/>
          <w:color w:val="000000"/>
          <w:sz w:val="24"/>
        </w:rPr>
        <w:t>Number; Election; Term</w:t>
      </w:r>
      <w:r>
        <w:rPr>
          <w:rFonts w:ascii="Times New Roman;serif" w:hAnsi="Times New Roman;serif"/>
          <w:b w:val="false"/>
          <w:color w:val="000000"/>
          <w:sz w:val="24"/>
        </w:rPr>
        <w:t>. The number of directors which shall constitute the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whole Board of Directors shall be fixed from time to time exclusively pursuant to a resolution adopted by a majority of the Board of Directors. At the annual meeting or a special meeting at which directors are to be elected in accordance with the Corporation’s notice of meeting, directors shall be elected in accordance with the requirements of these Bylaws and the Certificate of Incorporation.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2.</w:t>
      </w:r>
      <w:r>
        <w:rPr>
          <w:rFonts w:ascii="Times New Roman;serif" w:hAnsi="Times New Roman;serif"/>
          <w:b/>
          <w:i/>
          <w:color w:val="000000"/>
          <w:sz w:val="24"/>
        </w:rPr>
        <w:t>Place of Meetings; Records</w:t>
      </w:r>
      <w:r>
        <w:rPr>
          <w:rFonts w:ascii="Times New Roman;serif" w:hAnsi="Times New Roman;serif"/>
          <w:b w:val="false"/>
          <w:color w:val="000000"/>
          <w:sz w:val="24"/>
        </w:rPr>
        <w:t>. The directors may hold their meetings and keep the books of the Corporation within or outside of the State of Delaware (including on any electronic database) as they may from time to time determine in accordance with applicable law. Members of the Board of Directors, or any committee designated by the Board of Directors, may participate in a meeting of the Board of Directors, or any committee, by means of conference telephone or remote communication by means of which all persons participating in the meeting can hear each other, and such participation in a meeting shall constitute presence in person at the meeting.</w:t>
      </w:r>
    </w:p>
    <w:p>
      <w:pPr>
        <w:pStyle w:val="TextBody"/>
        <w:bidi w:val="0"/>
        <w:spacing w:lineRule="auto" w:line="288" w:before="239" w:after="283"/>
        <w:ind w:left="0" w:right="0" w:firstLine="720"/>
        <w:jc w:val="left"/>
        <w:rPr/>
      </w:pPr>
      <w:r>
        <w:rPr>
          <w:rFonts w:ascii="Times New Roman;serif" w:hAnsi="Times New Roman;serif"/>
          <w:b w:val="false"/>
          <w:color w:val="000000"/>
          <w:sz w:val="24"/>
        </w:rPr>
        <w:t>3.</w:t>
      </w:r>
      <w:r>
        <w:rPr>
          <w:rFonts w:ascii="Times New Roman;serif" w:hAnsi="Times New Roman;serif"/>
          <w:b/>
          <w:i/>
          <w:color w:val="000000"/>
          <w:sz w:val="24"/>
        </w:rPr>
        <w:t>Vacancies</w:t>
      </w:r>
      <w:r>
        <w:rPr>
          <w:rFonts w:ascii="Times New Roman;serif" w:hAnsi="Times New Roman;serif"/>
          <w:b w:val="false"/>
          <w:color w:val="000000"/>
          <w:sz w:val="24"/>
        </w:rPr>
        <w:t>. If the office of any director becomes vacant for any reason or any new directorship is created by any increase in the authorized number of directors, such vacancy shall be filled in the manner set forth in the Certificate of Incorporation. Any director so chosen shall hold office until the next annual election and until his or her successor shall be elected and qualified.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4.</w:t>
      </w:r>
      <w:r>
        <w:rPr>
          <w:rFonts w:ascii="Times New Roman;serif" w:hAnsi="Times New Roman;serif"/>
          <w:b/>
          <w:i/>
          <w:color w:val="000000"/>
          <w:sz w:val="24"/>
        </w:rPr>
        <w:t>Removal</w:t>
      </w:r>
      <w:r>
        <w:rPr>
          <w:rFonts w:ascii="Times New Roman;serif" w:hAnsi="Times New Roman;serif"/>
          <w:b w:val="false"/>
          <w:color w:val="000000"/>
          <w:sz w:val="24"/>
        </w:rPr>
        <w:t>. Any and all of the directors may be removed from office at any time, with or without cause, if such removal is approved by the affirmative vote of the holders of at least a majority of the voting power of the issued and outstanding shares of capital stock of the Corporation then entitled to vote in the election of directors.</w:t>
      </w:r>
    </w:p>
    <w:p>
      <w:pPr>
        <w:pStyle w:val="TextBody"/>
        <w:bidi w:val="0"/>
        <w:spacing w:lineRule="auto" w:line="288" w:before="241" w:after="283"/>
        <w:ind w:left="0" w:right="0" w:firstLine="720"/>
        <w:jc w:val="left"/>
        <w:rPr/>
      </w:pPr>
      <w:r>
        <w:rPr>
          <w:rFonts w:ascii="Times New Roman;serif" w:hAnsi="Times New Roman;serif"/>
          <w:b w:val="false"/>
          <w:color w:val="000000"/>
          <w:sz w:val="24"/>
        </w:rPr>
        <w:t>5.</w:t>
      </w:r>
      <w:r>
        <w:rPr>
          <w:rFonts w:ascii="Times New Roman;serif" w:hAnsi="Times New Roman;serif"/>
          <w:b/>
          <w:i/>
          <w:color w:val="000000"/>
          <w:sz w:val="24"/>
        </w:rPr>
        <w:t>Resignation</w:t>
      </w:r>
      <w:r>
        <w:rPr>
          <w:rFonts w:ascii="Times New Roman;serif" w:hAnsi="Times New Roman;serif"/>
          <w:b w:val="false"/>
          <w:color w:val="000000"/>
          <w:sz w:val="24"/>
        </w:rPr>
        <w:t>. Any director may resign at any time upon written notice to the Corporation. Such resignation shall take effect at the time the notice is delivered or at such later time or upon the happening of an event or events as is specified in such notice and, unless otherwise specified therein, no acceptance of such resignation shall be necessary to make it effective.</w:t>
      </w:r>
    </w:p>
    <w:p>
      <w:pPr>
        <w:pStyle w:val="TextBody"/>
        <w:bidi w:val="0"/>
        <w:spacing w:before="240" w:after="283"/>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15975"/>
                <wp:effectExtent l="0" t="0" r="0" b="0"/>
                <wp:wrapNone/>
                <wp:docPr id="54" name="Frame5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720"/>
        <w:jc w:val="left"/>
        <w:rPr/>
      </w:pPr>
      <w:r>
        <w:rPr>
          <w:rFonts w:ascii="Times New Roman;serif" w:hAnsi="Times New Roman;serif"/>
          <w:b w:val="false"/>
          <w:color w:val="000000"/>
          <w:sz w:val="24"/>
        </w:rPr>
        <w:t>6.</w:t>
      </w:r>
      <w:r>
        <w:rPr>
          <w:rFonts w:ascii="Times New Roman;serif" w:hAnsi="Times New Roman;serif"/>
          <w:b/>
          <w:i/>
          <w:color w:val="000000"/>
          <w:sz w:val="24"/>
        </w:rPr>
        <w:t>Regular Meetings</w:t>
      </w:r>
      <w:r>
        <w:rPr>
          <w:rFonts w:ascii="Times New Roman;serif" w:hAnsi="Times New Roman;serif"/>
          <w:b w:val="false"/>
          <w:color w:val="000000"/>
          <w:sz w:val="24"/>
        </w:rPr>
        <w:t>. Regular meetings of the Board of Directors may be held without notice at such time and place, if any, within or outside of the State of Delaware, or by such means of remote communication, as shall from time to time be determined by the Board of Directors.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7.</w:t>
      </w:r>
      <w:r>
        <w:rPr>
          <w:rFonts w:ascii="Times New Roman;serif" w:hAnsi="Times New Roman;serif"/>
          <w:b/>
          <w:i/>
          <w:color w:val="000000"/>
          <w:sz w:val="24"/>
        </w:rPr>
        <w:t>Special Meetings</w:t>
      </w:r>
      <w:r>
        <w:rPr>
          <w:rFonts w:ascii="Times New Roman;serif" w:hAnsi="Times New Roman;serif"/>
          <w:b w:val="false"/>
          <w:color w:val="000000"/>
          <w:sz w:val="24"/>
        </w:rPr>
        <w:t>. Special meetings of the Board of Directors may be called by the Chair of the Board, a Vice Chair of the Board, the President or, on the written request of any two (2) directors, by the Secretary, by the mailing of notice pursuant to Section 8 of Article II.</w:t>
      </w:r>
    </w:p>
    <w:p>
      <w:pPr>
        <w:pStyle w:val="TextBody"/>
        <w:bidi w:val="0"/>
        <w:spacing w:lineRule="auto" w:line="288" w:before="240" w:after="283"/>
        <w:ind w:left="0" w:right="0" w:firstLine="720"/>
        <w:jc w:val="left"/>
        <w:rPr/>
      </w:pPr>
      <w:r>
        <w:rPr>
          <w:rFonts w:ascii="Times New Roman;serif" w:hAnsi="Times New Roman;serif"/>
          <w:b w:val="false"/>
          <w:color w:val="000000"/>
          <w:sz w:val="24"/>
        </w:rPr>
        <w:t>8.</w:t>
      </w:r>
      <w:r>
        <w:rPr>
          <w:rFonts w:ascii="Times New Roman;serif" w:hAnsi="Times New Roman;serif"/>
          <w:b/>
          <w:i/>
          <w:color w:val="000000"/>
          <w:sz w:val="24"/>
        </w:rPr>
        <w:t>Notice of Meetings</w:t>
      </w:r>
      <w:r>
        <w:rPr>
          <w:rFonts w:ascii="Times New Roman;serif" w:hAnsi="Times New Roman;serif"/>
          <w:b w:val="false"/>
          <w:color w:val="000000"/>
          <w:sz w:val="24"/>
        </w:rPr>
        <w:t>. Except in the case of regular meetings, notice of which has been dispensed with, notice of meetings of the Board of Directors shall be provided at least two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 days in advance if provided by mail or twenty-four (24) hours in advance if delivered personally or by telephone, electronic transmission or other electronic or wireless means, including by a voice or text messaging system. If the address of a director is not shown on the records and is not readily ascertainable, notice shall be addressed to him or her at the city or place in which the meetings of the directors are regularly held. Notice of the time and place or means of remote communication of holding an adjourned meeting need not be given to absent directors if the time and place or means of remote communication are announced at the meeting adjourned.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9.</w:t>
      </w:r>
      <w:r>
        <w:rPr>
          <w:rFonts w:ascii="Times New Roman;serif" w:hAnsi="Times New Roman;serif"/>
          <w:b/>
          <w:i/>
          <w:color w:val="000000"/>
          <w:sz w:val="24"/>
        </w:rPr>
        <w:t>Quorum</w:t>
      </w:r>
      <w:r>
        <w:rPr>
          <w:rFonts w:ascii="Times New Roman;serif" w:hAnsi="Times New Roman;serif"/>
          <w:b w:val="false"/>
          <w:color w:val="000000"/>
          <w:sz w:val="24"/>
        </w:rPr>
        <w:t>. At all meetings of the Board of Directors the presence of a majority of the total number of directors determined by resolution pursuant to Section 1 of Article II to constitute the Board of Directors shall be necessary and sufficient to constitute a quorum for the transaction of business, and the act of a majority of the directors present at any meeting at which there is a quorum shall be the act of the Board of Directors, except as may be otherwise specifically provided by law, by the Certificate of Incorporation or by these Bylaws.</w:t>
      </w:r>
    </w:p>
    <w:p>
      <w:pPr>
        <w:pStyle w:val="TextBody"/>
        <w:bidi w:val="0"/>
        <w:spacing w:lineRule="auto" w:line="288" w:before="241" w:after="283"/>
        <w:ind w:left="0" w:right="0" w:firstLine="720"/>
        <w:jc w:val="left"/>
        <w:rPr/>
      </w:pPr>
      <w:r>
        <w:rPr>
          <w:rFonts w:ascii="Times New Roman;serif" w:hAnsi="Times New Roman;serif"/>
          <w:b w:val="false"/>
          <w:color w:val="000000"/>
          <w:sz w:val="24"/>
        </w:rPr>
        <w:t>10.</w:t>
      </w:r>
      <w:r>
        <w:rPr>
          <w:rFonts w:ascii="Times New Roman;serif" w:hAnsi="Times New Roman;serif"/>
          <w:b/>
          <w:i/>
          <w:color w:val="000000"/>
          <w:sz w:val="24"/>
        </w:rPr>
        <w:t>Board Committees</w:t>
      </w:r>
      <w:r>
        <w:rPr>
          <w:rFonts w:ascii="Times New Roman;serif" w:hAnsi="Times New Roman;serif"/>
          <w:b w:val="false"/>
          <w:color w:val="000000"/>
          <w:sz w:val="24"/>
        </w:rPr>
        <w:t>. The Board of Directors may, by resolution passed by a majority of the Board of Directors, designate one or more committees, each committee to consist of one or more of the directors of the Corporation. The Board of Directors may designate one or more directors as alternate members of any such additional committee, who may replace any absent or disqualified member at any meeting of the committee. Any such committee shall have such powers as are granted to it by the resolution of the Board of Directors or by subsequent resolutions passed by a majority of the Board of Directors. Unless otherwise provided for in any resolution of the Board of Directors designating a committee pursuant to this Section 10 of Article II: (i) a quorum for the transaction of business of such committee shall be fifty percent (50%) or more of the authorized number of members of such committee; and (ii) the act of a majority of the members of such committee present at any meeting of such committee at which there is a quorum shall be the act of the committee (except as otherwise specifically provided by law, the Certificate of Incorporation or by these Bylaws).</w:t>
      </w:r>
    </w:p>
    <w:p>
      <w:pPr>
        <w:pStyle w:val="TextBody"/>
        <w:bidi w:val="0"/>
        <w:spacing w:lineRule="auto" w:line="288" w:before="239" w:after="283"/>
        <w:ind w:left="0" w:right="0" w:firstLine="720"/>
        <w:jc w:val="left"/>
        <w:rPr/>
      </w:pPr>
      <w:r>
        <w:rPr>
          <w:rFonts w:ascii="Times New Roman;serif" w:hAnsi="Times New Roman;serif"/>
          <w:b w:val="false"/>
          <w:color w:val="000000"/>
          <w:sz w:val="24"/>
        </w:rPr>
        <w:t>11.</w:t>
      </w:r>
      <w:r>
        <w:rPr>
          <w:rFonts w:ascii="Times New Roman;serif" w:hAnsi="Times New Roman;serif"/>
          <w:b/>
          <w:i/>
          <w:color w:val="000000"/>
          <w:sz w:val="24"/>
        </w:rPr>
        <w:t>Action Without Meetings</w:t>
      </w:r>
      <w:r>
        <w:rPr>
          <w:rFonts w:ascii="Times New Roman;serif" w:hAnsi="Times New Roman;serif"/>
          <w:b w:val="false"/>
          <w:color w:val="000000"/>
          <w:sz w:val="24"/>
        </w:rPr>
        <w:t>. Any action required or permitted to be taken at any meeting of the Board of Directors or any committee designated by such Board of Directors may be taken without a meeting, if all members of the Board of Directors or committee consent thereto in writing or by electronic transmission and the writing or writings or electronic transmission or transmissions are filed with the minutes of the proceedings of the Board of Directors or committee.</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15975"/>
                <wp:effectExtent l="0" t="0" r="0" b="0"/>
                <wp:wrapNone/>
                <wp:docPr id="55" name="Frame5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720"/>
        <w:jc w:val="left"/>
        <w:rPr/>
      </w:pPr>
      <w:r>
        <w:rPr>
          <w:rFonts w:ascii="Times New Roman;serif" w:hAnsi="Times New Roman;serif"/>
          <w:b w:val="false"/>
          <w:color w:val="000000"/>
          <w:sz w:val="24"/>
        </w:rPr>
        <w:t>12.</w:t>
      </w:r>
      <w:r>
        <w:rPr>
          <w:rFonts w:ascii="Times New Roman;serif" w:hAnsi="Times New Roman;serif"/>
          <w:b/>
          <w:i/>
          <w:color w:val="000000"/>
          <w:sz w:val="24"/>
        </w:rPr>
        <w:t>Fees and Compensation of Director</w:t>
      </w:r>
      <w:r>
        <w:rPr>
          <w:rFonts w:ascii="Times New Roman;serif" w:hAnsi="Times New Roman;serif"/>
          <w:b w:val="false"/>
          <w:color w:val="000000"/>
          <w:sz w:val="24"/>
        </w:rPr>
        <w:t>. Each director, in consideration of his or her serving as such, shall be entitled to receive from the Corporation such amount per annum or such fees for attendance at meetings of the Board or of any committee, or both, as the Board of Directors shall from time to time determine. The Board may likewise provide that the Corporation shall reimburse each director or member of a committee for any expenses incurred by him or her on account of his or her attendance at any such meeting. Unless otherwise determined by the Board of Directors, directors who are employees of the Corporation shall not receive any compensation for service on the Board of Directors, but shall be reimbursed for expenses of attendance at meetings. Nothing contained in this Section shall be construed to preclude any director from serving the Corporation in any other capacity and receiving compensation therefor.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i/>
          <w:color w:val="000000"/>
          <w:sz w:val="24"/>
        </w:rPr>
        <w:t>Emergency Bylaws</w:t>
      </w:r>
      <w:r>
        <w:rPr>
          <w:rFonts w:ascii="Times New Roman;serif" w:hAnsi="Times New Roman;serif"/>
          <w:b w:val="false"/>
          <w:color w:val="000000"/>
          <w:sz w:val="24"/>
        </w:rPr>
        <w:t>. To the fullest extent permitted by law, in the event of any emergency, disaster or catastrophe, as referred to in Section 110 of the DGCL, or other similar emergency condition, the Board of Directors may adopt emergency bylaws.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14.</w:t>
      </w:r>
      <w:r>
        <w:rPr>
          <w:rFonts w:ascii="Times New Roman;serif" w:hAnsi="Times New Roman;serif"/>
          <w:b/>
          <w:i/>
          <w:color w:val="000000"/>
          <w:sz w:val="24"/>
        </w:rPr>
        <w:t>Chair of the Board and Lead Independent Director</w:t>
      </w:r>
      <w:r>
        <w:rPr>
          <w:rFonts w:ascii="Times New Roman;serif" w:hAnsi="Times New Roman;serif"/>
          <w:b w:val="false"/>
          <w:color w:val="000000"/>
          <w:sz w:val="24"/>
        </w:rPr>
        <w:t>. The Corporation may have, at the discretion of the Board, a Chair of the Board and/or one or more Lead Independent Directors. If there be one, the Chair of the Board of Directors shall preside at meetings of the stockholders and of the Board of Directors, and shall do and perform such other things as may from time to time be assigned to him or her by the Board of Directors. He or she shall have the power and authority to affix the signature of the Corporation to all deeds, conveyances, mortgages, leases, obligations, bonds, contracts, certificates and other papers and instruments in writing which have been authorized or directed by the Board of Directors or which, in his or her judgment, should be executed on behalf of the Corporation. The Chair of the Board and any Lead Independent Director shall perform such duties, and exercise such powers, as from time to time shall be prescribed by these Bylaws or by the Board of Directors.</w:t>
      </w:r>
    </w:p>
    <w:p>
      <w:pPr>
        <w:pStyle w:val="TextBody"/>
        <w:bidi w:val="0"/>
        <w:spacing w:lineRule="auto" w:line="556" w:before="275" w:after="283"/>
        <w:jc w:val="center"/>
        <w:rPr>
          <w:rFonts w:ascii="Times New Roman;serif" w:hAnsi="Times New Roman;serif"/>
          <w:b/>
          <w:color w:val="000000"/>
          <w:sz w:val="24"/>
        </w:rPr>
      </w:pPr>
      <w:r>
        <w:rPr>
          <w:rFonts w:ascii="Times New Roman;serif" w:hAnsi="Times New Roman;serif"/>
          <w:b/>
          <w:color w:val="000000"/>
          <w:sz w:val="24"/>
        </w:rPr>
        <w:t>ARTICLE III OFFICERS.</w:t>
      </w:r>
    </w:p>
    <w:p>
      <w:pPr>
        <w:pStyle w:val="TextBody"/>
        <w:bidi w:val="0"/>
        <w:spacing w:lineRule="atLeast" w:line="240" w:before="0" w:after="0"/>
        <w:ind w:left="0" w:right="0" w:hanging="720"/>
        <w:jc w:val="left"/>
        <w:rPr/>
      </w:pPr>
      <w:r>
        <w:rPr>
          <w:rFonts w:ascii="Times New Roman;serif" w:hAnsi="Times New Roman;serif"/>
          <w:b w:val="false"/>
          <w:color w:val="000000"/>
          <w:sz w:val="24"/>
        </w:rPr>
        <w:t>1.</w:t>
      </w:r>
      <w:r>
        <w:rPr>
          <w:rFonts w:ascii="Times New Roman;serif" w:hAnsi="Times New Roman;serif"/>
          <w:b/>
          <w:i/>
          <w:color w:val="000000"/>
          <w:sz w:val="24"/>
        </w:rPr>
        <w:t>Election; Term of Office; Appointments</w:t>
      </w:r>
      <w:r>
        <w:rPr>
          <w:rFonts w:ascii="Times New Roman;serif" w:hAnsi="Times New Roman;serif"/>
          <w:b w:val="false"/>
          <w:color w:val="000000"/>
          <w:sz w:val="24"/>
        </w:rPr>
        <w:t>. The Board of Directors shall elect at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least the following officers: a President, one or more Vice Presidents, a Controller, a Treasurer, and a Secretary. The Board of Directors may also elect, appoint, or provide for the appointment of such other officers and agents as may from time to time appear necessary or advisable in the conduct of the affairs of the Corporation. Such additional officers may include one or more Vice Chairs, who shall not be directors unless otherwise prescribed by the Board of Directors, and whose duties shall be to assist the Chief Executive Officer of the Corporation in establishing and implementing overall corporate policy. The Corporate Secretary or any officer elected by the Board of Directors acting in conjunction with the Corporate Secretary may appoint such assistant officers (including one or more Assistant Secretaries and Assistant Treasurers) as may be necessary or desirable for the conduct of the business of the Corporation. Officers of the Corporation shall hold office until their successors are elected and qualified or until their earlier death, resignation, or removal, and shall perform such duties as from time to time shall be prescribed by these Bylaws and by the Board of Directors and, to the extent not so provided, as generally pertain to their respective offices. The Board of Directors may fill any vacancy</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15975"/>
                <wp:effectExtent l="0" t="0" r="0" b="0"/>
                <wp:wrapNone/>
                <wp:docPr id="56" name="Frame5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occurring in any office of the Corporation at any regular or special meeting. Two (2) or more offices may be held by the same person.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2.</w:t>
      </w:r>
      <w:r>
        <w:rPr>
          <w:rFonts w:ascii="Times New Roman;serif" w:hAnsi="Times New Roman;serif"/>
          <w:b/>
          <w:i/>
          <w:color w:val="000000"/>
          <w:sz w:val="24"/>
        </w:rPr>
        <w:t>Removal and Resignation</w:t>
      </w:r>
      <w:r>
        <w:rPr>
          <w:rFonts w:ascii="Times New Roman;serif" w:hAnsi="Times New Roman;serif"/>
          <w:b w:val="false"/>
          <w:color w:val="000000"/>
          <w:sz w:val="24"/>
        </w:rPr>
        <w:t>. Any officer elected or appointed by the Board of Directors may be removed at any time, with or without cause, by the affirmative vote of a majority of the Board of Directors. If the office of any officer elected or appointed by the Board of Directors becomes vacant for any reason, the vacancy may be filled only by the Board of Directors. Any officer may resign at any time upon written notice to the Corporation. Such resignation shall take effect at the time the notice is delivered or at such later time or upon the happening of an event or events as is specified in such notice, and unless otherwise specified therein, no acceptance of such resignation shall be necessary to make it effective.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3.</w:t>
      </w:r>
      <w:r>
        <w:rPr>
          <w:rFonts w:ascii="Times New Roman;serif" w:hAnsi="Times New Roman;serif"/>
          <w:b/>
          <w:i/>
          <w:color w:val="000000"/>
          <w:sz w:val="24"/>
        </w:rPr>
        <w:t>President</w:t>
      </w:r>
      <w:r>
        <w:rPr>
          <w:rFonts w:ascii="Times New Roman;serif" w:hAnsi="Times New Roman;serif"/>
          <w:b w:val="false"/>
          <w:color w:val="000000"/>
          <w:sz w:val="24"/>
        </w:rPr>
        <w:t>. The President, in the absence of the Chair of the Board or the Vice Chair or the Lead Independent Director, if any, shall preside at meetings of the Directors. He or she shall have such authority and perform such duties in the management of the Corporation as from time to time shall be prescribed by the Board of Directors and, to the extent not so prescribed, he or she shall have such authority and perform such duties in the management of the Corporation, subject to the control of the Board of Directors, as generally pertain to the office of President.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4.</w:t>
      </w:r>
      <w:r>
        <w:rPr>
          <w:rFonts w:ascii="Times New Roman;serif" w:hAnsi="Times New Roman;serif"/>
          <w:b/>
          <w:i/>
          <w:color w:val="000000"/>
          <w:sz w:val="24"/>
        </w:rPr>
        <w:t>Vice Presidents</w:t>
      </w:r>
      <w:r>
        <w:rPr>
          <w:rFonts w:ascii="Times New Roman;serif" w:hAnsi="Times New Roman;serif"/>
          <w:b w:val="false"/>
          <w:color w:val="000000"/>
          <w:sz w:val="24"/>
        </w:rPr>
        <w:t>. Vice Presidents shall perform such duties as from time to time shall be prescribed by these Bylaws, by the Chair of the Board, by the President or by the Board of Directors, and except as otherwise prescribed by the Board of Directors, they shall have such powers and duties as generally pertain to the office of Vice President.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5.</w:t>
      </w:r>
      <w:r>
        <w:rPr>
          <w:rFonts w:ascii="Times New Roman;serif" w:hAnsi="Times New Roman;serif"/>
          <w:b/>
          <w:i/>
          <w:color w:val="000000"/>
          <w:sz w:val="24"/>
        </w:rPr>
        <w:t>Secretary</w:t>
      </w:r>
      <w:r>
        <w:rPr>
          <w:rFonts w:ascii="Times New Roman;serif" w:hAnsi="Times New Roman;serif"/>
          <w:b w:val="false"/>
          <w:color w:val="000000"/>
          <w:sz w:val="24"/>
        </w:rPr>
        <w:t>. The Secretary or person appointed as secretary at all meetings of the Board of Directors and of the stockholders shall record all votes and the minutes of all proceedings in a book to be kept for that purpose, and he or she shall perform like duties for the Board of Directors when required. He or she shall give, or cause to be given, notice of all meetings of the stockholders, and of the Board of Directors if required. He or she shall perform such other duties as may be prescribed by these Bylaws or as may be assigned to him or her by the Chair of the Board, the President or the Board of Directors, and, except as otherwise prescribed by the Board of Directors, he or she shall have such powers and duties as generally pertain to the office of Secretary.</w:t>
      </w:r>
    </w:p>
    <w:p>
      <w:pPr>
        <w:pStyle w:val="TextBody"/>
        <w:bidi w:val="0"/>
        <w:spacing w:lineRule="auto" w:line="288" w:before="239" w:after="283"/>
        <w:ind w:left="0" w:right="0" w:firstLine="720"/>
        <w:jc w:val="left"/>
        <w:rPr/>
      </w:pPr>
      <w:r>
        <w:rPr>
          <w:rFonts w:ascii="Times New Roman;serif" w:hAnsi="Times New Roman;serif"/>
          <w:b w:val="false"/>
          <w:color w:val="000000"/>
          <w:sz w:val="24"/>
        </w:rPr>
        <w:t>6.</w:t>
      </w:r>
      <w:r>
        <w:rPr>
          <w:rFonts w:ascii="Times New Roman;serif" w:hAnsi="Times New Roman;serif"/>
          <w:b/>
          <w:i/>
          <w:color w:val="000000"/>
          <w:sz w:val="24"/>
        </w:rPr>
        <w:t>Treasurer</w:t>
      </w:r>
      <w:r>
        <w:rPr>
          <w:rFonts w:ascii="Times New Roman;serif" w:hAnsi="Times New Roman;serif"/>
          <w:b w:val="false"/>
          <w:color w:val="000000"/>
          <w:sz w:val="24"/>
        </w:rPr>
        <w:t>. The Treasurer shall have custody of the Corporation’s funds and securities. He or she shall perform such other duties as may be prescribed by these Bylaws or as may be assigned to him or her by the Chair of the Board, the President or the Board of Directors, and, except as otherwise prescribed by the Board of Directors, he or she shall have such powers and duties as generally pertain to the office of Treasurer.</w:t>
      </w:r>
    </w:p>
    <w:p>
      <w:pPr>
        <w:pStyle w:val="TextBody"/>
        <w:bidi w:val="0"/>
        <w:spacing w:lineRule="auto" w:line="288" w:before="240" w:after="283"/>
        <w:ind w:left="0" w:right="0" w:firstLine="720"/>
        <w:jc w:val="left"/>
        <w:rPr/>
      </w:pPr>
      <w:r>
        <w:rPr>
          <w:rFonts w:ascii="Times New Roman;serif" w:hAnsi="Times New Roman;serif"/>
          <w:b w:val="false"/>
          <w:color w:val="000000"/>
          <w:sz w:val="24"/>
        </w:rPr>
        <w:t>7.</w:t>
      </w:r>
      <w:r>
        <w:rPr>
          <w:rFonts w:ascii="Times New Roman;serif" w:hAnsi="Times New Roman;serif"/>
          <w:b/>
          <w:i/>
          <w:color w:val="000000"/>
          <w:sz w:val="24"/>
        </w:rPr>
        <w:t>Controller</w:t>
      </w:r>
      <w:r>
        <w:rPr>
          <w:rFonts w:ascii="Times New Roman;serif" w:hAnsi="Times New Roman;serif"/>
          <w:b w:val="false"/>
          <w:color w:val="000000"/>
          <w:sz w:val="24"/>
        </w:rPr>
        <w:t>. The Controller shall have charge of the Corporation’s books of account, and shall be responsible for the maintenance of adequate records of all assets, liabilities, and financial transactions of the Corporation. The Controller shall prepare and render such balance sheets, profit and loss statements and other financial reports as the Board of Directors, the Chair of the Board or the President may require. He or she shall perform such other duties as may be prescribed by these Bylaws or as may be assigned to him or her by the Chair of the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15975"/>
                <wp:effectExtent l="0" t="0" r="0" b="0"/>
                <wp:wrapNone/>
                <wp:docPr id="57" name="Frame5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Board, the President or the Board of Directors, and, except as otherwise prescribed by the Board of Directors, he or she shall have such powers and duties as generally pertain to the office of Controller.</w:t>
      </w:r>
    </w:p>
    <w:p>
      <w:pPr>
        <w:pStyle w:val="TextBody"/>
        <w:bidi w:val="0"/>
        <w:spacing w:lineRule="auto" w:line="556" w:before="240" w:after="283"/>
        <w:jc w:val="center"/>
        <w:rPr>
          <w:rFonts w:ascii="Times New Roman;serif" w:hAnsi="Times New Roman;serif"/>
          <w:b/>
          <w:color w:val="000000"/>
          <w:sz w:val="24"/>
        </w:rPr>
      </w:pPr>
      <w:r>
        <w:rPr>
          <w:rFonts w:ascii="Times New Roman;serif" w:hAnsi="Times New Roman;serif"/>
          <w:b/>
          <w:color w:val="000000"/>
          <w:sz w:val="24"/>
        </w:rPr>
        <w:t>ARTICLE IV STOCK.</w:t>
      </w:r>
    </w:p>
    <w:p>
      <w:pPr>
        <w:pStyle w:val="TextBody"/>
        <w:bidi w:val="0"/>
        <w:spacing w:lineRule="atLeast" w:line="240" w:before="0" w:after="0"/>
        <w:ind w:left="0" w:right="0" w:hanging="719"/>
        <w:jc w:val="left"/>
        <w:rPr/>
      </w:pPr>
      <w:r>
        <w:rPr>
          <w:rFonts w:ascii="Times New Roman;serif" w:hAnsi="Times New Roman;serif"/>
          <w:b w:val="false"/>
          <w:color w:val="000000"/>
          <w:sz w:val="24"/>
        </w:rPr>
        <w:t>1.</w:t>
      </w:r>
      <w:r>
        <w:rPr>
          <w:rFonts w:ascii="Times New Roman;serif" w:hAnsi="Times New Roman;serif"/>
          <w:b/>
          <w:i/>
          <w:color w:val="000000"/>
          <w:sz w:val="24"/>
        </w:rPr>
        <w:t>Stock</w:t>
      </w:r>
      <w:r>
        <w:rPr>
          <w:rFonts w:ascii="Times New Roman;serif" w:hAnsi="Times New Roman;serif"/>
          <w:b w:val="false"/>
          <w:color w:val="000000"/>
          <w:sz w:val="24"/>
        </w:rPr>
        <w:t>. The shares of the Corporation shall be represented by certificates or shall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 uncertificated. Each registered holder of shares, upon request to the Corporation, shall be provided with a certificate of stock representing the number of shares owned by such holder. The certificates of stock of the Corporation shall be in the form or forms from time to time approved by the Board of Directors. Such certificates shall be numbered and registered, shall exhibit the holder’s name and the number of shares, and shall be signed in the name of the Corporation by any two (2) authorized officers of the Corporation. If any certificate is manually signed (a) by a transfer agent other than the Corporation or its employee, or (b) by a registrar other than the Corporation or its employee, any other signature on the certificate, including those of the aforesaid officers of the Corporation,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2.</w:t>
      </w:r>
      <w:r>
        <w:rPr>
          <w:rFonts w:ascii="Times New Roman;serif" w:hAnsi="Times New Roman;serif"/>
          <w:b/>
          <w:i/>
          <w:color w:val="000000"/>
          <w:sz w:val="24"/>
        </w:rPr>
        <w:t>Lost Certificates</w:t>
      </w:r>
      <w:r>
        <w:rPr>
          <w:rFonts w:ascii="Times New Roman;serif" w:hAnsi="Times New Roman;serif"/>
          <w:b w:val="false"/>
          <w:color w:val="000000"/>
          <w:sz w:val="24"/>
        </w:rPr>
        <w:t>. The Board of Directors or any officer of the Corporation to whom the Board of Directors has delegated authority may authorize any transfer agent of the Corporation to issue, and any registrar of the Corporation to register, at any time and from time to time unless otherwise directed, a new certificate or certificates of stock in the place of a certificate or certificates theretofore issued by the Corporation, alleged to have been lost or destroyed, upon receipt by the transfer agent of evidence of such loss or destruction, which may be the affidavit of the applicant; a bond indemnifying the Corporation and any transfer agent and registrar of the class of stock involved against claims that may be made against it or them on account of the lost or destroyed certificate or the issuance of a new certificate, of such kind and in such amount as the Board of Directors shall have authorized the transfer agent to accept generally or as the Board of Directors or an authorized officer shall approve in particular cases; and any other documents or instruments that the Board of Directors or an authorized officer may require from time to time to protect adequately the interest of the Corporation. A new certificate may be issued without requiring any bond when, in the judgment of the directors, it is proper to do so.</w:t>
      </w:r>
    </w:p>
    <w:p>
      <w:pPr>
        <w:pStyle w:val="TextBody"/>
        <w:bidi w:val="0"/>
        <w:spacing w:lineRule="auto" w:line="288" w:before="240" w:after="283"/>
        <w:ind w:left="0" w:right="0" w:firstLine="720"/>
        <w:jc w:val="left"/>
        <w:rPr/>
      </w:pPr>
      <w:r>
        <w:rPr>
          <w:rFonts w:ascii="Times New Roman;serif" w:hAnsi="Times New Roman;serif"/>
          <w:b w:val="false"/>
          <w:color w:val="000000"/>
          <w:sz w:val="24"/>
        </w:rPr>
        <w:t>3.</w:t>
      </w:r>
      <w:r>
        <w:rPr>
          <w:rFonts w:ascii="Times New Roman;serif" w:hAnsi="Times New Roman;serif"/>
          <w:b/>
          <w:i/>
          <w:color w:val="000000"/>
          <w:sz w:val="24"/>
        </w:rPr>
        <w:t>Transfers of Stock</w:t>
      </w:r>
      <w:r>
        <w:rPr>
          <w:rFonts w:ascii="Times New Roman;serif" w:hAnsi="Times New Roman;serif"/>
          <w:b w:val="false"/>
          <w:color w:val="000000"/>
          <w:sz w:val="24"/>
        </w:rPr>
        <w:t>. Transfers of stock shall be made upon the books of the Corporation: (a) upon presentation of the certificates by the registered holder in person or by duly authorized attorney, or upon presentation of proper evidence of succession, assignment or authority to transfer the stock, and upon surrender of the appropriate certificate(s), or (b) in the case of uncertificated shares, upon receipt of proper transfer instructions from the registered owner of such uncertificated shares, or from a duly authorized attorney or from an individual presenting proper evidence of succession, assignment or authority to transfer the stock.</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15975"/>
                <wp:effectExtent l="0" t="0" r="0" b="0"/>
                <wp:wrapNone/>
                <wp:docPr id="58" name="Frame5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720"/>
        <w:jc w:val="left"/>
        <w:rPr/>
      </w:pPr>
      <w:r>
        <w:rPr>
          <w:rFonts w:ascii="Times New Roman;serif" w:hAnsi="Times New Roman;serif"/>
          <w:b w:val="false"/>
          <w:color w:val="000000"/>
          <w:sz w:val="24"/>
        </w:rPr>
        <w:t>4.</w:t>
      </w:r>
      <w:r>
        <w:rPr>
          <w:rFonts w:ascii="Times New Roman;serif" w:hAnsi="Times New Roman;serif"/>
          <w:b/>
          <w:i/>
          <w:color w:val="000000"/>
          <w:sz w:val="24"/>
        </w:rPr>
        <w:t>Holder of Record</w:t>
      </w:r>
      <w:r>
        <w:rPr>
          <w:rFonts w:ascii="Times New Roman;serif" w:hAnsi="Times New Roman;serif"/>
          <w:b w:val="false"/>
          <w:color w:val="000000"/>
          <w:sz w:val="24"/>
        </w:rPr>
        <w:t>. The Corporation shall be entitled to treat the holder of record of any share or shares of stock as the holder in fact thereof and accordingly shall not be bound to recognize any equitable or other claim to or interest in such share on the part of any other person whether or not it shall have express or other notice thereof, save as expressly provided by the laws of the State of Delaware.</w:t>
      </w:r>
    </w:p>
    <w:p>
      <w:pPr>
        <w:pStyle w:val="TextBody"/>
        <w:bidi w:val="0"/>
        <w:spacing w:lineRule="auto" w:line="556" w:before="240" w:after="283"/>
        <w:jc w:val="center"/>
        <w:rPr>
          <w:rFonts w:ascii="Times New Roman;serif" w:hAnsi="Times New Roman;serif"/>
          <w:b/>
          <w:color w:val="000000"/>
          <w:sz w:val="24"/>
        </w:rPr>
      </w:pPr>
      <w:r>
        <w:rPr>
          <w:rFonts w:ascii="Times New Roman;serif" w:hAnsi="Times New Roman;serif"/>
          <w:b/>
          <w:color w:val="000000"/>
          <w:sz w:val="24"/>
        </w:rPr>
        <w:t>ARTICLE V INDEMNIFICATION.</w:t>
      </w:r>
    </w:p>
    <w:p>
      <w:pPr>
        <w:pStyle w:val="TextBody"/>
        <w:bidi w:val="0"/>
        <w:spacing w:lineRule="atLeast" w:line="240" w:before="0" w:after="0"/>
        <w:ind w:left="0" w:right="0" w:hanging="719"/>
        <w:jc w:val="left"/>
        <w:rPr/>
      </w:pPr>
      <w:r>
        <w:rPr>
          <w:rFonts w:ascii="Times New Roman;serif" w:hAnsi="Times New Roman;serif"/>
          <w:b w:val="false"/>
          <w:color w:val="000000"/>
          <w:sz w:val="24"/>
        </w:rPr>
        <w:t>1.</w:t>
      </w:r>
      <w:r>
        <w:rPr>
          <w:rFonts w:ascii="Times New Roman;serif" w:hAnsi="Times New Roman;serif"/>
          <w:b/>
          <w:i/>
          <w:color w:val="000000"/>
          <w:sz w:val="24"/>
        </w:rPr>
        <w:t>Indemnification of Directors and Officers in Third-Party Proceedings</w:t>
      </w:r>
      <w:r>
        <w:rPr>
          <w:rFonts w:ascii="Times New Roman;serif" w:hAnsi="Times New Roman;serif"/>
          <w:b w:val="false"/>
          <w:color w:val="000000"/>
          <w:sz w:val="24"/>
        </w:rPr>
        <w:t>. Subject</w:t>
      </w:r>
    </w:p>
    <w:p>
      <w:pPr>
        <w:pStyle w:val="TextBody"/>
        <w:bidi w:val="0"/>
        <w:spacing w:lineRule="auto" w:line="288" w:before="0" w:after="0"/>
        <w:jc w:val="left"/>
        <w:rPr/>
      </w:pPr>
      <w:r>
        <w:rPr>
          <w:rFonts w:ascii="Times New Roman;serif" w:hAnsi="Times New Roman;serif"/>
          <w:b w:val="false"/>
          <w:color w:val="000000"/>
          <w:sz w:val="24"/>
        </w:rPr>
        <w:t>to the other provisions of this Article V, the 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person (and the heirs, executors, administrators or estate of such person) who was or is a party or is threatened to be made a party to, or otherwise becomes involved in, any threatened, pending or completed action, suit, investigation, inquiry, hearing, mediation, arbitration, other alternative dispute mechanism or any other proceeding, whether civil, criminal, administrative, regulatory, investigative, legislative or otherwise and whether formal or informal (as further defined in Section 19 of Article V, a “</w:t>
      </w:r>
      <w:r>
        <w:rPr>
          <w:rFonts w:ascii="Times New Roman;serif" w:hAnsi="Times New Roman;serif"/>
          <w:b w:val="false"/>
          <w:color w:val="000000"/>
          <w:sz w:val="24"/>
          <w:u w:val="single"/>
        </w:rPr>
        <w:t>Proceeding</w:t>
      </w:r>
      <w:r>
        <w:rPr>
          <w:color w:val="000000"/>
        </w:rPr>
        <w:t>”</w:t>
      </w:r>
      <w:r>
        <w:rPr>
          <w:rFonts w:ascii="Times New Roman;serif" w:hAnsi="Times New Roman;serif"/>
          <w:b w:val="false"/>
          <w:color w:val="000000"/>
          <w:sz w:val="24"/>
        </w:rPr>
        <w:t>) (other than an action by or in the right of the Corporation) by reason of the fact that such person is or was serving, or had agreed to serve, in an Official Capacity (as defined in Section 19 of Article V) for the Corporation, or while serving in an Official Capacity for the Corporation is or was serving at the request of the Corporation in an Official Capacity for another corporation, partnership, limited liability company, joint venture, trust or other enterprise (each, an “</w:t>
      </w:r>
      <w:r>
        <w:rPr>
          <w:rFonts w:ascii="Times New Roman;serif" w:hAnsi="Times New Roman;serif"/>
          <w:b w:val="false"/>
          <w:color w:val="000000"/>
          <w:sz w:val="24"/>
          <w:u w:val="single"/>
        </w:rPr>
        <w:t>Other Enterprise</w:t>
      </w:r>
      <w:r>
        <w:rPr>
          <w:color w:val="000000"/>
        </w:rPr>
        <w:t>”</w:t>
      </w:r>
      <w:r>
        <w:rPr>
          <w:rFonts w:ascii="Times New Roman;serif" w:hAnsi="Times New Roman;serif"/>
          <w:b w:val="false"/>
          <w:color w:val="000000"/>
          <w:sz w:val="24"/>
        </w:rPr>
        <w:t>), including service with respect to employee benefit plans maintained or sponsored by the Corporation, or is an employee of the Corporation specifically designated by the Board of Directors as an indemnified employee (hereinafter, each of the foregoing persons, a “</w:t>
      </w:r>
      <w:r>
        <w:rPr>
          <w:rFonts w:ascii="Times New Roman;serif" w:hAnsi="Times New Roman;serif"/>
          <w:b w:val="false"/>
          <w:color w:val="000000"/>
          <w:sz w:val="24"/>
          <w:u w:val="single"/>
        </w:rPr>
        <w:t>Covered Person</w:t>
      </w:r>
      <w:r>
        <w:rPr>
          <w:color w:val="000000"/>
        </w:rPr>
        <w:t>”</w:t>
      </w:r>
      <w:r>
        <w:rPr>
          <w:rFonts w:ascii="Times New Roman;serif" w:hAnsi="Times New Roman;serif"/>
          <w:b w:val="false"/>
          <w:color w:val="000000"/>
          <w:sz w:val="24"/>
        </w:rPr>
        <w:t>), against Expenses (as defined below), judgments, fines and amounts paid in settlement actually and reasonably incurred by such person in connection with such Proceeding if, in the Corporation’s determination pursuant to Section 7 of Article V, such person acted in good faith and in a manner such person reasonably believed to be in or not opposed to the best interests of the Corporation, and, with respect to any criminal Proceeding, had no reasonable cause to believe his or her conduct was unlawful.</w:t>
      </w:r>
    </w:p>
    <w:p>
      <w:pPr>
        <w:pStyle w:val="TextBody"/>
        <w:bidi w:val="0"/>
        <w:spacing w:lineRule="auto" w:line="288" w:before="240" w:after="283"/>
        <w:ind w:left="0" w:right="0" w:firstLine="720"/>
        <w:jc w:val="left"/>
        <w:rPr/>
      </w:pPr>
      <w:r>
        <w:rPr>
          <w:rFonts w:ascii="Times New Roman;serif" w:hAnsi="Times New Roman;serif"/>
          <w:b w:val="false"/>
          <w:color w:val="000000"/>
          <w:sz w:val="24"/>
        </w:rPr>
        <w:t>2.</w:t>
      </w:r>
      <w:r>
        <w:rPr>
          <w:rFonts w:ascii="Times New Roman;serif" w:hAnsi="Times New Roman;serif"/>
          <w:b/>
          <w:i/>
          <w:color w:val="000000"/>
          <w:sz w:val="24"/>
        </w:rPr>
        <w:t>Indemnification of Directors and Officers in Actions by or in the Right of the Corporation</w:t>
      </w:r>
      <w:r>
        <w:rPr>
          <w:rFonts w:ascii="Times New Roman;serif" w:hAnsi="Times New Roman;serif"/>
          <w:b w:val="false"/>
          <w:color w:val="000000"/>
          <w:sz w:val="24"/>
        </w:rPr>
        <w:t>. Subject to the other provisions of this Article V, the Corporation shall indemnify and hold harmless, to the fullest extent permitted by the DGCL, any Covered Person who was or is a party or is threatened to be made a party to, or otherwise becomes involved in, a Proceeding by or in the right of the Corporation against Expenses actually and reasonably incurred by such person in connection with the defense or settlement of such action or suit if, in the Corporation’s determination pursuant to Section 7 of Article V, such person acted in good faith and in a manner such person reasonably believed to be in or not opposed to the best interests of the Corporation; provided that no indemnification shall be made in respect of any claim, issue or matter as to which such person shall have been adjudged to be liable to the Corporation unless and only to the extent that Delaware Court of Chancery or the court in which such action or suit was brought</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15975"/>
                <wp:effectExtent l="0" t="0" r="0" b="0"/>
                <wp:wrapNone/>
                <wp:docPr id="59" name="Frame59"/>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pStyle w:val="TextBody"/>
        <w:bidi w:val="0"/>
        <w:spacing w:lineRule="auto" w:line="288" w:before="240" w:after="283"/>
        <w:ind w:left="0" w:right="0" w:firstLine="720"/>
        <w:jc w:val="left"/>
        <w:rPr/>
      </w:pPr>
      <w:r>
        <w:rPr>
          <w:rFonts w:ascii="Times New Roman;serif" w:hAnsi="Times New Roman;serif"/>
          <w:b w:val="false"/>
          <w:color w:val="000000"/>
          <w:sz w:val="24"/>
        </w:rPr>
        <w:t>3.</w:t>
      </w:r>
      <w:r>
        <w:rPr>
          <w:rFonts w:ascii="Times New Roman;serif" w:hAnsi="Times New Roman;serif"/>
          <w:b/>
          <w:i/>
          <w:color w:val="000000"/>
          <w:sz w:val="24"/>
        </w:rPr>
        <w:t>Successful Defense</w:t>
      </w:r>
      <w:r>
        <w:rPr>
          <w:rFonts w:ascii="Times New Roman;serif" w:hAnsi="Times New Roman;serif"/>
          <w:b w:val="false"/>
          <w:color w:val="000000"/>
          <w:sz w:val="24"/>
        </w:rPr>
        <w:t>. In addition to the rights of indemnifications provided in Section 1 and Section 2 of Article V, to the extent that a Covered Person has been successful on the merits or otherwise in defense of any Proceeding described in Section 1 or Section 2 of Article V, or in defense of any claim, issue or matter therein, such person shall be indemnified against Expenses actually and reasonably incurred by such person in connection therewith.</w:t>
      </w:r>
    </w:p>
    <w:p>
      <w:pPr>
        <w:pStyle w:val="TextBody"/>
        <w:bidi w:val="0"/>
        <w:spacing w:lineRule="auto" w:line="288" w:before="240" w:after="283"/>
        <w:ind w:left="0" w:right="0" w:firstLine="720"/>
        <w:jc w:val="left"/>
        <w:rPr/>
      </w:pPr>
      <w:r>
        <w:rPr>
          <w:rFonts w:ascii="Times New Roman;serif" w:hAnsi="Times New Roman;serif"/>
          <w:b w:val="false"/>
          <w:color w:val="000000"/>
          <w:sz w:val="24"/>
        </w:rPr>
        <w:t>4.</w:t>
      </w:r>
      <w:r>
        <w:rPr>
          <w:rFonts w:ascii="Times New Roman;serif" w:hAnsi="Times New Roman;serif"/>
          <w:b/>
          <w:i/>
          <w:color w:val="000000"/>
          <w:sz w:val="24"/>
        </w:rPr>
        <w:t>Indemnification of Others</w:t>
      </w:r>
      <w:r>
        <w:rPr>
          <w:rFonts w:ascii="Times New Roman;serif" w:hAnsi="Times New Roman;serif"/>
          <w:b w:val="false"/>
          <w:color w:val="000000"/>
          <w:sz w:val="24"/>
        </w:rPr>
        <w:t>. Subject to the other provisions of this Article V,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Directors determines.</w:t>
      </w:r>
    </w:p>
    <w:p>
      <w:pPr>
        <w:pStyle w:val="TextBody"/>
        <w:bidi w:val="0"/>
        <w:spacing w:lineRule="auto" w:line="288" w:before="240" w:after="283"/>
        <w:ind w:left="0" w:right="0" w:hanging="719"/>
        <w:jc w:val="left"/>
        <w:rPr/>
      </w:pPr>
      <w:r>
        <w:rPr>
          <w:rFonts w:ascii="Times New Roman;serif" w:hAnsi="Times New Roman;serif"/>
          <w:b w:val="false"/>
          <w:color w:val="000000"/>
          <w:sz w:val="24"/>
        </w:rPr>
        <w:t>5.</w:t>
      </w:r>
      <w:r>
        <w:rPr>
          <w:rFonts w:ascii="Times New Roman;serif" w:hAnsi="Times New Roman;serif"/>
          <w:b/>
          <w:i/>
          <w:color w:val="000000"/>
          <w:sz w:val="24"/>
        </w:rPr>
        <w:t>Advance Payment of Expenses</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(a)Expenses actually and reasonably incurred by any Covered Person in defending any Proceeding shall be paid by the Corporation in advance of the Final Disposition (as defined below) of such Proceeding. Such advances shall be paid by the Corporation within ten (10) days after the receipt by the Corporation of a written statement or statements from the Covered Person requesting such advance or advances from time to time; provided, that the payment of such expenses incurred by a Covered Person in his or her capacity as a director or officer shall be made only upon delivery to the Corporation of an undertaking (an “</w:t>
      </w:r>
      <w:r>
        <w:rPr>
          <w:rFonts w:ascii="Times New Roman;serif" w:hAnsi="Times New Roman;serif"/>
          <w:b w:val="false"/>
          <w:color w:val="000000"/>
          <w:sz w:val="24"/>
          <w:u w:val="single"/>
        </w:rPr>
        <w:t>Undertaking</w:t>
      </w:r>
      <w:r>
        <w:rPr>
          <w:color w:val="000000"/>
        </w:rPr>
        <w:t>”</w:t>
      </w:r>
      <w:r>
        <w:rPr>
          <w:rFonts w:ascii="Times New Roman;serif" w:hAnsi="Times New Roman;serif"/>
          <w:b w:val="false"/>
          <w:color w:val="000000"/>
          <w:sz w:val="24"/>
        </w:rPr>
        <w:t>) in writing by or on behalf of such Covered Person to repay all amounts so advanced if it shall ultimately be determined by final judicial decision from which there is no further right of appeal (a “</w:t>
      </w:r>
      <w:r>
        <w:rPr>
          <w:rFonts w:ascii="Times New Roman;serif" w:hAnsi="Times New Roman;serif"/>
          <w:b w:val="false"/>
          <w:color w:val="000000"/>
          <w:sz w:val="24"/>
          <w:u w:val="single"/>
        </w:rPr>
        <w:t>Final Disposition</w:t>
      </w:r>
      <w:r>
        <w:rPr>
          <w:color w:val="000000"/>
        </w:rPr>
        <w:t>”</w:t>
      </w:r>
      <w:r>
        <w:rPr>
          <w:rFonts w:ascii="Times New Roman;serif" w:hAnsi="Times New Roman;serif"/>
          <w:b w:val="false"/>
          <w:color w:val="000000"/>
          <w:sz w:val="24"/>
        </w:rPr>
        <w:t>) that such Covered Person is not entitled to be indemnified for such Expenses under these Bylaws or otherwise. The Covered Person’s Undertaking shall not be required to be secured and shall not bear interest.</w:t>
      </w:r>
    </w:p>
    <w:p>
      <w:pPr>
        <w:pStyle w:val="TextBody"/>
        <w:bidi w:val="0"/>
        <w:spacing w:lineRule="auto" w:line="288" w:before="239"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(b)Except as otherwise provided in the DGCL or this Section 5 of Article V, the Corporation shall not impose on the Covered Person additional conditions to the advancement of Expenses or require from the Covered Person additional undertakings regarding repayment. Advancements of Expenses shall be made without regard to the Covered Person’s ability to repay the Expenses.</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(c)Advancements of Expenses pursuant to this subsection shall not require approval of the Board of Directors or the stockholders of the Corporation, or of any other person or body. The Secretary shall promptly advise the Board of Directors in writing of the request for advancement of Expenses, of the amount and other details of the request and of the Undertaking provided pursuant to this Section 5 of Article V.</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(d)Advancements of Expenses to a Covered Person shall include any and all actual and reasonable Expenses incurred pursuing an action to enforce this right of advancement, including Expenses incurred preparing and forwarding statements to the Corporation to support the advancements claimed.</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15975"/>
                <wp:effectExtent l="0" t="0" r="0" b="0"/>
                <wp:wrapNone/>
                <wp:docPr id="60" name="Frame60"/>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(e)The right to advancement of Expenses shall not apply to (i) any action, suit or proceeding against a Covered Person brought by the Corporation and approved by a majority of the authorized members of the Board of Directors which alleges willful misappropriation of corporate assets by such agent, wrongful disclosure of confidential information, or any other willful and deliberate breach in bad faith of such agent’s duty to the Corporation or its stockholders, or (ii) any claim for which indemnification is excluded pursuant to these Bylaws, but shall apply to any Proceeding referenced in Section 6(b) or Section 6(c) of Article V prior to a determination that the person is not entitled to be indemnified by the Corporation.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w:t>
      </w:r>
      <w:r>
        <w:rPr>
          <w:rFonts w:ascii="Times New Roman;serif" w:hAnsi="Times New Roman;serif"/>
          <w:b/>
          <w:i/>
          <w:color w:val="000000"/>
          <w:sz w:val="24"/>
        </w:rPr>
        <w:t>Limitations on Indemnification</w:t>
      </w:r>
      <w:r>
        <w:rPr>
          <w:rFonts w:ascii="Times New Roman;serif" w:hAnsi="Times New Roman;serif"/>
          <w:b w:val="false"/>
          <w:color w:val="000000"/>
          <w:sz w:val="24"/>
        </w:rPr>
        <w:t>. Except as otherwise required by the DGCL or applicable law, the Corporation shall not be obligated to indemnify any person pursuant to this Article V in connection with any Proceeding (or any part of any Proceeding):</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(a)for which payment has actually been made to or on behalf of such person under any statute, insurance policy, indemnity provision, vote or otherwise, except with respect to any excess beyond the amount paid;</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(b)where it has been determined by Final Disposition that the person is liable to the Corporation with respect to any claim, issue or matter involved in the Proceeding out of which the claim for indemnification has arisen, including, without limitation, a claim that the person received an improper personal benefit, unless the court of law or another court in which such Proceeding was brought shall determine upon application that, despite the adjudication of liability, but in view of all the circumstances of the case, the person is fairly and reasonably entitled to indemnity for such Expenses which such court shall deem proper;</w:t>
      </w:r>
    </w:p>
    <w:p>
      <w:pPr>
        <w:pStyle w:val="TextBody"/>
        <w:bidi w:val="0"/>
        <w:spacing w:lineRule="auto" w:line="288" w:before="241"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(c)for which payment has actually been made to or on behalf of such person under any statute, insurance policy, indemnity provision, vote or otherwise, except with respect to any excess beyond the amount paid;</w:t>
      </w:r>
    </w:p>
    <w:p>
      <w:pPr>
        <w:pStyle w:val="TextBody"/>
        <w:bidi w:val="0"/>
        <w:spacing w:lineRule="auto" w:line="288" w:before="238"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(d)for an accounting or disgorgement of profits pursuant to Section 16(b) of the Exchange Act, or similar provisions of federal, state, or local statutory law or common law, if such person is held liable therefor (including pursuant to any settlement arrangements);</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(e)for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Times New Roman;serif" w:hAnsi="Times New Roman;serif"/>
          <w:b w:val="false"/>
          <w:color w:val="000000"/>
          <w:sz w:val="24"/>
          <w:u w:val="single"/>
        </w:rPr>
        <w:t>Sarbanes-Oxley Act</w:t>
      </w:r>
      <w:r>
        <w:rPr>
          <w:color w:val="000000"/>
        </w:rPr>
        <w:t>”</w:t>
      </w:r>
      <w:r>
        <w:rPr>
          <w:rFonts w:ascii="Times New Roman;serif" w:hAnsi="Times New Roman;serif"/>
          <w:b w:val="false"/>
          <w:color w:val="000000"/>
          <w:sz w:val="24"/>
        </w:rPr>
        <w:t>) or the rules of any national securities exchange upon which the Corporation’s securities are listed, or the payment to the Corporation of profits arising from the purchase and sale by such person of securities in violation of Section 306 of the Sarbanes-Oxley Act), if such person is held liable therefor (including pursuant to any settlement arrangements);</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(f)initiated by such person against the Corporation or its directors, officers, employees, agents or other indemnitees, unless (i) the Board of Directors authorized the Proceeding (or the relevant part of the Proceeding) prior to its initiation, (ii)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15975"/>
                <wp:effectExtent l="0" t="0" r="0" b="0"/>
                <wp:wrapNone/>
                <wp:docPr id="61" name="Frame61"/>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provides the indemnification, in its sole discretion, pursuant to the powers vested in the Corporation under applicable law, (iii) otherwise made under Section 5 of Article V 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(iv) otherwise required by applicable law; or</w:t>
      </w:r>
    </w:p>
    <w:p>
      <w:pPr>
        <w:pStyle w:val="TextBody"/>
        <w:bidi w:val="0"/>
        <w:spacing w:lineRule="auto" w:line="288" w:before="240"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(g)if prohibited by applicable law.</w:t>
      </w:r>
    </w:p>
    <w:p>
      <w:pPr>
        <w:pStyle w:val="TextBody"/>
        <w:bidi w:val="0"/>
        <w:spacing w:lineRule="auto" w:line="288" w:before="240" w:after="283"/>
        <w:ind w:left="0" w:right="0" w:hanging="719"/>
        <w:jc w:val="left"/>
        <w:rPr/>
      </w:pPr>
      <w:r>
        <w:rPr>
          <w:rFonts w:ascii="Times New Roman;serif" w:hAnsi="Times New Roman;serif"/>
          <w:b w:val="false"/>
          <w:color w:val="000000"/>
          <w:sz w:val="24"/>
        </w:rPr>
        <w:t>7.</w:t>
      </w:r>
      <w:r>
        <w:rPr>
          <w:rFonts w:ascii="Times New Roman;serif" w:hAnsi="Times New Roman;serif"/>
          <w:b/>
          <w:i/>
          <w:color w:val="000000"/>
          <w:sz w:val="24"/>
        </w:rPr>
        <w:t>Indemnification Claims; Determination</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(a)To obtain indemnification under this Article V, a Covered Person shall submit to the Corporation a written request, including therein or therewith such documentation and information as is reasonably available to the Covered Person and is reasonably necessary to determine whether and to what extent the Covered Person is entitled to indemnification. Upon written request by a Covered Person for indemnification, a determination (the “</w:t>
      </w:r>
      <w:r>
        <w:rPr>
          <w:rFonts w:ascii="Times New Roman;serif" w:hAnsi="Times New Roman;serif"/>
          <w:b w:val="false"/>
          <w:color w:val="000000"/>
          <w:sz w:val="24"/>
          <w:u w:val="single"/>
        </w:rPr>
        <w:t>Determination</w:t>
      </w:r>
      <w:r>
        <w:rPr>
          <w:color w:val="000000"/>
        </w:rPr>
        <w:t>”</w:t>
      </w:r>
      <w:r>
        <w:rPr>
          <w:rFonts w:ascii="Times New Roman;serif" w:hAnsi="Times New Roman;serif"/>
          <w:b w:val="false"/>
          <w:color w:val="000000"/>
          <w:sz w:val="24"/>
        </w:rPr>
        <w:t>) if such determination is required by applicable law, with respect to the Covered Person’s entitlement thereto shall be made as follows, unless otherwise ordered by a court of competent jurisdiction: (i) by the Board of Directors by majority vote of a quorum consisting of Disinterested Directors (as defined in Section 19 of Article V); (ii) if such a quorum of Disinterested Directors cannot be obtained, by majority vote of a committee duly designated by the Board of Directors (all directors, whether or not Disinterested Directors, may participate in such designation) consisting solely of two or more Disinterested Directors; (iii) if such a committee cannot be designated, by any Independent Counsel (as defined in Section 19 of Article V) selected by the Board of Directors, as prescribed in clause (i) above, or by a committee of the Board of Directors, as prescribed in clause (ii) above, in a written opinion to the Board of Directors, a copy of which shall be delivered to the Covered Person, or if a quorum of the Board of Directors cannot be obtained for purposes of clause (i) above and a committee cannot be designated under clause (ii) above, as selected by majority vote of the full Board of Directors (in which directors who are parties may participate); or (iv) if such Independent Legal Counsel determination cannot be obtained, by majority vote of a quorum of stockholders consisting of stockholders who are not parties to such Proceeding, or if no such quorum is obtainable, by a majority vote of stockholders who are not parties to the Proceeding. If it is so determined that the Covered Person is entitled to indemnification, payment to the Covered Person shall be made within thirty (30) days after such determination.</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(b)If a claim for indemnification under this Article V is not paid in full by the Corporation within thirty (30) days after a determination has been made pursuant to Section 7(a) of Article V that the Covered Person is entitled to indemnification, or (ii) if a request for advancement of Expenses under this Article V is not paid in full by the Corporation within 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 days after a statement pursuant to Section 5 of Article V and the required Undertaking, if any, have been received by the Corporation, the Covered Person may at any time thereafter bring suit against the Corporation in a court of competent jurisdiction to recover the unpaid amount of the claim for indemnification or request for advancement of Expenses and, if successful in whole or in part, the Covered Person shall be entitled to be paid also any and all Expenses incurred in connection with prosecuting such claim. In any such suit, the Corporation shall, to the fullest extent not prohibited by applicable law, have the burden of proving that the Covered Person is not entitled to the requested indemnification or advancement of Expenses. It shall be a defense to any such action that, under the DGCL or other applicable law, the Covered Person has not met the standard of conduct which makes it permissible for the Corporation to indemnify the Covered</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15975"/>
                <wp:effectExtent l="0" t="0" r="0" b="0"/>
                <wp:wrapNone/>
                <wp:docPr id="62" name="Frame6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Person for the amount claimed or that the Covered Person is not entitled to the requested advancement of Expenses, but (except where the required Undertaking, if any, has not been tendered to the Corporation) the burden of proving such defense shall be on the Corporation. Neither the failure of the Corporation (including its Disinterested Directors, Independent Counsel or stockholders) to have made a determination prior to the commencement of such action that indemnification of the Covered Person is proper in the circumstances because he or she has met the applicable standard of conduct set forth under the DGCL or other applicable law, nor an actual determination by the Corporation (including its Disinterested Directors, Independent Counsel or stockholders) that the Covered Person has not met such applicable standard of conduct, shall be a defense to the action or create a presumption that the Covered Person has not met the applicable standard of conduct.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 xml:space="preserve">(c)The termination of any Proceeding by judgment, order, settlement, conviction, or upon a plea of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(d)If a Determination shall have been made pursuant to Section 7(a) of Article V that the Covered Person is entitled to indemnification, the Corporation shall be bound by such determination in any judicial proceeding commenced pursuant to Section 7(b) of Article V.</w:t>
      </w:r>
    </w:p>
    <w:p>
      <w:pPr>
        <w:pStyle w:val="TextBody"/>
        <w:bidi w:val="0"/>
        <w:spacing w:lineRule="auto" w:line="288" w:before="241"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(e)The Corporation shall be precluded from asserting in any judicial proceeding commenced pursuant to Section 7(b) of Article V that the procedures and presumptions of these Bylaws are not valid, binding, and enforceable and shall stipulate in such proceeding that the Corporation is bound by all the provisions of these Bylaws.</w:t>
      </w:r>
    </w:p>
    <w:p>
      <w:pPr>
        <w:pStyle w:val="TextBody"/>
        <w:bidi w:val="0"/>
        <w:spacing w:lineRule="auto" w:line="288" w:before="240" w:after="283"/>
        <w:ind w:left="0" w:right="0" w:hanging="719"/>
        <w:jc w:val="left"/>
        <w:rPr/>
      </w:pPr>
      <w:r>
        <w:rPr>
          <w:rFonts w:ascii="Times New Roman;serif" w:hAnsi="Times New Roman;serif"/>
          <w:b w:val="false"/>
          <w:color w:val="000000"/>
          <w:sz w:val="24"/>
        </w:rPr>
        <w:t>8.</w:t>
      </w:r>
      <w:r>
        <w:rPr>
          <w:rFonts w:ascii="Times New Roman;serif" w:hAnsi="Times New Roman;serif"/>
          <w:b/>
          <w:i/>
          <w:color w:val="000000"/>
          <w:sz w:val="24"/>
        </w:rPr>
        <w:t>Procedures for the Determination of Whether Standards Have Been Satisfied</w:t>
      </w:r>
      <w:r>
        <w:rPr>
          <w:rFonts w:ascii="Times New Roman;serif" w:hAnsi="Times New Roman;serif"/>
          <w:b w:val="false"/>
          <w:color w:val="000000"/>
          <w:sz w:val="24"/>
        </w:rPr>
        <w:t>.</w:t>
      </w:r>
    </w:p>
    <w:p>
      <w:pPr>
        <w:pStyle w:val="TextBody"/>
        <w:bidi w:val="0"/>
        <w:spacing w:lineRule="auto" w:line="288" w:before="238"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Costs</w:t>
      </w:r>
      <w:r>
        <w:rPr>
          <w:rFonts w:ascii="Times New Roman;serif" w:hAnsi="Times New Roman;serif"/>
          <w:b w:val="false"/>
          <w:color w:val="000000"/>
          <w:sz w:val="24"/>
        </w:rPr>
        <w:t>. All costs incurred by the Corporation in making the Determination shall be borne solely by the Corporation, including, but not limited to, the costs of legal counsel, proxy solicitations and judicial determinations. The Corporation shall also be solely responsible for paying all costs incurred by it in defending any suits or Proceedings challenging payments by the Corporation to a Covered Person under these Bylaws.</w:t>
      </w:r>
    </w:p>
    <w:p>
      <w:pPr>
        <w:pStyle w:val="TextBody"/>
        <w:bidi w:val="0"/>
        <w:spacing w:lineRule="auto" w:line="288" w:before="241" w:after="283"/>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Timing of the Determination</w:t>
      </w:r>
      <w:r>
        <w:rPr>
          <w:rFonts w:ascii="Times New Roman;serif" w:hAnsi="Times New Roman;serif"/>
          <w:b w:val="false"/>
          <w:color w:val="000000"/>
          <w:sz w:val="24"/>
        </w:rPr>
        <w:t>. The Corporation shall use its best efforts to make the Determination contemplated by Section 7 of Article V as promptly as is reasonably practicable under the circumstances.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9.</w:t>
      </w:r>
      <w:r>
        <w:rPr>
          <w:rFonts w:ascii="Times New Roman;serif" w:hAnsi="Times New Roman;serif"/>
          <w:b/>
          <w:i/>
          <w:color w:val="000000"/>
          <w:sz w:val="24"/>
        </w:rPr>
        <w:t>Non-exclusivity of Rights</w:t>
      </w:r>
      <w:r>
        <w:rPr>
          <w:rFonts w:ascii="Times New Roman;serif" w:hAnsi="Times New Roman;serif"/>
          <w:b w:val="false"/>
          <w:color w:val="000000"/>
          <w:sz w:val="24"/>
        </w:rPr>
        <w:t>. The rights of indemnification and advancement of Expenses provided in this Article V shall not be deemed exclusive of any other rights to which a person seeking indemnification or advancement of expenses may be entitled under any bylaw, agreement, insurance policy, vote of stockholders or disinterested directors or otherwise, both as to action in his or her official capacity and as to action in another capacity while holding such office. The Corporation is specifically authorized to enter into an agreement with any of its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15975"/>
                <wp:effectExtent l="0" t="0" r="0" b="0"/>
                <wp:wrapNone/>
                <wp:docPr id="63" name="Frame6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directors, officers, employees or agents providing for indemnification and advancement of expenses, including attorneys’ fees, that may change, enhance, qualify or limit any right to indemnification or advancement of Expenses created by this Article V, to the fullest extent not prohibited by the DGCL or other applicable law.</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10.</w:t>
      </w:r>
      <w:r>
        <w:rPr>
          <w:rFonts w:ascii="Times New Roman;serif" w:hAnsi="Times New Roman;serif"/>
          <w:b/>
          <w:i/>
          <w:color w:val="000000"/>
          <w:sz w:val="24"/>
        </w:rPr>
        <w:t>Continuation of Rights</w:t>
      </w:r>
      <w:r>
        <w:rPr>
          <w:rFonts w:ascii="Times New Roman;serif" w:hAnsi="Times New Roman;serif"/>
          <w:b w:val="false"/>
          <w:color w:val="000000"/>
          <w:sz w:val="24"/>
        </w:rPr>
        <w:t>. The rights of indemnification and advancement of Expenses provided in this Article V shall continue as to any person who has ceased to be a director, officer, partner, member, trustee, agent, or employee and shall inure to the benefit of his or her heirs, executors, administrators, and estates.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11.</w:t>
      </w:r>
      <w:r>
        <w:rPr>
          <w:rFonts w:ascii="Times New Roman;serif" w:hAnsi="Times New Roman;serif"/>
          <w:b/>
          <w:i/>
          <w:color w:val="000000"/>
          <w:sz w:val="24"/>
        </w:rPr>
        <w:t>Contract Rights</w:t>
      </w:r>
      <w:r>
        <w:rPr>
          <w:rFonts w:ascii="Times New Roman;serif" w:hAnsi="Times New Roman;serif"/>
          <w:b w:val="false"/>
          <w:color w:val="000000"/>
          <w:sz w:val="24"/>
        </w:rPr>
        <w:t>. Without the necessity of entering into an express contract, the obligations of the Corporation to indemnify a director, officer, partner, member, trustee, agent or employee under this Article V, including the duty to advance Expenses, shall be considered a contract right between the Corporation and such individual and shall be effective to the same extent and as if provided for in a contract between the Corporation and the director or executive officer. Such contract right shall be deemed to vest at the commencement of such individual’s service to or at the request of the Corporation, and no amendment, modification or repeal of this Article V shall affect, to the detriment of such indemnified person and such indemnified person’s heirs, executors, administrators and estate, such obligations of the Corporation in connection with a claim based on any act or failure to act occurring before such modification or repeal.</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12.</w:t>
      </w:r>
      <w:r>
        <w:rPr>
          <w:rFonts w:ascii="Times New Roman;serif" w:hAnsi="Times New Roman;serif"/>
          <w:b/>
          <w:i/>
          <w:color w:val="000000"/>
          <w:sz w:val="24"/>
        </w:rPr>
        <w:t>Subrogation</w:t>
      </w:r>
      <w:r>
        <w:rPr>
          <w:rFonts w:ascii="Times New Roman;serif" w:hAnsi="Times New Roman;serif"/>
          <w:b w:val="false"/>
          <w:color w:val="000000"/>
          <w:sz w:val="24"/>
        </w:rPr>
        <w:t>. In the event of payment of indemnification to a Covered Person, the Corporation shall be subrogated to the extent of such payment to any right of recovery such person may have and such person, as a condition of receiving indemnification from the Corporation, shall execute all documents and do all things that the Corporation may deem necessary or desirable to perfect such right of recovery, including the execution of such documents necessary to enable the Corporation effectively to enforce any such recovery.</w:t>
      </w:r>
    </w:p>
    <w:p>
      <w:pPr>
        <w:pStyle w:val="TextBody"/>
        <w:bidi w:val="0"/>
        <w:spacing w:lineRule="auto" w:line="288" w:before="241" w:after="283"/>
        <w:ind w:left="0" w:right="0" w:firstLine="720"/>
        <w:jc w:val="left"/>
        <w:rPr/>
      </w:pPr>
      <w:r>
        <w:rPr>
          <w:rFonts w:ascii="Times New Roman;serif" w:hAnsi="Times New Roman;serif"/>
          <w:b w:val="false"/>
          <w:color w:val="000000"/>
          <w:sz w:val="24"/>
        </w:rPr>
        <w:t>13.</w:t>
      </w:r>
      <w:r>
        <w:rPr>
          <w:rFonts w:ascii="Times New Roman;serif" w:hAnsi="Times New Roman;serif"/>
          <w:b/>
          <w:i/>
          <w:color w:val="000000"/>
          <w:sz w:val="24"/>
        </w:rPr>
        <w:t>No Duplication of Payments</w:t>
      </w:r>
      <w:r>
        <w:rPr>
          <w:rFonts w:ascii="Times New Roman;serif" w:hAnsi="Times New Roman;serif"/>
          <w:b w:val="false"/>
          <w:color w:val="000000"/>
          <w:sz w:val="24"/>
        </w:rPr>
        <w:t>. The Corporation shall not be liable under this Article V to make any payment in connection with any claim made against a person described in Section 1 or Section 2 of Article V to the extent such person has otherwise received payment (under any insurance policy, bylaw, agreement or otherwise) of the amounts otherwise payable as indemnity hereunder.</w:t>
      </w:r>
    </w:p>
    <w:p>
      <w:pPr>
        <w:pStyle w:val="TextBody"/>
        <w:bidi w:val="0"/>
        <w:spacing w:lineRule="auto" w:line="288" w:before="239" w:after="283"/>
        <w:ind w:left="0" w:right="0" w:hanging="720"/>
        <w:jc w:val="left"/>
        <w:rPr/>
      </w:pPr>
      <w:r>
        <w:rPr>
          <w:rFonts w:ascii="Times New Roman;serif" w:hAnsi="Times New Roman;serif"/>
          <w:b w:val="false"/>
          <w:color w:val="000000"/>
          <w:sz w:val="24"/>
        </w:rPr>
        <w:t>14.</w:t>
      </w:r>
      <w:r>
        <w:rPr>
          <w:rFonts w:ascii="Times New Roman;serif" w:hAnsi="Times New Roman;serif"/>
          <w:b/>
          <w:i/>
          <w:color w:val="000000"/>
          <w:sz w:val="24"/>
        </w:rPr>
        <w:t>Insurance and Funding</w:t>
      </w:r>
      <w:r>
        <w:rPr>
          <w:rFonts w:ascii="Times New Roman;serif" w:hAnsi="Times New Roman;serif"/>
          <w:b w:val="false"/>
          <w:color w:val="000000"/>
          <w:sz w:val="24"/>
        </w:rPr>
        <w:t>.</w:t>
      </w:r>
    </w:p>
    <w:p>
      <w:pPr>
        <w:pStyle w:val="TextBody"/>
        <w:bidi w:val="0"/>
        <w:spacing w:lineRule="auto" w:line="288" w:before="30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(a)The Board of Directors may authorize that the Corporation purchase and maintain, at the Corporation’s expense, insurance to protect the Corporation and any person against any liability or Expenses asserted against or incurred by such person in connection with any Proceeding, whether or not the Corporation would have the power to indemnify such person against such liability or Expenses by law, under this Article V or otherwise. The Corporation may create a trust fund, grant a security interest, or use other means (including, without limitation, a letter of credit) to insure the payment of such sums as may become necessary to effect the indemnification provided herein. </w:t>
      </w:r>
    </w:p>
    <w:p>
      <w:pPr>
        <w:pStyle w:val="TextBody"/>
        <w:bidi w:val="0"/>
        <w:spacing w:lineRule="auto" w:line="240" w:before="300" w:after="283"/>
        <w:ind w:left="0" w:right="0" w:firstLine="1350"/>
        <w:jc w:val="left"/>
        <w:rPr/>
      </w:pPr>
      <w:r>
        <w:rPr>
          <w:rFonts w:ascii="Times New Roman;serif" w:hAnsi="Times New Roman;serif"/>
          <w:b w:val="false"/>
          <w:color w:val="000000"/>
          <w:sz w:val="22"/>
        </w:rPr>
        <w:t>(b)</w:t>
      </w:r>
      <w:r>
        <w:rPr>
          <w:rFonts w:ascii="Times New Roman;serif" w:hAnsi="Times New Roman;serif"/>
          <w:b w:val="false"/>
          <w:color w:val="000000"/>
          <w:sz w:val="24"/>
        </w:rPr>
        <w:t xml:space="preserve">Any full or partial payment by an insurance company under any insurance policy covering any director, officer, employee, agent or other person indemnified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15975"/>
                <wp:effectExtent l="0" t="0" r="0" b="0"/>
                <wp:wrapNone/>
                <wp:docPr id="64" name="Frame6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300" w:after="283"/>
        <w:jc w:val="left"/>
        <w:rPr>
          <w:rFonts w:ascii="Times New Roman;serif" w:hAnsi="Times New Roman;serif"/>
          <w:b w:val="false"/>
          <w:color w:val="000000"/>
          <w:sz w:val="24"/>
        </w:rPr>
      </w:pPr>
      <w:r>
        <w:rPr>
          <w:rFonts w:ascii="Times New Roman;serif" w:hAnsi="Times New Roman;serif"/>
          <w:b w:val="false"/>
          <w:color w:val="000000"/>
          <w:sz w:val="24"/>
        </w:rPr>
        <w:t>this Article V made to or on behalf of such person shall relieve the Corporation of its liability for indemnification provided for under this Article V or otherwise to the extent of such payment, and no insurer shall have a right of subrogation against the Corporation with respect to such payment.</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(c)Any insurance or other financial arrangement made on behalf of a person pursuant to this Section 14 of Article V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14 of Article V and the choice of the person to provide the insurance or other financial arrangement is conclusive; and (ii) the insurance or other financial arrangement is not void or voidable and does not subject any director approving it to personal liability for his or her action, even if a director approving the insurance or other financial arrangement is a beneficiary of the insurance or other financial arrangement.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15.</w:t>
      </w:r>
      <w:r>
        <w:rPr>
          <w:rFonts w:ascii="Times New Roman;serif" w:hAnsi="Times New Roman;serif"/>
          <w:b/>
          <w:i/>
          <w:color w:val="000000"/>
          <w:sz w:val="24"/>
        </w:rPr>
        <w:t>No Imputation</w:t>
      </w:r>
      <w:r>
        <w:rPr>
          <w:rFonts w:ascii="Times New Roman;serif" w:hAnsi="Times New Roman;serif"/>
          <w:b w:val="false"/>
          <w:color w:val="000000"/>
          <w:sz w:val="24"/>
        </w:rPr>
        <w:t>. The knowledge and/or actions, or failure to act, of any other officer, director, employee or agent of the Corporation or an Other Enterprise shall not be imputed to an indemnified person for purposes of determining the right to indemnification under this Article V.</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16.</w:t>
      </w:r>
      <w:r>
        <w:rPr>
          <w:rFonts w:ascii="Times New Roman;serif" w:hAnsi="Times New Roman;serif"/>
          <w:b/>
          <w:i/>
          <w:color w:val="000000"/>
          <w:sz w:val="24"/>
        </w:rPr>
        <w:t>Reliance</w:t>
      </w:r>
      <w:r>
        <w:rPr>
          <w:rFonts w:ascii="Times New Roman;serif" w:hAnsi="Times New Roman;serif"/>
          <w:b w:val="false"/>
          <w:color w:val="000000"/>
          <w:sz w:val="24"/>
        </w:rPr>
        <w:t>. Persons who, after the date of the adoption of this Article V or any amendment thereto, serve or continue to serve the Corporation in an Official Capacity or who, while serving in an Official Capacity, serve or continue to serve in an Official Capacity for an Other Enterprise, shall be conclusively presumed to have relied on the rights to indemnification and advancement of Expenses contained in this Article V.</w:t>
      </w:r>
    </w:p>
    <w:p>
      <w:pPr>
        <w:pStyle w:val="TextBody"/>
        <w:bidi w:val="0"/>
        <w:spacing w:lineRule="auto" w:line="288" w:before="241" w:after="283"/>
        <w:ind w:left="0" w:right="0" w:firstLine="720"/>
        <w:jc w:val="left"/>
        <w:rPr/>
      </w:pPr>
      <w:r>
        <w:rPr>
          <w:rFonts w:ascii="Times New Roman;serif" w:hAnsi="Times New Roman;serif"/>
          <w:b w:val="false"/>
          <w:color w:val="000000"/>
          <w:sz w:val="24"/>
        </w:rPr>
        <w:t>17.</w:t>
      </w:r>
      <w:r>
        <w:rPr>
          <w:rFonts w:ascii="Times New Roman;serif" w:hAnsi="Times New Roman;serif"/>
          <w:b/>
          <w:i/>
          <w:color w:val="000000"/>
          <w:sz w:val="24"/>
        </w:rPr>
        <w:t>Severability</w:t>
      </w:r>
      <w:r>
        <w:rPr>
          <w:rFonts w:ascii="Times New Roman;serif" w:hAnsi="Times New Roman;serif"/>
          <w:b w:val="false"/>
          <w:color w:val="000000"/>
          <w:sz w:val="24"/>
        </w:rPr>
        <w:t>. If this Article V or any portion hereof shall be invalidated on any ground by any court of competent jurisdiction, then the Corporation shall nevertheless indemnify and hold harmless each director and officer and any other person indemnified pursuant to this Article V as to all Expenses with respect to any Proceeding to the full extent permitted by any applicable portion of this Article V that shall not have been invalidated and to the fullest extent permitted by applicable law.</w:t>
      </w:r>
    </w:p>
    <w:p>
      <w:pPr>
        <w:pStyle w:val="TextBody"/>
        <w:bidi w:val="0"/>
        <w:spacing w:lineRule="auto" w:line="288" w:before="238" w:after="283"/>
        <w:ind w:left="0" w:right="0" w:firstLine="720"/>
        <w:jc w:val="left"/>
        <w:rPr/>
      </w:pPr>
      <w:r>
        <w:rPr>
          <w:rFonts w:ascii="Times New Roman;serif" w:hAnsi="Times New Roman;serif"/>
          <w:b w:val="false"/>
          <w:color w:val="000000"/>
          <w:sz w:val="24"/>
        </w:rPr>
        <w:t>18.</w:t>
      </w:r>
      <w:r>
        <w:rPr>
          <w:rFonts w:ascii="Times New Roman;serif" w:hAnsi="Times New Roman;serif"/>
          <w:b/>
          <w:i/>
          <w:color w:val="000000"/>
          <w:sz w:val="24"/>
        </w:rPr>
        <w:t>Notices</w:t>
      </w:r>
      <w:r>
        <w:rPr>
          <w:rFonts w:ascii="Times New Roman;serif" w:hAnsi="Times New Roman;serif"/>
          <w:b w:val="false"/>
          <w:color w:val="000000"/>
          <w:sz w:val="24"/>
        </w:rPr>
        <w:t>. Any notice, request or other communication required or permitted to be given to the Corporation under this Article V shall be in writing and either delivered in person or sent by U.S. mail, overnight courier or by e-mail or other electronic transmission, to the Secretary and shall be effective only upon receipt by the Secretary.</w:t>
      </w:r>
    </w:p>
    <w:p>
      <w:pPr>
        <w:pStyle w:val="TextBody"/>
        <w:bidi w:val="0"/>
        <w:spacing w:lineRule="auto" w:line="288" w:before="241" w:after="283"/>
        <w:ind w:left="0" w:right="0" w:hanging="720"/>
        <w:jc w:val="left"/>
        <w:rPr/>
      </w:pPr>
      <w:r>
        <w:rPr>
          <w:rFonts w:ascii="Times New Roman;serif" w:hAnsi="Times New Roman;serif"/>
          <w:b w:val="false"/>
          <w:color w:val="000000"/>
          <w:sz w:val="24"/>
        </w:rPr>
        <w:t>19.</w:t>
      </w:r>
      <w:r>
        <w:rPr>
          <w:rFonts w:ascii="Times New Roman;serif" w:hAnsi="Times New Roman;serif"/>
          <w:b/>
          <w:i/>
          <w:color w:val="000000"/>
          <w:sz w:val="24"/>
        </w:rPr>
        <w:t>Certain Definitions</w:t>
      </w:r>
      <w:r>
        <w:rPr>
          <w:rFonts w:ascii="Times New Roman;serif" w:hAnsi="Times New Roman;serif"/>
          <w:b w:val="false"/>
          <w:color w:val="000000"/>
          <w:sz w:val="24"/>
        </w:rPr>
        <w:t>.</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(a)The term “</w:t>
      </w:r>
      <w:r>
        <w:rPr>
          <w:rFonts w:ascii="Times New Roman;serif" w:hAnsi="Times New Roman;serif"/>
          <w:b w:val="false"/>
          <w:color w:val="000000"/>
          <w:sz w:val="24"/>
          <w:u w:val="single"/>
        </w:rPr>
        <w:t>Corporation</w:t>
      </w:r>
      <w:r>
        <w:rPr>
          <w:color w:val="000000"/>
        </w:rPr>
        <w:t xml:space="preserve">” </w:t>
      </w:r>
      <w:r>
        <w:rPr>
          <w:rFonts w:ascii="Times New Roman;serif" w:hAnsi="Times New Roman;serif"/>
          <w:b w:val="false"/>
          <w:color w:val="000000"/>
          <w:sz w:val="24"/>
        </w:rPr>
        <w:t>shall include, in addition to H2O America and, in the event of a consolidation or merger involving the Corporation,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15975"/>
                <wp:effectExtent l="0" t="0" r="0" b="0"/>
                <wp:wrapNone/>
                <wp:docPr id="65" name="Frame6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corporation, partnership, joint venture, trust or other enterprise, shall stand in the same position under the provisions of this Article V with respect to the resulting or surviving corporation as such person would have with respect to such constituent corporation if its separate existence had continued.</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(b)The term “</w:t>
      </w:r>
      <w:r>
        <w:rPr>
          <w:rFonts w:ascii="Times New Roman;serif" w:hAnsi="Times New Roman;serif"/>
          <w:b w:val="false"/>
          <w:color w:val="000000"/>
          <w:sz w:val="24"/>
          <w:u w:val="single"/>
        </w:rPr>
        <w:t>Disinterested Director</w:t>
      </w:r>
      <w:r>
        <w:rPr>
          <w:color w:val="000000"/>
        </w:rPr>
        <w:t xml:space="preserve">” </w:t>
      </w:r>
      <w:r>
        <w:rPr>
          <w:rFonts w:ascii="Times New Roman;serif" w:hAnsi="Times New Roman;serif"/>
          <w:b w:val="false"/>
          <w:color w:val="000000"/>
          <w:sz w:val="24"/>
        </w:rPr>
        <w:t>means a director of the Corporation who is not and was not a party to the matter in respect of which indemnification is sought by the Covered Person.</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(c)The term “</w:t>
      </w:r>
      <w:r>
        <w:rPr>
          <w:rFonts w:ascii="Times New Roman;serif" w:hAnsi="Times New Roman;serif"/>
          <w:b w:val="false"/>
          <w:color w:val="000000"/>
          <w:sz w:val="24"/>
          <w:u w:val="single"/>
        </w:rPr>
        <w:t>Expenses</w:t>
      </w:r>
      <w:r>
        <w:rPr>
          <w:color w:val="000000"/>
        </w:rPr>
        <w:t xml:space="preserve">” </w:t>
      </w:r>
      <w:r>
        <w:rPr>
          <w:rFonts w:ascii="Times New Roman;serif" w:hAnsi="Times New Roman;serif"/>
          <w:b w:val="false"/>
          <w:color w:val="000000"/>
          <w:sz w:val="24"/>
        </w:rPr>
        <w:t>shall be broadly construed and shall include, without limitation, all direct and indirect losses, liabilities, expenses, including fees and expenses of attorneys, fees and expenses of accountants, court costs, transcript costs, fees and expenses of experts, witness fees and expenses, travel expenses, printing and binding costs, telephone charges, delivery service fees, the premium, security for, and other costs relating to any bond (including cost bonds, appraisal bonds, or their equivalents), judgments, fines (including excise taxes assessed on a person with respect to an employee benefit plan) and amounts paid in settlement and all other disbursements or expenses of the types customarily incurred in connection with: (i) the investigation, prosecution, defense, appeal or settlement of a Proceeding;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 serving as an actual or prospective witness, or preparing to be a witness in a Proceeding, or other participation in, or other preparation for, any Proceeding; (iii) any compulsory interviews or depositions related to a Proceeding; (iv) any non-compulsory interviews or depositions related to a Proceeding, subject to the person receiving advance written approval by the Corporation to participate in such interviews or depositions; and (v) responding to, or objecting to, a request to provide discovery in any Proceeding. Expenses shall also include any federal, state, local and foreign taxes imposed on such person as a result of the actual or deemed receipt of any payments under this Article V.</w:t>
      </w:r>
    </w:p>
    <w:p>
      <w:pPr>
        <w:pStyle w:val="TextBody"/>
        <w:bidi w:val="0"/>
        <w:spacing w:lineRule="auto" w:line="288" w:before="241" w:after="283"/>
        <w:ind w:left="0" w:right="0" w:firstLine="1440"/>
        <w:jc w:val="left"/>
        <w:rPr/>
      </w:pPr>
      <w:r>
        <w:rPr>
          <w:rFonts w:ascii="Times New Roman;serif" w:hAnsi="Times New Roman;serif"/>
          <w:b w:val="false"/>
          <w:color w:val="000000"/>
          <w:sz w:val="24"/>
        </w:rPr>
        <w:t>(d)The term “</w:t>
      </w:r>
      <w:r>
        <w:rPr>
          <w:rFonts w:ascii="Times New Roman;serif" w:hAnsi="Times New Roman;serif"/>
          <w:b w:val="false"/>
          <w:color w:val="000000"/>
          <w:sz w:val="24"/>
          <w:u w:val="single"/>
        </w:rPr>
        <w:t>Independent Counsel</w:t>
      </w:r>
      <w:r>
        <w:rPr>
          <w:color w:val="000000"/>
        </w:rPr>
        <w:t xml:space="preserve">” </w:t>
      </w:r>
      <w:r>
        <w:rPr>
          <w:rFonts w:ascii="Times New Roman;serif" w:hAnsi="Times New Roman;serif"/>
          <w:b w:val="false"/>
          <w:color w:val="000000"/>
          <w:sz w:val="24"/>
        </w:rPr>
        <w:t>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Covered Person in an action to determine the Covered Person’s rights under this Article V.</w:t>
      </w:r>
    </w:p>
    <w:p>
      <w:pPr>
        <w:pStyle w:val="TextBody"/>
        <w:bidi w:val="0"/>
        <w:spacing w:lineRule="auto" w:line="288" w:before="239" w:after="283"/>
        <w:ind w:left="0" w:right="0" w:firstLine="1440"/>
        <w:jc w:val="left"/>
        <w:rPr/>
      </w:pPr>
      <w:r>
        <w:rPr>
          <w:rFonts w:ascii="Times New Roman;serif" w:hAnsi="Times New Roman;serif"/>
          <w:b w:val="false"/>
          <w:color w:val="000000"/>
          <w:sz w:val="24"/>
        </w:rPr>
        <w:t>(e)The term “</w:t>
      </w:r>
      <w:r>
        <w:rPr>
          <w:rFonts w:ascii="Times New Roman;serif" w:hAnsi="Times New Roman;serif"/>
          <w:b w:val="false"/>
          <w:color w:val="000000"/>
          <w:sz w:val="24"/>
          <w:u w:val="single"/>
        </w:rPr>
        <w:t>Official Capacity</w:t>
      </w:r>
      <w:r>
        <w:rPr>
          <w:color w:val="000000"/>
        </w:rPr>
        <w:t xml:space="preserve">” </w:t>
      </w:r>
      <w:r>
        <w:rPr>
          <w:rFonts w:ascii="Times New Roman;serif" w:hAnsi="Times New Roman;serif"/>
          <w:b w:val="false"/>
          <w:color w:val="000000"/>
          <w:sz w:val="24"/>
        </w:rPr>
        <w:t>shall mean service as a director or officer of the Corporation or service, at the request of the Corporation while serving in an Official Capacity for the Corporation, as a director, officer, partner, member, manager, trustee, employee, agent, or other representative of an Other Enterprise.</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(f)The term “</w:t>
      </w:r>
      <w:r>
        <w:rPr>
          <w:rFonts w:ascii="Times New Roman;serif" w:hAnsi="Times New Roman;serif"/>
          <w:b w:val="false"/>
          <w:color w:val="000000"/>
          <w:sz w:val="24"/>
          <w:u w:val="single"/>
        </w:rPr>
        <w:t>Proceeding</w:t>
      </w:r>
      <w:r>
        <w:rPr>
          <w:color w:val="000000"/>
        </w:rPr>
        <w:t xml:space="preserve">” </w:t>
      </w:r>
      <w:r>
        <w:rPr>
          <w:rFonts w:ascii="Times New Roman;serif" w:hAnsi="Times New Roman;serif"/>
          <w:b w:val="false"/>
          <w:color w:val="000000"/>
          <w:sz w:val="24"/>
        </w:rPr>
        <w:t>shall be broadly construed and shall include, without limitation, the investigation, preparation, prosecution, defense, settlement, mediation, arbitration, and appeal of, and the giving of testimony in, any Proceeding.</w:t>
      </w:r>
    </w:p>
    <w:p>
      <w:pPr>
        <w:pStyle w:val="TextBody"/>
        <w:bidi w:val="0"/>
        <w:spacing w:lineRule="auto" w:line="288" w:before="240" w:after="283"/>
        <w:ind w:left="0" w:right="0" w:firstLine="1440"/>
        <w:jc w:val="left"/>
        <w:rPr/>
      </w:pPr>
      <w:r>
        <w:rPr>
          <w:rFonts w:ascii="Times New Roman;serif" w:hAnsi="Times New Roman;serif"/>
          <w:b w:val="false"/>
          <w:color w:val="000000"/>
          <w:sz w:val="24"/>
        </w:rPr>
        <w:t>(g)The term “</w:t>
      </w:r>
      <w:r>
        <w:rPr>
          <w:rFonts w:ascii="Times New Roman;serif" w:hAnsi="Times New Roman;serif"/>
          <w:b w:val="false"/>
          <w:color w:val="000000"/>
          <w:sz w:val="24"/>
          <w:u w:val="single"/>
        </w:rPr>
        <w:t>serving at the request of the Corporation</w:t>
      </w:r>
      <w:r>
        <w:rPr>
          <w:color w:val="000000"/>
        </w:rPr>
        <w:t xml:space="preserve">” </w:t>
      </w:r>
      <w:r>
        <w:rPr>
          <w:rFonts w:ascii="Times New Roman;serif" w:hAnsi="Times New Roman;serif"/>
          <w:b w:val="false"/>
          <w:color w:val="000000"/>
          <w:sz w:val="24"/>
        </w:rPr>
        <w:t>includes any service as a director, officer, employee, or agent of the Corporation that imposes duties on such persons, including duties relating to an employee benefit plan and its participants or beneficiaries.</w:t>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15975"/>
                <wp:effectExtent l="0" t="0" r="0" b="0"/>
                <wp:wrapNone/>
                <wp:docPr id="66" name="Frame66"/>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ind w:left="0" w:right="0" w:firstLine="1440"/>
        <w:jc w:val="left"/>
        <w:rPr/>
      </w:pPr>
      <w:r>
        <w:rPr>
          <w:rFonts w:ascii="Times New Roman;serif" w:hAnsi="Times New Roman;serif"/>
          <w:b w:val="false"/>
          <w:color w:val="000000"/>
          <w:sz w:val="24"/>
        </w:rPr>
        <w:t>(h)The term “</w:t>
      </w:r>
      <w:r>
        <w:rPr>
          <w:rFonts w:ascii="Times New Roman;serif" w:hAnsi="Times New Roman;serif"/>
          <w:b w:val="false"/>
          <w:color w:val="000000"/>
          <w:sz w:val="24"/>
          <w:u w:val="single"/>
        </w:rPr>
        <w:t>not opposed to the best interest of the Corporation</w:t>
      </w:r>
      <w:r>
        <w:rPr>
          <w:rFonts w:ascii="Times New Roman;serif" w:hAnsi="Times New Roman;serif"/>
          <w:b w:val="false"/>
          <w:color w:val="000000"/>
          <w:sz w:val="24"/>
        </w:rPr>
        <w:t>,” when used in the context of a Covered Person’s service with respect to employee benefit plans maintained or sponsored by the Corporation, describes the actions of a person who acts in good faith and in a manner he or she reasonably believes to be in the best interests of the participants and beneficiaries of an employee benefit plan.</w:t>
      </w:r>
    </w:p>
    <w:p>
      <w:pPr>
        <w:pStyle w:val="TextBody"/>
        <w:bidi w:val="0"/>
        <w:spacing w:lineRule="auto" w:line="556" w:before="240" w:after="283"/>
        <w:ind w:left="0" w:right="0" w:firstLine="1"/>
        <w:jc w:val="center"/>
        <w:rPr>
          <w:rFonts w:ascii="Times New Roman;serif" w:hAnsi="Times New Roman;serif"/>
          <w:b/>
          <w:color w:val="000000"/>
          <w:sz w:val="24"/>
        </w:rPr>
      </w:pPr>
      <w:r>
        <w:rPr>
          <w:rFonts w:ascii="Times New Roman;serif" w:hAnsi="Times New Roman;serif"/>
          <w:b/>
          <w:color w:val="000000"/>
          <w:sz w:val="24"/>
        </w:rPr>
        <w:t>ARTICLE VI MISCELLANEOUS.</w:t>
      </w:r>
    </w:p>
    <w:p>
      <w:pPr>
        <w:pStyle w:val="TextBody"/>
        <w:bidi w:val="0"/>
        <w:spacing w:lineRule="atLeast" w:line="240" w:before="0" w:after="0"/>
        <w:ind w:left="0" w:right="0" w:hanging="719"/>
        <w:jc w:val="left"/>
        <w:rPr/>
      </w:pPr>
      <w:r>
        <w:rPr>
          <w:rFonts w:ascii="Times New Roman;serif" w:hAnsi="Times New Roman;serif"/>
          <w:b w:val="false"/>
          <w:color w:val="000000"/>
          <w:sz w:val="24"/>
        </w:rPr>
        <w:t>1.</w:t>
      </w:r>
      <w:r>
        <w:rPr>
          <w:rFonts w:ascii="Times New Roman;serif" w:hAnsi="Times New Roman;serif"/>
          <w:b/>
          <w:i/>
          <w:color w:val="000000"/>
          <w:sz w:val="24"/>
        </w:rPr>
        <w:t>Delaware Office</w:t>
      </w:r>
      <w:r>
        <w:rPr>
          <w:rFonts w:ascii="Times New Roman;serif" w:hAnsi="Times New Roman;serif"/>
          <w:b w:val="false"/>
          <w:color w:val="000000"/>
          <w:sz w:val="24"/>
        </w:rPr>
        <w:t>. The address of the Corporation’s registered office in the State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Delaware is 850 New Burton Road, Suite 201, in the City of Dover, County of Kent. The name of its registered agent at such address is Cogency Global, Inc.</w:t>
      </w:r>
    </w:p>
    <w:p>
      <w:pPr>
        <w:pStyle w:val="TextBody"/>
        <w:bidi w:val="0"/>
        <w:spacing w:lineRule="auto" w:line="288" w:before="240" w:after="283"/>
        <w:ind w:left="0" w:right="0" w:firstLine="720"/>
        <w:jc w:val="left"/>
        <w:rPr/>
      </w:pPr>
      <w:r>
        <w:rPr>
          <w:rFonts w:ascii="Times New Roman;serif" w:hAnsi="Times New Roman;serif"/>
          <w:b w:val="false"/>
          <w:color w:val="000000"/>
          <w:sz w:val="24"/>
        </w:rPr>
        <w:t>2.</w:t>
      </w:r>
      <w:r>
        <w:rPr>
          <w:rFonts w:ascii="Times New Roman;serif" w:hAnsi="Times New Roman;serif"/>
          <w:b/>
          <w:i/>
          <w:color w:val="000000"/>
          <w:sz w:val="24"/>
        </w:rPr>
        <w:t>Other Offices</w:t>
      </w:r>
      <w:r>
        <w:rPr>
          <w:rFonts w:ascii="Times New Roman;serif" w:hAnsi="Times New Roman;serif"/>
          <w:b w:val="false"/>
          <w:color w:val="000000"/>
          <w:sz w:val="24"/>
        </w:rPr>
        <w:t>. The Corporation may also have an office in the State of California, and such other offices at such places as the Board of Directors from time to time may appoint or the business of the Corporation may require.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3.</w:t>
      </w:r>
      <w:r>
        <w:rPr>
          <w:rFonts w:ascii="Times New Roman;serif" w:hAnsi="Times New Roman;serif"/>
          <w:b/>
          <w:i/>
          <w:color w:val="000000"/>
          <w:sz w:val="24"/>
        </w:rPr>
        <w:t>Seal</w:t>
      </w:r>
      <w:r>
        <w:rPr>
          <w:rFonts w:ascii="Times New Roman;serif" w:hAnsi="Times New Roman;serif"/>
          <w:b w:val="false"/>
          <w:color w:val="000000"/>
          <w:sz w:val="24"/>
        </w:rPr>
        <w:t>. The corporate seal, if any, shall be in the form adopted by the Board of Directors. Said seal may be used by causing it or a facsimile thereof to be impressed or affixed or reproduced or otherwise. The seal may be affixed by any officer of the Corporation to any instrument executed by authority of the Corporation, and the seal when so affixed may be attested by the signature of any officer of the Corporation.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4.</w:t>
      </w:r>
      <w:r>
        <w:rPr>
          <w:rFonts w:ascii="Times New Roman;serif" w:hAnsi="Times New Roman;serif"/>
          <w:b/>
          <w:i/>
          <w:color w:val="000000"/>
          <w:sz w:val="24"/>
        </w:rPr>
        <w:t>Instruments in Writing</w:t>
      </w:r>
      <w:r>
        <w:rPr>
          <w:rFonts w:ascii="Times New Roman;serif" w:hAnsi="Times New Roman;serif"/>
          <w:b w:val="false"/>
          <w:color w:val="000000"/>
          <w:sz w:val="24"/>
        </w:rPr>
        <w:t>. The Board of Directors, except as otherwise provided in these Bylaws, may authorize any officer or officers, or agent or agents, to enter into any contract or execute any instrument in the name of or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lineRule="auto" w:line="288" w:before="239" w:after="283"/>
        <w:ind w:left="0" w:right="0" w:firstLine="720"/>
        <w:jc w:val="left"/>
        <w:rPr/>
      </w:pPr>
      <w:r>
        <w:rPr>
          <w:rFonts w:ascii="Times New Roman;serif" w:hAnsi="Times New Roman;serif"/>
          <w:b w:val="false"/>
          <w:color w:val="000000"/>
          <w:sz w:val="24"/>
        </w:rPr>
        <w:t>5.</w:t>
      </w:r>
      <w:r>
        <w:rPr>
          <w:rFonts w:ascii="Times New Roman;serif" w:hAnsi="Times New Roman;serif"/>
          <w:b/>
          <w:i/>
          <w:color w:val="000000"/>
          <w:sz w:val="24"/>
        </w:rPr>
        <w:t>Notice</w:t>
      </w:r>
      <w:r>
        <w:rPr>
          <w:rFonts w:ascii="Times New Roman;serif" w:hAnsi="Times New Roman;serif"/>
          <w:b w:val="false"/>
          <w:color w:val="000000"/>
          <w:sz w:val="24"/>
        </w:rPr>
        <w:t>. Whenever notice is required to be given by law, the Certificate of Incorporation or these Bylaws, a written waiver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pStyle w:val="TextBody"/>
        <w:bidi w:val="0"/>
        <w:spacing w:lineRule="auto" w:line="288" w:before="241" w:after="283"/>
        <w:ind w:left="0" w:right="0" w:firstLine="720"/>
        <w:jc w:val="left"/>
        <w:rPr/>
      </w:pPr>
      <w:r>
        <w:rPr>
          <w:rFonts w:ascii="Times New Roman;serif" w:hAnsi="Times New Roman;serif"/>
          <w:b w:val="false"/>
          <w:color w:val="000000"/>
          <w:sz w:val="24"/>
        </w:rPr>
        <w:t>6.</w:t>
      </w:r>
      <w:r>
        <w:rPr>
          <w:rFonts w:ascii="Times New Roman;serif" w:hAnsi="Times New Roman;serif"/>
          <w:b/>
          <w:i/>
          <w:color w:val="000000"/>
          <w:sz w:val="24"/>
        </w:rPr>
        <w:t>Amendments</w:t>
      </w:r>
      <w:r>
        <w:rPr>
          <w:rFonts w:ascii="Times New Roman;serif" w:hAnsi="Times New Roman;serif"/>
          <w:b w:val="false"/>
          <w:color w:val="000000"/>
          <w:sz w:val="24"/>
        </w:rPr>
        <w:t xml:space="preserve">. The Board of Directors shall have the power to adopt, amend or repeal the Bylaws of the Corporation by the affirmative action of a majority of its members. The Bylaws may be adopted, amended, or repealed by the affirmative vote of a majority of the stock issued and outstanding and entitled to vote at any regular meeting of the stockholders or at any special meeting of the stockholders if notice of such proposed adoption, amendment or repeal be contained in the notice of such meeting.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7.</w:t>
      </w:r>
      <w:r>
        <w:rPr>
          <w:rFonts w:ascii="Times New Roman;serif" w:hAnsi="Times New Roman;serif"/>
          <w:b/>
          <w:i/>
          <w:color w:val="000000"/>
          <w:sz w:val="24"/>
        </w:rPr>
        <w:t>Checks</w:t>
      </w:r>
      <w:r>
        <w:rPr>
          <w:rFonts w:ascii="Times New Roman;serif" w:hAnsi="Times New Roman;serif"/>
          <w:b w:val="false"/>
          <w:color w:val="000000"/>
          <w:sz w:val="24"/>
        </w:rPr>
        <w:t>. All checks, drafts, notes, and other orders for the payment of money shall be signed by such officer or officers or agents as from time to time may be designated by</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15975"/>
                <wp:effectExtent l="0" t="0" r="0" b="0"/>
                <wp:wrapNone/>
                <wp:docPr id="67" name="Frame67"/>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the Board of Directors or by such officers of the Corporation as may be designated by the Board of Directors to make such designation.</w:t>
      </w:r>
    </w:p>
    <w:p>
      <w:pPr>
        <w:pStyle w:val="TextBody"/>
        <w:bidi w:val="0"/>
        <w:spacing w:lineRule="auto" w:line="288" w:before="240" w:after="283"/>
        <w:ind w:left="0" w:right="0" w:firstLine="720"/>
        <w:jc w:val="left"/>
        <w:rPr/>
      </w:pPr>
      <w:r>
        <w:rPr>
          <w:rFonts w:ascii="Times New Roman;serif" w:hAnsi="Times New Roman;serif"/>
          <w:b w:val="false"/>
          <w:color w:val="000000"/>
          <w:sz w:val="24"/>
        </w:rPr>
        <w:t>8.</w:t>
      </w:r>
      <w:r>
        <w:rPr>
          <w:rFonts w:ascii="Times New Roman;serif" w:hAnsi="Times New Roman;serif"/>
          <w:b/>
          <w:i/>
          <w:color w:val="000000"/>
          <w:sz w:val="24"/>
        </w:rPr>
        <w:t>Fiscal Year</w:t>
      </w:r>
      <w:r>
        <w:rPr>
          <w:rFonts w:ascii="Times New Roman;serif" w:hAnsi="Times New Roman;serif"/>
          <w:b w:val="false"/>
          <w:color w:val="000000"/>
          <w:sz w:val="24"/>
        </w:rPr>
        <w:t>. The fiscal year of the Corporation shall end on December 31st unless otherwise determined by resolution of the Board of Directors.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w:t>
      </w:r>
      <w:r>
        <w:rPr>
          <w:rFonts w:ascii="Times New Roman;serif" w:hAnsi="Times New Roman;serif"/>
          <w:b/>
          <w:i/>
          <w:color w:val="000000"/>
          <w:sz w:val="24"/>
        </w:rPr>
        <w:t>Electronic Signatures</w:t>
      </w:r>
      <w:r>
        <w:rPr>
          <w:rFonts w:ascii="Times New Roman;serif" w:hAnsi="Times New Roman;serif"/>
          <w:b w:val="false"/>
          <w:color w:val="000000"/>
          <w:sz w:val="24"/>
        </w:rPr>
        <w:t>. Unless otherwise required by law, whenever the Certificate of Incorporation or these Bylaws require or permit a signature, such signature may be a manual, facsimile, conformed or electronic signature.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15975"/>
                <wp:effectExtent l="0" t="0" r="0" b="0"/>
                <wp:wrapNone/>
                <wp:docPr id="68" name="Frame68"/>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center"/>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31.1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Andrew F. Walters,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H2O America (the “registrant”);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4185"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31.2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Ann P. Kelly,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H2O America (the “registrant”);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91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919"/>
        <w:gridCol w:w="919"/>
        <w:gridCol w:w="13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P.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P. Kelly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H2O America (the “Company”) on Form 10-Q for the quarter ended June 30, 2025, as filed with the Securities and Exchange Commission on the date hereof (the “Report”), I, Andrew F. Walters, Chief Executive Officer,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2757" w:type="dxa"/>
        <w:jc w:val="center"/>
        <w:tblInd w:w="0" w:type="dxa"/>
        <w:tblLayout w:type="fixed"/>
        <w:tblCellMar>
          <w:top w:w="28" w:type="dxa"/>
          <w:left w:w="28" w:type="dxa"/>
          <w:bottom w:w="28" w:type="dxa"/>
          <w:right w:w="28" w:type="dxa"/>
        </w:tblCellMar>
      </w:tblPr>
      <w:tblGrid>
        <w:gridCol w:w="863"/>
        <w:gridCol w:w="760"/>
        <w:gridCol w:w="762"/>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H2O America (the “Company”) on Form 10-Q for the quarter ended June 30, 2025, as filed with the Securities and Exchange Commission on the date hereof (the “Report”), I, Ann P. Kelly, Chief Financial Officer and Treasurer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3492" w:type="dxa"/>
        <w:jc w:val="center"/>
        <w:tblInd w:w="0" w:type="dxa"/>
        <w:tblLayout w:type="fixed"/>
        <w:tblCellMar>
          <w:top w:w="28" w:type="dxa"/>
          <w:left w:w="28" w:type="dxa"/>
          <w:bottom w:w="28" w:type="dxa"/>
          <w:right w:w="28" w:type="dxa"/>
        </w:tblCellMar>
      </w:tblPr>
      <w:tblGrid>
        <w:gridCol w:w="1130"/>
        <w:gridCol w:w="993"/>
        <w:gridCol w:w="997"/>
        <w:gridCol w:w="109"/>
        <w:gridCol w:w="109"/>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ANN P.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 P. Kelly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6829/000076682925000048/exhibit31-amendmenttocerti.htm" TargetMode="External"/><Relationship Id="rId3" Type="http://schemas.openxmlformats.org/officeDocument/2006/relationships/hyperlink" Target="https://www.sec.gov/Archives/edgar/data/766829/000110465925066289/tm2519459d1_ex2-1.htm" TargetMode="External"/><Relationship Id="rId4" Type="http://schemas.openxmlformats.org/officeDocument/2006/relationships/hyperlink" Target="https://www.sec.gov/Archives/edgar/data/766829/000110465925066289/tm2519459d1_ex2-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36611</Words>
  <Characters>196700</Characters>
  <CharactersWithSpaces>232178</CharactersWithSpaces>
  <Paragraphs>2494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