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ATLAS Infrastructure Partners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COLLEGE HILL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H2O AMERICA</w:t>
              </w:r>
            </w:hyperlink>
            <w:r>
              <w:rPr/>
              <w:t xml:space="preserve"> [ </w:t>
            </w:r>
            <w:r>
              <w:rPr>
                <w:rFonts w:ascii="Times;serif" w:hAnsi="Times;serif"/>
                <w:color w:val="0000FF"/>
                <w:sz w:val="24"/>
                <w:shd w:fill="FFFFFF" w:val="clear"/>
              </w:rPr>
              <w:t>HTO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04/13/2026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purpose of this amendment is to reflect that the Reporting Persons do not have, and at no time had, beneficial ownership of the Issuer's common stock (the "Shares") due to the application of an exemption under Rule 16a-1(a)(1) under the Securities Exchange Act of 1934 (the "Exchange Act"). Atlas Infrastructure Partners (UK) Ltd. (the "Adviser"), which is registered as an investment adviser under Section 203 of the Investment Advisers Act of 1940, does not have beneficial ownership of the Shares pursuant to Rule 16a-1(a)(1)(v). The Adviser did not acquire any Shares with the purpose or effect of changing or influencing control of the Issuer or engaging in any arrangement subject to Rule 13d-3(b). Any Shares held by the Adviser are held for the benefit of third-party investors. GIP ATLAS Holdings Ltd. is the sole owner of the Adviser but does not exercise investment discretion with respect to the entity. As a result, the Reporting Persons were not obligated to file the Form 4 pursuant to Section 16(a) of the Exchange Act and the transactions reported therein were not matchable pursuant to Section 16(b)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Toni Rizk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953" TargetMode="External"/><Relationship Id="rId5" Type="http://schemas.openxmlformats.org/officeDocument/2006/relationships/hyperlink" Target="http://www.sec.gov/cgi-bin/browse-edgar?action=getcompany&amp;CIK=0000766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4003</Characters>
  <CharactersWithSpaces>4689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