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36"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2024</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9"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1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w:t>
            </w:r>
          </w:p>
        </w:tc>
        <w:tc>
          <w:tcPr>
            <w:tcW w:w="2320" w:type="dxa"/>
            <w:vAlign w:val="bottom"/>
          </w:tcPr>
          <w:p>
            <w:pPr>
              <w:spacing w:after="0"/>
              <w:rPr>
                <w:sz w:val="16"/>
                <w:szCs w:val="16"/>
                <w:color w:val="auto"/>
              </w:rPr>
            </w:pPr>
          </w:p>
        </w:tc>
      </w:tr>
      <w:tr>
        <w:trPr>
          <w:trHeight w:val="187"/>
        </w:trPr>
        <w:tc>
          <w:tcPr>
            <w:tcW w:w="1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700" w:type="dxa"/>
            <w:vAlign w:val="bottom"/>
            <w:gridSpan w:val="3"/>
          </w:tcPr>
          <w:p>
            <w:pPr>
              <w:jc w:val="center"/>
              <w:ind w:left="143"/>
              <w:spacing w:after="0"/>
              <w:rPr>
                <w:sz w:val="20"/>
                <w:szCs w:val="20"/>
                <w:color w:val="auto"/>
              </w:rPr>
            </w:pPr>
            <w:r>
              <w:rPr>
                <w:rFonts w:ascii="Times New Roman" w:cs="Times New Roman" w:eastAsia="Times New Roman" w:hAnsi="Times New Roman"/>
                <w:sz w:val="16"/>
                <w:szCs w:val="16"/>
                <w:b w:val="1"/>
                <w:bCs w:val="1"/>
                <w:color w:val="auto"/>
              </w:rPr>
              <w:t>Commission file number: 001-8966</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447"/>
        </w:trPr>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700" w:type="dxa"/>
            <w:vAlign w:val="bottom"/>
            <w:gridSpan w:val="3"/>
          </w:tcPr>
          <w:p>
            <w:pPr>
              <w:jc w:val="center"/>
              <w:ind w:left="123"/>
              <w:spacing w:after="0"/>
              <w:rPr>
                <w:sz w:val="20"/>
                <w:szCs w:val="20"/>
                <w:color w:val="auto"/>
              </w:rPr>
            </w:pPr>
            <w:r>
              <w:rPr>
                <w:rFonts w:ascii="Times New Roman" w:cs="Times New Roman" w:eastAsia="Times New Roman" w:hAnsi="Times New Roman"/>
                <w:sz w:val="36"/>
                <w:szCs w:val="36"/>
                <w:b w:val="1"/>
                <w:bCs w:val="1"/>
                <w:color w:val="auto"/>
                <w:w w:val="99"/>
              </w:rPr>
              <w:t>SJW GROUP</w:t>
            </w: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12"/>
        </w:trPr>
        <w:tc>
          <w:tcPr>
            <w:tcW w:w="1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60" w:type="dxa"/>
            <w:vAlign w:val="bottom"/>
            <w:gridSpan w:val="6"/>
          </w:tcPr>
          <w:p>
            <w:pPr>
              <w:jc w:val="center"/>
              <w:ind w:right="365"/>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2320" w:type="dxa"/>
            <w:vAlign w:val="bottom"/>
          </w:tcPr>
          <w:p>
            <w:pPr>
              <w:spacing w:after="0"/>
              <w:rPr>
                <w:sz w:val="18"/>
                <w:szCs w:val="18"/>
                <w:color w:val="auto"/>
              </w:rPr>
            </w:pPr>
          </w:p>
        </w:tc>
      </w:tr>
      <w:tr>
        <w:trPr>
          <w:trHeight w:val="229"/>
        </w:trPr>
        <w:tc>
          <w:tcPr>
            <w:tcW w:w="1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740" w:type="dxa"/>
            <w:vAlign w:val="bottom"/>
            <w:gridSpan w:val="3"/>
          </w:tcPr>
          <w:p>
            <w:pPr>
              <w:jc w:val="right"/>
              <w:ind w:right="2039"/>
              <w:spacing w:after="0"/>
              <w:rPr>
                <w:sz w:val="20"/>
                <w:szCs w:val="20"/>
                <w:color w:val="auto"/>
              </w:rPr>
            </w:pPr>
            <w:r>
              <w:rPr>
                <w:rFonts w:ascii="Times New Roman" w:cs="Times New Roman" w:eastAsia="Times New Roman" w:hAnsi="Times New Roman"/>
                <w:sz w:val="16"/>
                <w:szCs w:val="16"/>
                <w:b w:val="1"/>
                <w:bCs w:val="1"/>
                <w:color w:val="auto"/>
              </w:rPr>
              <w:t>77-0066628</w:t>
            </w:r>
          </w:p>
        </w:tc>
      </w:tr>
      <w:tr>
        <w:trPr>
          <w:trHeight w:val="198"/>
        </w:trPr>
        <w:tc>
          <w:tcPr>
            <w:tcW w:w="6860" w:type="dxa"/>
            <w:vAlign w:val="bottom"/>
            <w:gridSpan w:val="7"/>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740" w:type="dxa"/>
            <w:vAlign w:val="bottom"/>
            <w:gridSpan w:val="3"/>
          </w:tcPr>
          <w:p>
            <w:pPr>
              <w:jc w:val="center"/>
              <w:ind w:right="121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23"/>
        </w:trPr>
        <w:tc>
          <w:tcPr>
            <w:tcW w:w="1480" w:type="dxa"/>
            <w:vAlign w:val="bottom"/>
          </w:tcPr>
          <w:p>
            <w:pPr>
              <w:spacing w:after="0"/>
              <w:rPr>
                <w:sz w:val="24"/>
                <w:szCs w:val="24"/>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110 West Taylor Street,</w:t>
            </w:r>
          </w:p>
        </w:tc>
        <w:tc>
          <w:tcPr>
            <w:tcW w:w="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San Jose,</w:t>
            </w:r>
          </w:p>
        </w:tc>
        <w:tc>
          <w:tcPr>
            <w:tcW w:w="270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CA</w:t>
            </w:r>
          </w:p>
        </w:tc>
        <w:tc>
          <w:tcPr>
            <w:tcW w:w="3740" w:type="dxa"/>
            <w:vAlign w:val="bottom"/>
            <w:gridSpan w:val="3"/>
          </w:tcPr>
          <w:p>
            <w:pPr>
              <w:jc w:val="right"/>
              <w:ind w:right="2239"/>
              <w:spacing w:after="0"/>
              <w:rPr>
                <w:sz w:val="20"/>
                <w:szCs w:val="20"/>
                <w:color w:val="auto"/>
              </w:rPr>
            </w:pPr>
            <w:r>
              <w:rPr>
                <w:rFonts w:ascii="Times New Roman" w:cs="Times New Roman" w:eastAsia="Times New Roman" w:hAnsi="Times New Roman"/>
                <w:sz w:val="16"/>
                <w:szCs w:val="16"/>
                <w:b w:val="1"/>
                <w:bCs w:val="1"/>
                <w:color w:val="auto"/>
              </w:rPr>
              <w:t>95110</w:t>
            </w:r>
          </w:p>
        </w:tc>
      </w:tr>
      <w:tr>
        <w:trPr>
          <w:trHeight w:val="190"/>
        </w:trPr>
        <w:tc>
          <w:tcPr>
            <w:tcW w:w="1480" w:type="dxa"/>
            <w:vAlign w:val="bottom"/>
          </w:tcPr>
          <w:p>
            <w:pPr>
              <w:spacing w:after="0"/>
              <w:rPr>
                <w:sz w:val="16"/>
                <w:szCs w:val="16"/>
                <w:color w:val="auto"/>
              </w:rPr>
            </w:pPr>
          </w:p>
        </w:tc>
        <w:tc>
          <w:tcPr>
            <w:tcW w:w="5380" w:type="dxa"/>
            <w:vAlign w:val="bottom"/>
            <w:gridSpan w:val="6"/>
          </w:tcPr>
          <w:p>
            <w:pPr>
              <w:jc w:val="center"/>
              <w:ind w:right="22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720" w:type="dxa"/>
            <w:vAlign w:val="bottom"/>
          </w:tcPr>
          <w:p>
            <w:pPr>
              <w:spacing w:after="0"/>
              <w:rPr>
                <w:sz w:val="16"/>
                <w:szCs w:val="16"/>
                <w:color w:val="auto"/>
              </w:rPr>
            </w:pPr>
          </w:p>
        </w:tc>
        <w:tc>
          <w:tcPr>
            <w:tcW w:w="3020" w:type="dxa"/>
            <w:vAlign w:val="bottom"/>
            <w:gridSpan w:val="2"/>
          </w:tcPr>
          <w:p>
            <w:pPr>
              <w:jc w:val="center"/>
              <w:ind w:right="191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36"/>
        </w:trPr>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40" w:type="dxa"/>
            <w:vAlign w:val="bottom"/>
            <w:gridSpan w:val="2"/>
          </w:tcPr>
          <w:p>
            <w:pPr>
              <w:jc w:val="center"/>
              <w:ind w:left="803"/>
              <w:spacing w:after="0"/>
              <w:rPr>
                <w:sz w:val="20"/>
                <w:szCs w:val="20"/>
                <w:color w:val="auto"/>
              </w:rPr>
            </w:pPr>
            <w:r>
              <w:rPr>
                <w:rFonts w:ascii="Times New Roman" w:cs="Times New Roman" w:eastAsia="Times New Roman" w:hAnsi="Times New Roman"/>
                <w:sz w:val="16"/>
                <w:szCs w:val="16"/>
                <w:b w:val="1"/>
                <w:bCs w:val="1"/>
                <w:color w:val="auto"/>
              </w:rPr>
              <w:t>(408) 279-7800</w:t>
            </w: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90"/>
        </w:trPr>
        <w:tc>
          <w:tcPr>
            <w:tcW w:w="1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60" w:type="dxa"/>
            <w:vAlign w:val="bottom"/>
            <w:gridSpan w:val="6"/>
          </w:tcPr>
          <w:p>
            <w:pPr>
              <w:jc w:val="center"/>
              <w:ind w:right="38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320" w:type="dxa"/>
            <w:vAlign w:val="bottom"/>
          </w:tcPr>
          <w:p>
            <w:pPr>
              <w:spacing w:after="0"/>
              <w:rPr>
                <w:sz w:val="16"/>
                <w:szCs w:val="16"/>
                <w:color w:val="auto"/>
              </w:rPr>
            </w:pPr>
          </w:p>
        </w:tc>
      </w:tr>
      <w:tr>
        <w:trPr>
          <w:trHeight w:val="215"/>
        </w:trPr>
        <w:tc>
          <w:tcPr>
            <w:tcW w:w="1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4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Not Applicable</w:t>
            </w: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189"/>
        </w:trPr>
        <w:tc>
          <w:tcPr>
            <w:tcW w:w="1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580" w:type="dxa"/>
            <w:vAlign w:val="bottom"/>
            <w:gridSpan w:val="7"/>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tc>
        <w:tc>
          <w:tcPr>
            <w:tcW w:w="2320" w:type="dxa"/>
            <w:vAlign w:val="bottom"/>
          </w:tcPr>
          <w:p>
            <w:pPr>
              <w:spacing w:after="0"/>
              <w:rPr>
                <w:sz w:val="16"/>
                <w:szCs w:val="16"/>
                <w:color w:val="auto"/>
              </w:rPr>
            </w:pPr>
          </w:p>
        </w:tc>
      </w:tr>
      <w:tr>
        <w:trPr>
          <w:trHeight w:val="190"/>
        </w:trPr>
        <w:tc>
          <w:tcPr>
            <w:tcW w:w="1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60" w:type="dxa"/>
            <w:vAlign w:val="bottom"/>
            <w:gridSpan w:val="6"/>
          </w:tcPr>
          <w:p>
            <w:pPr>
              <w:jc w:val="center"/>
              <w:ind w:right="385"/>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320" w:type="dxa"/>
            <w:vAlign w:val="bottom"/>
          </w:tcPr>
          <w:p>
            <w:pPr>
              <w:spacing w:after="0"/>
              <w:rPr>
                <w:sz w:val="16"/>
                <w:szCs w:val="16"/>
                <w:color w:val="auto"/>
              </w:rPr>
            </w:pPr>
          </w:p>
        </w:tc>
      </w:tr>
      <w:tr>
        <w:trPr>
          <w:trHeight w:val="226"/>
        </w:trPr>
        <w:tc>
          <w:tcPr>
            <w:tcW w:w="1480" w:type="dxa"/>
            <w:vAlign w:val="bottom"/>
          </w:tcPr>
          <w:p>
            <w:pPr>
              <w:spacing w:after="0"/>
              <w:rPr>
                <w:sz w:val="19"/>
                <w:szCs w:val="19"/>
                <w:color w:val="auto"/>
              </w:rPr>
            </w:pPr>
          </w:p>
        </w:tc>
        <w:tc>
          <w:tcPr>
            <w:tcW w:w="1940" w:type="dxa"/>
            <w:vAlign w:val="bottom"/>
            <w:gridSpan w:val="2"/>
          </w:tcPr>
          <w:p>
            <w:pPr>
              <w:jc w:val="center"/>
              <w:ind w:right="644"/>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740" w:type="dxa"/>
            <w:vAlign w:val="bottom"/>
          </w:tcPr>
          <w:p>
            <w:pPr>
              <w:spacing w:after="0"/>
              <w:rPr>
                <w:sz w:val="19"/>
                <w:szCs w:val="19"/>
                <w:color w:val="auto"/>
              </w:rPr>
            </w:pPr>
          </w:p>
        </w:tc>
        <w:tc>
          <w:tcPr>
            <w:tcW w:w="2700" w:type="dxa"/>
            <w:vAlign w:val="bottom"/>
            <w:gridSpan w:val="3"/>
          </w:tcPr>
          <w:p>
            <w:pPr>
              <w:jc w:val="center"/>
              <w:ind w:left="3"/>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720" w:type="dxa"/>
            <w:vAlign w:val="bottom"/>
          </w:tcPr>
          <w:p>
            <w:pPr>
              <w:spacing w:after="0"/>
              <w:rPr>
                <w:sz w:val="19"/>
                <w:szCs w:val="19"/>
                <w:color w:val="auto"/>
              </w:rPr>
            </w:pPr>
          </w:p>
        </w:tc>
        <w:tc>
          <w:tcPr>
            <w:tcW w:w="3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4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20" w:type="dxa"/>
            <w:vAlign w:val="bottom"/>
            <w:gridSpan w:val="2"/>
            <w:shd w:val="clear" w:color="auto" w:fill="000000"/>
          </w:tcPr>
          <w:p>
            <w:pPr>
              <w:spacing w:after="0" w:line="20" w:lineRule="exact"/>
              <w:rPr>
                <w:sz w:val="1"/>
                <w:szCs w:val="1"/>
                <w:color w:val="auto"/>
              </w:rPr>
            </w:pPr>
          </w:p>
        </w:tc>
      </w:tr>
      <w:tr>
        <w:trPr>
          <w:trHeight w:val="200"/>
        </w:trPr>
        <w:tc>
          <w:tcPr>
            <w:tcW w:w="3420" w:type="dxa"/>
            <w:vAlign w:val="bottom"/>
            <w:gridSpan w:val="3"/>
          </w:tcPr>
          <w:p>
            <w:pPr>
              <w:jc w:val="center"/>
              <w:ind w:left="704"/>
              <w:spacing w:after="0"/>
              <w:rPr>
                <w:sz w:val="20"/>
                <w:szCs w:val="20"/>
                <w:color w:val="auto"/>
              </w:rPr>
            </w:pPr>
            <w:r>
              <w:rPr>
                <w:rFonts w:ascii="Times New Roman" w:cs="Times New Roman" w:eastAsia="Times New Roman" w:hAnsi="Times New Roman"/>
                <w:sz w:val="14"/>
                <w:szCs w:val="14"/>
                <w:b w:val="1"/>
                <w:bCs w:val="1"/>
                <w:color w:val="auto"/>
              </w:rPr>
              <w:t>Common Stock, par value $0.001 per share</w:t>
            </w: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SJW</w:t>
            </w:r>
          </w:p>
        </w:tc>
        <w:tc>
          <w:tcPr>
            <w:tcW w:w="720" w:type="dxa"/>
            <w:vAlign w:val="bottom"/>
          </w:tcPr>
          <w:p>
            <w:pPr>
              <w:spacing w:after="0"/>
              <w:rPr>
                <w:sz w:val="17"/>
                <w:szCs w:val="17"/>
                <w:color w:val="auto"/>
              </w:rPr>
            </w:pPr>
          </w:p>
        </w:tc>
        <w:tc>
          <w:tcPr>
            <w:tcW w:w="3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r>
        <w:trPr>
          <w:trHeight w:val="328"/>
        </w:trPr>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60" w:type="dxa"/>
            <w:vAlign w:val="bottom"/>
            <w:gridSpan w:val="6"/>
          </w:tcPr>
          <w:p>
            <w:pPr>
              <w:jc w:val="center"/>
              <w:ind w:right="385"/>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c>
          <w:tcPr>
            <w:tcW w:w="2320" w:type="dxa"/>
            <w:vAlign w:val="bottom"/>
          </w:tcPr>
          <w:p>
            <w:pPr>
              <w:spacing w:after="0"/>
              <w:rPr>
                <w:sz w:val="24"/>
                <w:szCs w:val="24"/>
                <w:color w:val="auto"/>
              </w:rPr>
            </w:pPr>
          </w:p>
        </w:tc>
      </w:tr>
      <w:tr>
        <w:trPr>
          <w:trHeight w:val="216"/>
        </w:trPr>
        <w:tc>
          <w:tcPr>
            <w:tcW w:w="1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4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None</w:t>
            </w: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80"/>
        </w:trPr>
        <w:tc>
          <w:tcPr>
            <w:tcW w:w="8280" w:type="dxa"/>
            <w:vAlign w:val="bottom"/>
            <w:gridSpan w:val="9"/>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highlight w:val="black"/>
              </w:rPr>
              <w:t>☒</w:t>
            </w:r>
          </w:p>
        </w:tc>
        <w:tc>
          <w:tcPr>
            <w:tcW w:w="232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highlight w:val="black"/>
              </w:rPr>
              <w:t>☐</w:t>
            </w:r>
          </w:p>
        </w:tc>
      </w:tr>
      <w:tr>
        <w:trPr>
          <w:trHeight w:val="272"/>
        </w:trPr>
        <w:tc>
          <w:tcPr>
            <w:tcW w:w="8280" w:type="dxa"/>
            <w:vAlign w:val="bottom"/>
            <w:gridSpan w:val="9"/>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highlight w:val="black"/>
              </w:rPr>
              <w:t>☐</w:t>
            </w:r>
          </w:p>
        </w:tc>
        <w:tc>
          <w:tcPr>
            <w:tcW w:w="2320" w:type="dxa"/>
            <w:vAlign w:val="bottom"/>
          </w:tcPr>
          <w:p>
            <w:pPr>
              <w:ind w:left="14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bl>
    <w:p>
      <w:pPr>
        <w:spacing w:after="0" w:line="34"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highlight w:val="black"/>
        </w:rPr>
        <w:t>☐</w:t>
      </w:r>
    </w:p>
    <w:p>
      <w:pPr>
        <w:spacing w:after="0" w:line="74"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highlight w:val="black"/>
        </w:rPr>
        <w:t>☐</w:t>
      </w:r>
    </w:p>
    <w:p>
      <w:pPr>
        <w:spacing w:after="0" w:line="21" w:lineRule="exact"/>
        <w:rPr>
          <w:sz w:val="24"/>
          <w:szCs w:val="24"/>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emerging growth company. See definition of “large accelerated filer,” “accelerated filer,” “smaller reporting company,” and “emerging growth company,” in Rule 12b-2 of the Exchange Act.</w:t>
      </w:r>
    </w:p>
    <w:p>
      <w:pPr>
        <w:spacing w:after="0" w:line="1" w:lineRule="exact"/>
        <w:rPr>
          <w:sz w:val="24"/>
          <w:szCs w:val="24"/>
          <w:color w:val="auto"/>
        </w:rPr>
      </w:pPr>
    </w:p>
    <w:p>
      <w:pPr>
        <w:spacing w:after="0" w:line="184" w:lineRule="exact"/>
        <w:tabs>
          <w:tab w:leader="none" w:pos="1820" w:val="left"/>
          <w:tab w:leader="none" w:pos="3300" w:val="left"/>
          <w:tab w:leader="none" w:pos="5060" w:val="left"/>
          <w:tab w:leader="none" w:pos="722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Accelerated filer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ab/>
        <w:t xml:space="preserve">Non-accelerated filer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ab/>
        <w:t xml:space="preserve">Smaller reporting company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ab/>
        <w:t xml:space="preserve">Emerging growth company </w:t>
      </w:r>
      <w:r>
        <w:rPr>
          <w:rFonts w:ascii="MS PGothic" w:cs="MS PGothic" w:eastAsia="MS PGothic" w:hAnsi="MS PGothic"/>
          <w:sz w:val="16"/>
          <w:szCs w:val="16"/>
          <w:color w:val="auto"/>
          <w:highlight w:val="black"/>
        </w:rPr>
        <w:t>☐</w:t>
      </w:r>
    </w:p>
    <w:p>
      <w:pPr>
        <w:spacing w:after="0" w:line="122"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21" w:lineRule="exact"/>
        <w:rPr>
          <w:sz w:val="24"/>
          <w:szCs w:val="24"/>
          <w:color w:val="auto"/>
        </w:rPr>
      </w:pPr>
    </w:p>
    <w:p>
      <w:pPr>
        <w:ind w:right="16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1" w:lineRule="exact"/>
        <w:rPr>
          <w:sz w:val="24"/>
          <w:szCs w:val="24"/>
          <w:color w:val="auto"/>
        </w:rPr>
      </w:pPr>
    </w:p>
    <w:p>
      <w:pPr>
        <w:ind w:right="30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highlight w:val="black"/>
        </w:rPr>
        <w:t>☐</w:t>
      </w:r>
    </w:p>
    <w:p>
      <w:pPr>
        <w:spacing w:after="0" w:line="21" w:lineRule="exact"/>
        <w:rPr>
          <w:sz w:val="24"/>
          <w:szCs w:val="24"/>
          <w:color w:val="auto"/>
        </w:rPr>
      </w:pPr>
    </w:p>
    <w:p>
      <w:pPr>
        <w:ind w:right="3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highlight w:val="black"/>
        </w:rPr>
        <w:t>☐</w:t>
      </w:r>
    </w:p>
    <w:p>
      <w:pPr>
        <w:spacing w:after="0" w:line="184" w:lineRule="exact"/>
        <w:tabs>
          <w:tab w:leader="none" w:pos="7500" w:val="left"/>
          <w:tab w:leader="none" w:pos="81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06" w:lineRule="exact"/>
        <w:rPr>
          <w:sz w:val="24"/>
          <w:szCs w:val="24"/>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As of June 28, 2024, the aggregate market value of the registrant’s common stock held by non-affiliates of the registrant was approximately $1.7 billion based on the closing sale price as reported on the New York Stock Exchange.</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February 20, 2025, 33,671,362 shares of the registrant’s common stock, par value, $0.001 per share, were outstanding.</w:t>
      </w:r>
    </w:p>
    <w:p>
      <w:pPr>
        <w:spacing w:after="0" w:line="84"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88" w:lineRule="exact"/>
        <w:rPr>
          <w:sz w:val="24"/>
          <w:szCs w:val="24"/>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Portions of the registrant’s Proxy Statement relating to the registrant’s Annual Meeting of Stockholders are incorporated by reference into Part III of this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0" w:type="dxa"/>
            <w:vAlign w:val="bottom"/>
            <w:gridSpan w:val="8"/>
          </w:tcPr>
          <w:p>
            <w:pPr>
              <w:jc w:val="center"/>
              <w:ind w:right="34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82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780" w:type="dxa"/>
            <w:vAlign w:val="bottom"/>
            <w:vMerge w:val="restart"/>
          </w:tcPr>
          <w:p>
            <w:pPr>
              <w:spacing w:after="0"/>
              <w:rPr>
                <w:sz w:val="2"/>
                <w:szCs w:val="2"/>
                <w:color w:val="auto"/>
              </w:rPr>
            </w:pPr>
          </w:p>
        </w:tc>
        <w:tc>
          <w:tcPr>
            <w:tcW w:w="5220" w:type="dxa"/>
            <w:vAlign w:val="bottom"/>
            <w:gridSpan w:val="7"/>
            <w:vMerge w:val="restart"/>
          </w:tcPr>
          <w:p>
            <w:pPr>
              <w:jc w:val="center"/>
              <w:ind w:right="420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5220" w:type="dxa"/>
            <w:vAlign w:val="bottom"/>
            <w:gridSpan w:val="7"/>
            <w:vMerge w:val="continue"/>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w w:val="99"/>
              </w:rPr>
              <w:t>Forward-Looking Statements</w:t>
            </w:r>
          </w:p>
        </w:tc>
        <w:tc>
          <w:tcPr>
            <w:tcW w:w="8020" w:type="dxa"/>
            <w:vAlign w:val="bottom"/>
            <w:gridSpan w:val="14"/>
          </w:tcPr>
          <w:p>
            <w:pPr>
              <w:spacing w:after="0"/>
              <w:rPr>
                <w:sz w:val="21"/>
                <w:szCs w:val="21"/>
                <w:color w:val="auto"/>
              </w:rPr>
            </w:pP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0000FF"/>
                <w:w w:val="93"/>
              </w:rPr>
              <w:t>Business</w:t>
            </w:r>
          </w:p>
        </w:tc>
        <w:tc>
          <w:tcPr>
            <w:tcW w:w="660" w:type="dxa"/>
            <w:vAlign w:val="bottom"/>
            <w:gridSpan w:val="4"/>
          </w:tcPr>
          <w:p>
            <w:pPr>
              <w:spacing w:after="0"/>
              <w:rPr>
                <w:sz w:val="18"/>
                <w:szCs w:val="18"/>
                <w:color w:val="auto"/>
              </w:rPr>
            </w:pPr>
          </w:p>
        </w:tc>
        <w:tc>
          <w:tcPr>
            <w:tcW w:w="8020" w:type="dxa"/>
            <w:vAlign w:val="bottom"/>
            <w:gridSpan w:val="14"/>
          </w:tcPr>
          <w:p>
            <w:pPr>
              <w:spacing w:after="0"/>
              <w:rPr>
                <w:sz w:val="18"/>
                <w:szCs w:val="18"/>
                <w:color w:val="auto"/>
              </w:rPr>
            </w:pP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1C.</w:t>
            </w:r>
          </w:p>
        </w:tc>
        <w:tc>
          <w:tcPr>
            <w:tcW w:w="20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280" w:type="dxa"/>
            <w:vAlign w:val="bottom"/>
            <w:gridSpan w:val="11"/>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320" w:type="dxa"/>
            <w:vAlign w:val="bottom"/>
            <w:gridSpan w:val="15"/>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13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4"/>
              </w:rPr>
              <w:t>Legal Proceedings</w:t>
            </w:r>
          </w:p>
        </w:tc>
        <w:tc>
          <w:tcPr>
            <w:tcW w:w="8000" w:type="dxa"/>
            <w:vAlign w:val="bottom"/>
            <w:gridSpan w:val="13"/>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20" w:type="dxa"/>
            <w:vAlign w:val="bottom"/>
            <w:gridSpan w:val="7"/>
          </w:tcPr>
          <w:p>
            <w:pPr>
              <w:jc w:val="center"/>
              <w:ind w:right="4220"/>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6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80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[Reserved]</w:t>
            </w: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w:t>
            </w:r>
          </w:p>
        </w:tc>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8"/>
              </w:rPr>
              <w:t>Management’s Discussion and Analysis of Financial Condition and Results of Operations</w:t>
            </w:r>
          </w:p>
        </w:tc>
        <w:tc>
          <w:tcPr>
            <w:tcW w:w="2860" w:type="dxa"/>
            <w:vAlign w:val="bottom"/>
            <w:gridSpan w:val="3"/>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7A.</w:t>
            </w:r>
          </w:p>
        </w:tc>
        <w:tc>
          <w:tcPr>
            <w:tcW w:w="4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gridSpan w:val="3"/>
          </w:tcPr>
          <w:p>
            <w:pPr>
              <w:spacing w:after="0"/>
              <w:rPr>
                <w:sz w:val="18"/>
                <w:szCs w:val="18"/>
                <w:color w:val="auto"/>
              </w:rPr>
            </w:pPr>
          </w:p>
        </w:tc>
        <w:tc>
          <w:tcPr>
            <w:tcW w:w="2860" w:type="dxa"/>
            <w:vAlign w:val="bottom"/>
            <w:gridSpan w:val="3"/>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w:t>
            </w:r>
          </w:p>
        </w:tc>
        <w:tc>
          <w:tcPr>
            <w:tcW w:w="4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960" w:type="dxa"/>
            <w:vAlign w:val="bottom"/>
            <w:gridSpan w:val="6"/>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w:t>
            </w:r>
          </w:p>
        </w:tc>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8"/>
              </w:rPr>
              <w:t>Changes in and Disagreements with Accountants on Accounting and Financial Disclosure</w:t>
            </w:r>
          </w:p>
        </w:tc>
        <w:tc>
          <w:tcPr>
            <w:tcW w:w="2860" w:type="dxa"/>
            <w:vAlign w:val="bottom"/>
            <w:gridSpan w:val="3"/>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9A.</w:t>
            </w:r>
          </w:p>
        </w:tc>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860" w:type="dxa"/>
            <w:vAlign w:val="bottom"/>
            <w:gridSpan w:val="3"/>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9B.</w:t>
            </w:r>
          </w:p>
        </w:tc>
        <w:tc>
          <w:tcPr>
            <w:tcW w:w="13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5"/>
              </w:rPr>
              <w:t>Other Information</w:t>
            </w:r>
          </w:p>
        </w:tc>
        <w:tc>
          <w:tcPr>
            <w:tcW w:w="440" w:type="dxa"/>
            <w:vAlign w:val="bottom"/>
          </w:tcPr>
          <w:p>
            <w:pPr>
              <w:spacing w:after="0"/>
              <w:rPr>
                <w:sz w:val="18"/>
                <w:szCs w:val="18"/>
                <w:color w:val="auto"/>
              </w:rPr>
            </w:pPr>
          </w:p>
        </w:tc>
        <w:tc>
          <w:tcPr>
            <w:tcW w:w="7560" w:type="dxa"/>
            <w:vAlign w:val="bottom"/>
            <w:gridSpan w:val="12"/>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9C.</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w:t>
            </w: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20" w:type="dxa"/>
            <w:vAlign w:val="bottom"/>
            <w:gridSpan w:val="7"/>
          </w:tcPr>
          <w:p>
            <w:pPr>
              <w:jc w:val="center"/>
              <w:ind w:right="422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10.</w:t>
            </w:r>
          </w:p>
        </w:tc>
        <w:tc>
          <w:tcPr>
            <w:tcW w:w="40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220" w:type="dxa"/>
            <w:vAlign w:val="bottom"/>
            <w:gridSpan w:val="7"/>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11.</w:t>
            </w:r>
          </w:p>
        </w:tc>
        <w:tc>
          <w:tcPr>
            <w:tcW w:w="40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220" w:type="dxa"/>
            <w:vAlign w:val="bottom"/>
            <w:gridSpan w:val="7"/>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12.</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2840" w:type="dxa"/>
            <w:vAlign w:val="bottom"/>
            <w:gridSpan w:val="9"/>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13.</w:t>
            </w:r>
          </w:p>
        </w:tc>
        <w:tc>
          <w:tcPr>
            <w:tcW w:w="7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04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2840" w:type="dxa"/>
            <w:vAlign w:val="bottom"/>
            <w:gridSpan w:val="9"/>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14.</w:t>
            </w:r>
          </w:p>
        </w:tc>
        <w:tc>
          <w:tcPr>
            <w:tcW w:w="54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880" w:type="dxa"/>
            <w:vAlign w:val="bottom"/>
            <w:gridSpan w:val="4"/>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20" w:type="dxa"/>
            <w:vAlign w:val="bottom"/>
            <w:gridSpan w:val="7"/>
          </w:tcPr>
          <w:p>
            <w:pPr>
              <w:jc w:val="center"/>
              <w:ind w:right="422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6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15.</w:t>
            </w:r>
          </w:p>
        </w:tc>
        <w:tc>
          <w:tcPr>
            <w:tcW w:w="31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Exhibits and Financial Statement Schedules</w:t>
            </w:r>
          </w:p>
        </w:tc>
        <w:tc>
          <w:tcPr>
            <w:tcW w:w="6160" w:type="dxa"/>
            <w:vAlign w:val="bottom"/>
            <w:gridSpan w:val="9"/>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3140" w:type="dxa"/>
            <w:vAlign w:val="bottom"/>
            <w:gridSpan w:val="10"/>
            <w:shd w:val="clear" w:color="auto" w:fill="0000FF"/>
          </w:tcPr>
          <w:p>
            <w:pPr>
              <w:spacing w:after="0" w:line="20" w:lineRule="exact"/>
              <w:rPr>
                <w:sz w:val="1"/>
                <w:szCs w:val="1"/>
                <w:color w:val="auto"/>
              </w:rPr>
            </w:pPr>
          </w:p>
        </w:tc>
        <w:tc>
          <w:tcPr>
            <w:tcW w:w="616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Exhibit Index</w:t>
            </w:r>
          </w:p>
        </w:tc>
        <w:tc>
          <w:tcPr>
            <w:tcW w:w="9300" w:type="dxa"/>
            <w:vAlign w:val="bottom"/>
            <w:gridSpan w:val="19"/>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4"/>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federal securities laws relating to future events and future results of SJW Group and its subsidiaries that are based on current expectations, estimates, forecasts, and projections about SJW Group and its subsidiaries and the industries in which SJW Group and its subsidiaries operate and the beliefs and assumptions of the management of SJW Group. Some of these forward-looking statements can be identified by the use of forward-looking words such as “believes,” “expects,” “may,” “will,” “should,” “seeks,” “approximately,” “intends,” “plans,” “estimates,” “projects,” “strategy,” or “anticipates,” or the negative of those words or other comparable terminology. These forward-looking statements are only predictions and are subject to risks, uncertainties and assumptions that are difficult to predict. Therefore, actual results may differ materially and adversely from those expressed in any forward-looking statements. Important factors that could cause or contribute to such differences include, but are not limited to, those discussed in this report under Item 1A, “Risk Factors,” and Item 7, “Management’s Discussion and Analysis of Financial Condition and Results of Operations,” and elsewhere, and in other reports and documents SJW Group files with the Securities and Exchange Commission (the “SEC”), specifically the most recent Form 10-Q and reports on Form 8-K filed with the SEC, each as it may be amended from time to time.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accuracy of such statements is subject to a number of risks, uncertainties and assumptions including, but not limited to, the following factors:</w:t>
      </w:r>
    </w:p>
    <w:p>
      <w:pPr>
        <w:spacing w:after="0" w:line="144" w:lineRule="exact"/>
        <w:rPr>
          <w:sz w:val="20"/>
          <w:szCs w:val="20"/>
          <w:color w:val="auto"/>
        </w:rPr>
      </w:pPr>
    </w:p>
    <w:p>
      <w:pPr>
        <w:ind w:left="660" w:right="80" w:hanging="328"/>
        <w:spacing w:after="0" w:line="312"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water, utility, environmental and other governmental policies and regulations, including regulatory actions concerning rates, authorized return on equity, authorized capital structures, capital expenditures, per- and polyfluoroalkyl substances (“PFAS”) and other decisions;</w:t>
      </w:r>
    </w:p>
    <w:p>
      <w:pPr>
        <w:spacing w:after="0" w:line="72"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water and other services;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weather conditions and changes in seasonality including those affecting water supply and customer usage;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impacts of climate change;</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charges or expenses;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evaluate investments in new business and growth initiatives;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contamination of our water supplies and damage or failure of our water equipment and infrastructure;</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work stoppages, strikes and other labor-related actions;</w:t>
      </w:r>
    </w:p>
    <w:p>
      <w:pPr>
        <w:spacing w:after="0" w:line="15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events such as fires, earthquakes, explosions, floods, ice storms, tornadoes, hurricanes, terrorist acts, physical attacks, cyber-attacks, epidemic or similar occurrences;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political, business and financial market conditions;</w:t>
      </w:r>
    </w:p>
    <w:p>
      <w:pPr>
        <w:spacing w:after="0" w:line="157" w:lineRule="exact"/>
        <w:rPr>
          <w:rFonts w:ascii="Times New Roman" w:cs="Times New Roman" w:eastAsia="Times New Roman" w:hAnsi="Times New Roman"/>
          <w:sz w:val="18"/>
          <w:szCs w:val="18"/>
          <w:color w:val="auto"/>
        </w:rPr>
      </w:pPr>
    </w:p>
    <w:p>
      <w:pPr>
        <w:jc w:val="both"/>
        <w:ind w:left="660" w:right="40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financing on favorable terms, which can be affected by various factors, including credit ratings, changes in interest rates, compliance with regulatory requirements, compliance with the terms and conditions of our outstanding indebtedness, and general market and economic conditions; and</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and general market and economic developments.</w:t>
      </w:r>
    </w:p>
    <w:p>
      <w:pPr>
        <w:spacing w:after="0" w:line="144"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Actual results are subject to other risks and uncertainties that relate more broadly to our overall business, including those more fully described in our filings with the SEC, including our most recent reports on Form 10-K, Form 10-Q and Form 8-K. Forward-looking statements are not guarantees of performance, and speak only as of the date made, and SJW Group undertakes no obligation to update or revise any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General Development of Business</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SJW Group, a Delaware corporation, was initially incorporated as SJW Corp. in the state of California in 1985. SJW Group is a holding company that conducts its business through the following wholly owned subsidiaries:</w:t>
      </w:r>
    </w:p>
    <w:p>
      <w:pPr>
        <w:spacing w:after="0" w:line="54" w:lineRule="exact"/>
        <w:rPr>
          <w:sz w:val="20"/>
          <w:szCs w:val="20"/>
          <w:color w:val="auto"/>
        </w:rPr>
      </w:pPr>
    </w:p>
    <w:p>
      <w:pPr>
        <w:ind w:left="1300" w:hanging="1049"/>
        <w:spacing w:after="0" w:line="261"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 Jose Water Company (“SJWC”), with its headquarters located at 110 West Taylor Street in San Jose, California 95110, was originally incorporated under the laws of the State of California in 1866. As part of a reorganization in 1985, SJWC became a wholly owned subsidiary of SJW Group. SJWC is a public utility in the business of providing water service in the metropolitan San Jose, California area.</w:t>
      </w:r>
    </w:p>
    <w:p>
      <w:pPr>
        <w:spacing w:after="0" w:line="71" w:lineRule="exact"/>
        <w:rPr>
          <w:rFonts w:ascii="Times New Roman" w:cs="Times New Roman" w:eastAsia="Times New Roman" w:hAnsi="Times New Roman"/>
          <w:sz w:val="18"/>
          <w:szCs w:val="18"/>
          <w:color w:val="auto"/>
        </w:rPr>
      </w:pPr>
    </w:p>
    <w:p>
      <w:pPr>
        <w:ind w:left="1300" w:right="40" w:hanging="1049"/>
        <w:spacing w:after="0" w:line="251" w:lineRule="auto"/>
        <w:tabs>
          <w:tab w:leader="none" w:pos="129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SJWNE LLC, a Delaware limited liability company, was formed in 2019, and is a wholly owned subsidiary of SJW Group. SJWNE LLC is a special purpose entity established to hold SJW Group’s investment in Connecticut Water Service, Inc. Connecticut Water Service, Inc. with its headquarters located in Clinton, Connecticut, was incorporated in 1974 in the State of Connecticut. As part of the merger transaction between SJW Group and Connecticut Water Service, Inc. in 2019, Connecticut Water Service, Inc. and its subsidiaries (“CTWS”) became a wholly owned subsidiary of SJWNE LLC. Connecticut Water Service, Inc. is a holding company with four wholly owned subsidiaries. The Connecticut Water Company (“CWC”) and The Maine Water Company (“MWC”) are public utilities in the business of providing water service throughout Connecticut and Maine. The remaining two subsidiaries are Chester Realty, Inc., a real estate company in Connecticut, and New England Water Utility Services, Inc. (“NEWUS”), which provides contract water and sewer operations and other water-related services.</w:t>
      </w:r>
    </w:p>
    <w:p>
      <w:pPr>
        <w:spacing w:after="0" w:line="2" w:lineRule="exact"/>
        <w:rPr>
          <w:rFonts w:ascii="Times New Roman" w:cs="Times New Roman" w:eastAsia="Times New Roman" w:hAnsi="Times New Roman"/>
          <w:sz w:val="18"/>
          <w:szCs w:val="18"/>
          <w:b w:val="1"/>
          <w:bCs w:val="1"/>
          <w:color w:val="auto"/>
        </w:rPr>
      </w:pPr>
    </w:p>
    <w:p>
      <w:pPr>
        <w:ind w:left="1300" w:right="60" w:hanging="1049"/>
        <w:spacing w:after="0" w:line="234"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SJWTX Holdings, Inc., a Texas corporation, formed in 2021, is the holding company for SJWTX, Inc., doing business as The Texas Water Company (“TWC”), Texas Water Operation Services, LLC (“TWOS”) and Texas Water Resources, LLC (“TWR”). TWC is a public utility in the business of providing water service in Bandera, Blanco, Comal, Hays, Kendall, Medina and Travis Counties in the growing region between San Antonio and Austin, Texas. TWC additionally provides wastewater service in Comal and Kendall counties. TWC also holds a 25% equity interest in Acequia Water Supply Corporation (“Acequia”). Acequia has been determined to be a variable interest entity within the scope of Accounting Standards Codification (“ASC”) Topic 810—“Consolidation,” with TWC as the primary beneficiary. As a result, Acequia has been consolidated with TWC. TWOS was created for non-tariffed service operations and TWR was formed to hold wholesale water supply assets.</w:t>
      </w:r>
    </w:p>
    <w:p>
      <w:pPr>
        <w:spacing w:after="0" w:line="93" w:lineRule="exact"/>
        <w:rPr>
          <w:rFonts w:ascii="Times New Roman" w:cs="Times New Roman" w:eastAsia="Times New Roman" w:hAnsi="Times New Roman"/>
          <w:sz w:val="18"/>
          <w:szCs w:val="18"/>
          <w:color w:val="auto"/>
        </w:rPr>
      </w:pPr>
    </w:p>
    <w:p>
      <w:pPr>
        <w:ind w:left="1300" w:hanging="1049"/>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SJW Land Company was incorporated in 1985. SJW Land Company owns undeveloped land in California.</w:t>
      </w:r>
    </w:p>
    <w:p>
      <w:pPr>
        <w:spacing w:after="0" w:line="117" w:lineRule="exact"/>
        <w:rPr>
          <w:rFonts w:ascii="Times New Roman" w:cs="Times New Roman" w:eastAsia="Times New Roman" w:hAnsi="Times New Roman"/>
          <w:sz w:val="18"/>
          <w:szCs w:val="18"/>
          <w:color w:val="auto"/>
        </w:rPr>
      </w:pPr>
    </w:p>
    <w:p>
      <w:pPr>
        <w:ind w:left="1300" w:right="240" w:hanging="1049"/>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Water Utility Services, LLC (“NWU”) is the contracting entity for shared services among the SJW Group affiliates formed in 2024.</w:t>
      </w:r>
    </w:p>
    <w:p>
      <w:pPr>
        <w:spacing w:after="0" w:line="5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Together, SJWC, excluding the City of Cupertino (“Cupertino”) service concession arrangement operations, CWC, MWC and TWC are referred to as “Water Utility Services,” which is our single reportable segment.</w:t>
      </w:r>
    </w:p>
    <w:p>
      <w:pPr>
        <w:spacing w:after="0" w:line="5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Other business activities that are not separately reportable segments are SJWC’s Cupertino service concession arrangement operations, TWOS, TWR, NEWUS, SJW Land Company and Chester Realty, Inc. and are collectively referred to as “Other Services.”</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Regulation and Rates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Water Utility Services, excluding non-tariffed activities, are subject to rate regulation based on cost recovery and meets the criteria of accounting guidance for rate-regulated operations, which affects the timing of the recognition of certain revenues and expenses. SJW Group’s consolidated financial statements reflect the actions of regulators in the rate-making process. The rate-making process is intended to provide revenues sufficient to recover normal operating expenses, provide funds for replacement of water infrastructure and produce a fair and reasonable return on stockholder common equity. SJW Group’s regulated operations financing activities are designed to achieve capital structures consistent with regulatory guidelines in the locations</w:t>
      </w:r>
    </w:p>
    <w:p>
      <w:pPr>
        <w:spacing w:after="0" w:line="200" w:lineRule="exact"/>
        <w:rPr>
          <w:sz w:val="20"/>
          <w:szCs w:val="20"/>
          <w:color w:val="auto"/>
        </w:rPr>
      </w:pPr>
    </w:p>
    <w:p>
      <w:pPr>
        <w:spacing w:after="0" w:line="32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 the companies operate. The following summarizes each state’s authorized rates and capital structure as of December 31,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15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California</w:t>
            </w:r>
          </w:p>
        </w:tc>
        <w:tc>
          <w:tcPr>
            <w:tcW w:w="15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Connecticut</w:t>
            </w:r>
          </w:p>
        </w:tc>
        <w:tc>
          <w:tcPr>
            <w:tcW w:w="15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Texas (a)</w:t>
            </w:r>
          </w:p>
        </w:tc>
        <w:tc>
          <w:tcPr>
            <w:tcW w:w="14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Maine (b)</w:t>
            </w:r>
          </w:p>
        </w:tc>
      </w:tr>
      <w:tr>
        <w:trPr>
          <w:trHeight w:val="23"/>
        </w:trPr>
        <w:tc>
          <w:tcPr>
            <w:tcW w:w="51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Authorized capital structure (debt/equity)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 / 55%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 / 53%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 / 58%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 / 51%</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Authorized return on equity (c)</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9.81%</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9.30%</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9.50%</w:t>
            </w: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Authorized rate base (in millions)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$1,203.0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$744.1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$57.6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$139.7</w:t>
            </w:r>
          </w:p>
        </w:tc>
      </w:tr>
      <w:tr>
        <w:trPr>
          <w:trHeight w:val="23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rate base at year-end (in millions) (d)</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$1,288.5</w:t>
            </w: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$791.6</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$169.8</w:t>
            </w: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$187.1</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1"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by management.</w:t>
      </w:r>
    </w:p>
    <w:p>
      <w:pPr>
        <w:spacing w:after="0" w:line="1" w:lineRule="exact"/>
        <w:rPr>
          <w:rFonts w:ascii="Times New Roman" w:cs="Times New Roman" w:eastAsia="Times New Roman" w:hAnsi="Times New Roman"/>
          <w:sz w:val="14"/>
          <w:szCs w:val="14"/>
          <w:color w:val="auto"/>
        </w:rPr>
      </w:pPr>
    </w:p>
    <w:p>
      <w:pPr>
        <w:ind w:left="660" w:right="100" w:hanging="652"/>
        <w:spacing w:after="0" w:line="260" w:lineRule="auto"/>
        <w:tabs>
          <w:tab w:leader="none" w:pos="65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authorized capital structure and return on equity shown are those of the largest division of MWC, the Biddeford and Saco division. This return on equity and capital structure will be used for any future Water Infrastructure Surcharge (“WISC”) calculations for all divisions until the Maine Public Utilities Commission (“MPUC”) has authorized or approved a different return on equity structure in a different proceeding.</w:t>
      </w:r>
    </w:p>
    <w:p>
      <w:pPr>
        <w:ind w:left="660" w:right="360" w:hanging="652"/>
        <w:spacing w:after="0" w:line="254" w:lineRule="auto"/>
        <w:tabs>
          <w:tab w:leader="none" w:pos="65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California, the approved Water Cost of Capital Mechanism (“WCCM”)-adjusted return on equity is 10.01% less a 20-basis point reduction due to the reimplementation of the Water Conservation Memorandum Account (“WCMA”).</w:t>
      </w:r>
    </w:p>
    <w:p>
      <w:pPr>
        <w:ind w:left="640" w:hanging="632"/>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approximation of rate base which includes net utility plant not yet included in rate base pending rate case filings and outcomes.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California Regulatory Affairs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SJWC’s rates, service and other matters affecting its business are subject to regulation by the California Public Utilities Commission (“CPUC”).</w:t>
      </w:r>
    </w:p>
    <w:p>
      <w:pPr>
        <w:spacing w:after="0" w:line="11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Generally, there are three types of rate adjustments that affect SJWC’s revenue collection: general rate adjustments, cost of capital adjustments, and offset rate adjustments. General rate adjustments are authorized in general rate case decisions, which usually authorize an initial rate adjustment followed by two annual escalation adjustments. General rate applications are normally filed and processed during the last year covered by the most recent general rate case as required by the CPUC in order to avoid any gaps in regulatory decisions on general rate adjustments. Actual revenue received may be higher or lower than the revenue requirement due to a number of factors including actual customer counts, usage or other regulatory factors in force at the time.</w:t>
      </w:r>
    </w:p>
    <w:p>
      <w:pPr>
        <w:spacing w:after="0" w:line="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Cost of capital adjustments are rate adjustments resulting from the CPUC’s usual tri-annual establishment of a reasonable rate of return for SJWC’s capital investments.</w:t>
      </w:r>
    </w:p>
    <w:p>
      <w:pPr>
        <w:spacing w:after="0" w:line="5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purpose of an offset rate adjustment is to compensate utilities for changes in specific pre-authorized offsettable capital investments or expenses, primarily for purchased water, groundwater extraction, purchased power, pensions, and group health insurance. Pursuant to Section 792.5 of the California Public Utilities Code, a balancing account must be maintained for each expense item for which such revenue offsets have been authorized. Memorandum accounts track revenue impacts due to catastrophic events, certain unforeseen water quality expenses related to new federal and state water quality standards, energy efficiency, water conservation during periods of mandated water restrictions, water tariffs and other approved activities or as directed by the CPUC. The purpose of balancing and memorandum accounts is to track the under-collection or over-collection associated with such expense changes and activities for future recovery or refund considerations. Carrying balances of the balancing and memo accounts earn a rate of return based on treasury rates.</w:t>
      </w:r>
    </w:p>
    <w:p>
      <w:pPr>
        <w:spacing w:after="0" w:line="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June 29, 2023, the CPUC approved Decision No. 23-06-025 authorized a rate of return of 7.28% based on a return on equity of 8.80%, cost of debt of 5.46%, and a capital structure of approximately 45% debt and 55% equity. The CPUC also authorized continuation of the WCCM in the same decision. The WCCM provided for an adjustment to SJWC’s return on equity and cost of debt if the average Moody’s Aa utility bond index rate between October 1, 2021 and September 30, 2022 varies by more than 100 basis points when compared to the same period from the prior year. The index rate difference between those periods increased 103 basis points, thereby triggering the WCCM. Accordingly, SJWC filed Advice Letter No. 601 on October 13, 2023, to inform the CPUC that the WCCM authorized in Decision No. 23-06-025 required an update to SJWC’s authorized rate of return effective January 1, 2024. The filing requested an adjusted equity of 10.01%, a cost of debt of 5.28%, and a resulting authorized rate of return of 7.86%. Advice Letter No. 601 was approved with an effective date of January 1, 2024. Separate from the filing, the return on equity was further adjusted by a 20-basis point reduction for reimplementation of the WCMA resulting in an overall rate of return of 7.75%.</w:t>
      </w:r>
    </w:p>
    <w:p>
      <w:pPr>
        <w:spacing w:after="0" w:line="80"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The CPUC approved the settlement of 2022 General Rate Case on October 6, 2022 and issued Decision No. 22-10-005 (“2022 GRC Decision”) on October 11, 2022. SJWC received authority for an increase of revenue requirement by $25.1 million or 6.03% in 2022, $13.0 million or 2.94% in 2023, and $16.1 million or 3.56% in 2024. The application included requests to recover $18.2 million from balancing and memorandum accounts and authorization for a $350 million capital budget. Additionally, it further aligned authorized and actual consumption, particularly for business customers, addressed the water</w:t>
      </w:r>
    </w:p>
    <w:p>
      <w:pPr>
        <w:spacing w:after="0" w:line="200" w:lineRule="exact"/>
        <w:rPr>
          <w:sz w:val="20"/>
          <w:szCs w:val="20"/>
          <w:color w:val="auto"/>
        </w:rPr>
      </w:pPr>
    </w:p>
    <w:p>
      <w:pPr>
        <w:spacing w:after="0" w:line="30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supply mix variability, and provided greater revenue recovery in the fixed charge. The approved revenue increase for 2022 was effective retrospectively to January 1, 2022.</w:t>
      </w:r>
    </w:p>
    <w:p>
      <w:pPr>
        <w:spacing w:after="0" w:line="5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SJWC filed Advice Letter No. 585 on November 10, 2022, to recover $20.6 million in the Interim Rates Memorandum Account in accordance with the 2022 GRC Decision. Advice Letter No. 585 was approved with an effective date of January 1, 2023.</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SJWC filed Advice Letter No. 586 on November 18, 2022, to increase the authorized revenue requirement by $18.4 million or 4% for the escalation year increase in accordance with the 2022 GRC Decision. Advice Letter No. 586 was approved with an effective date of January 1, 2023.</w:t>
      </w:r>
    </w:p>
    <w:p>
      <w:pPr>
        <w:spacing w:after="0" w:line="5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SJWC filed Advice Letter No. 590 on April 6, 2023, to recover a $14.2 million under-collection in its Monterey Water Revenue Adjustment (“MWRAM”) Account as of March 31, 2023. SJWC proposed that this amount be recovered via a 12-month volume surcharge. Advice Letter No. 590 was approved with an effective date of May 8, 2023.</w:t>
      </w:r>
    </w:p>
    <w:p>
      <w:pPr>
        <w:spacing w:after="0" w:line="6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SJWC filed Advice Letter No. 591 on April 11, 2023, to discontinue its drought allocation surcharges and move from Stage 3 to Stage 1 of its Schedule 14.1. Advice Letter No. 591 was approved with an effective date of April 11, 2023.</w:t>
      </w:r>
    </w:p>
    <w:p>
      <w:pPr>
        <w:spacing w:after="0" w:line="5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SJWC filed Advice Letter No. 592 on April 20, 2023, to continue its WCMA and Water Conservation Expense Memorandum Account under Santa Clara Valley Water District’s (“Valley Water”) voluntary call for 15% conservation. On October 2, 2023, Advice Letter No. 592 was approved with an effective date of April 20, 2023.</w:t>
      </w:r>
    </w:p>
    <w:p>
      <w:pPr>
        <w:spacing w:after="0" w:line="6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SJWC filed Advice Letter No. 596 on May 31, 2023, to increase the authorized revenue requirement by $27.6 million to offset the increases to purchased potable water charges, the groundwater extraction fee, and purchased recycled water charges from its water wholesalers effective July 1, 2023. Advice Letter No. 596 was approved with an effective date of July 1, 2023.</w:t>
      </w:r>
    </w:p>
    <w:p>
      <w:pPr>
        <w:spacing w:after="0" w:line="6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SJWC filed Advice Letter No. 603 on November 14, 2023, to establish a Group Insurance Balancing Account to track the difference between the company’s authorized versus actual costs for medical, dental, and opt-out insurance expenses. Advice Letter No. 603 was approved with an effective date of January 1, 2024.</w:t>
      </w:r>
    </w:p>
    <w:p>
      <w:pPr>
        <w:spacing w:after="0" w:line="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SJWC filed Advice Letter No. 605 on November 21, 2023, to increase the authorized revenue requirement by $21.3 million or 4.16% for the attrition year increase in accordance with the 2022 GRC Decision. Advice Letter No. 605 was approved with an effective date of January 1, 2024.</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December 15, 2023, SJWC, along with three other California water utilities, filed a joint request for a one-year deferment on the cost of capital filings which would otherwise be due on May 1, 2024. Postponing the filing a year alleviates administrative processing costs on the utilities as well as the CPUC staff and provides relief for both CPUC and utility resources already strained by numerous other proceedings. The request was conditioned on leaving the current WCCM in place such that any adjustments will be made to the respective utilities cost of capital during the one-year deferment based on the mechanism. The request was approved on February 2, 2024. Based on the change in the average Moody’s Aa utility bond index rate between the 12 months ended September 30, 2023 and September 30, 2024, there is no adjustment to SJWC’s cost of capital for 2025.</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January 2, 2024, SJWC filed General Rate Case Application No. 24-01-001 with the CPUC to increase rates charged for water service by $55.2 million or 11.11% in 2025, by $22 million or 3.99% in 2026, and by $25.8 million or 4.49% in 2027. The application proposed a $540 million three-year capital budget and also included requests to recover $23.5 million from balancing and memorandum accounts, further alignment between actual and authorized usage, and a shift to greater revenue collection in the service charge. On June 14, 2024, SJWC notified the CPUC that it had reached an all-party settlement agreement in principle with the Public Advocates Office and Water Rate Advocates for Transparency, Equity and Sustainability, also known as WRATES, in its 2025 through 2027 general rate case application on all but two policy issues. WRATES later notified the CPUC that it would not join in the settlement agreement on August 13, 2024. Per the procedural ruling, the formal settlement motion and agreement between SJWC and the Public Advocates Office was submitted on August 19, 2024, and updated on September 27, 2024. The settlement agreement provides for rate increases of $21.3 million or 3.91% in 2025, $14.4 million or 2.55% in 2026, and $17.4 million or 2.98% in 2027. The settlement agreement also provides a three-year capital budget of $450 million and recovery of $15.8 million in memorandum and balancing accounts. Briefs on the two policy issues were also submitted on August 19, 2024. On December 19, 2024, the CPUC approved the settlement agreement, but denied SJWC’s request with respect to the two policy issues not resolved in the settlement agreement through Decision No. 24-12-077.</w:t>
      </w:r>
    </w:p>
    <w:p>
      <w:pPr>
        <w:spacing w:after="0" w:line="8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SJWC filed Advice Letter No. 609 on May 16, 2024, to increase the authorized revenue requirement by $28.3 million, or 5.3%, to offset the increases to purchased potable water charges, the groundwater extraction fee, and purchased recycled water charges from its water wholesalers effective July 1, 2024. Advice Letter No. 609 was approved with an effective date of July 1, 2024.</w:t>
      </w:r>
    </w:p>
    <w:p>
      <w:pPr>
        <w:spacing w:after="0" w:line="200" w:lineRule="exact"/>
        <w:rPr>
          <w:sz w:val="20"/>
          <w:szCs w:val="20"/>
          <w:color w:val="auto"/>
        </w:rPr>
      </w:pPr>
    </w:p>
    <w:p>
      <w:pPr>
        <w:spacing w:after="0" w:line="31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SJWC filed Advice Letter No. 610/610A on May 23, 2024, to increase the authorized revenue requirement by $0.8 million, or 0.14%, to recover revenue related to the plant additions for the Advanced Metering Infrastructure project. Advice Letter No. 610/610A was approved with an effective date of July 1, 2024.</w:t>
      </w:r>
    </w:p>
    <w:p>
      <w:pPr>
        <w:spacing w:after="0" w:line="6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December 18, 2024, SJWC, along with three other California water utilities, filed a joint request for a one-year deferment on the cost of capital filings which would otherwise be due on May 1, 2025. Postponing the filing a year alleviates administrative processing costs on the utilities as well as the CPUC staff and provides relief for both CPUC and utility resources already strained by numerous other proceedings. The request was conditioned on leaving the current WCCM in place such that any adjustments will be made to the respective utilities cost of capital during the one-year deferment based on the mechanism. The request was approved on January 14, 2025.</w:t>
      </w:r>
    </w:p>
    <w:p>
      <w:pPr>
        <w:spacing w:after="0" w:line="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SJWC filed Advice Letter No. 613 on December 20, 2024, to increase authorized revenue requirement by $21.3 million, or 3.91%, and implement new water rates and recover $15.8 million in memorandum and balancing accounts in accordance with Decision No. 24-12-077. This filing was approved with an effective date of January 1,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Connecticut Regulatory Affairs</w:t>
      </w:r>
    </w:p>
    <w:p>
      <w:pPr>
        <w:spacing w:after="0" w:line="117"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CWC’s rates, service and other matters affecting its business are subject to regulation by the Public Utilities Regulatory Authority of Connecticut (“PURA”).</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PURA allows the Connecticut regulated operations to add surcharges to customers’ bills in order to recover certain costs associated with approved eligible capital projects through the Water Infrastructure Conservation Adjustment (“WICA”) in between full rate cases, as well as approved surcharges or sur-credits for the Water Revenue Adjustment (“WRA”).</w:t>
      </w:r>
    </w:p>
    <w:p>
      <w:pPr>
        <w:spacing w:after="0" w:line="6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January 26, 2023, CWC filed for a WICA increase of $3.3 million in annualized revenues for $27.8 million in completed projects. PURA approved CWC’s application on March 22, 2023.</w:t>
      </w:r>
    </w:p>
    <w:p>
      <w:pPr>
        <w:spacing w:after="0" w:line="5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July 27, 2023, CWC filed for a WICA increase of $1.3 million in annualized revenues for $11.5 million in completed projects. PURA approved the application effective October 1, 2023.</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October 3, 2023, CWC filed an application with PURA in Connecticut to adjust customer rates. The proposal requested an increase in annual revenues of approximately $21.4 million, or 18.1%, over current authorized revenues. On June 28, 2024, PURA issued a final decision authorizing an increase in annual revenues of $6.5 million, or 5.5%, with the ability to earn additional revenue of $1.1 million through the annual WRA filing for achievement of certain performance metrics. In addition, the decision authorized a return on equity of 9.3% on a capital structure comprised of 53% equity and 47% long term debt. New rates became effective on July 1, 2024.</w:t>
      </w:r>
    </w:p>
    <w:p>
      <w:pPr>
        <w:spacing w:after="0" w:line="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November 14, 2023, CWC submitted an application to PURA for approval to issue unsecured notes in the amount of $25.0 million. A decision from PURA approving the application was received on January 10, 2024.</w:t>
      </w:r>
    </w:p>
    <w:p>
      <w:pPr>
        <w:spacing w:after="0" w:line="54"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On February 26, 2024, CWC filed its 2023 WICA reconciliation with PURA. The reconciliation, approved by PURA on March 27, 2024 and effective for 12 months beginning April 1, 2024, replaced the expiring 2022 reconciliation credit of 0.16% with a credit of 0.13%. The cumulative WICA surcharge as of April 1, 2024 was 7.41%, collecting $7.8 million on an annual basis. In connection with the general rate case decision noted above, as of July 1, 2024, the base WICA surcharge was reset to zero; however, the credit of 0.13% for 2023 reconciliation will continue to apply into 2025.</w:t>
      </w:r>
    </w:p>
    <w:p>
      <w:pPr>
        <w:spacing w:after="0" w:line="7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February 28, 2024, CWC filed its 2023 WRA. The mechanism reconciles 2023 revenues as authorized in the CWC’s most recent rate case. The 2023 WRA, as approved by PURA on March 11, 2024 and effective for 12 months beginning on April 1, 2024, imposed a 2.11% sur-credit on customer bills to refund the 2023 revenues over-collection.</w:t>
      </w:r>
    </w:p>
    <w:p>
      <w:pPr>
        <w:spacing w:after="0" w:line="6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On June 21, 2024, CWC submitted an application to PURA for the approval to issue unsecured notes in an amount of up to $150.0 million. PURA approved the application on August 14, 2024.</w:t>
      </w:r>
    </w:p>
    <w:p>
      <w:pPr>
        <w:spacing w:after="0" w:line="5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July 26, 2024, CWC filed for a WICA increase of $4.3 million in annualized revenue for $41.9 million in completed infrastructure projects. PURA approved the application, and effective October 1, 2024, the cumulative WICA surcharge is 3.43%.</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January 28, 2025, CWC filed its 2024 WICA reconciliation with PURA. The reconciliation, if approved, would be effective for 12 months beginning April 1, 2025, replacing the expiring 2023 reconciliation credit of $0.1 million with a credit of $2.4 million on an annual basis. On January 28, 2025, CWC filed for a WICA increase of $1.6 million in annualized revenues for $15.7 million in completed projects. If approved, the cumulative WICA surcharge as of April 1, 2025, will be 4.90%, collecting $6.0 million on an annual basis.</w:t>
      </w:r>
    </w:p>
    <w:p>
      <w:pPr>
        <w:spacing w:after="0" w:line="7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February 24, 2025, CWC filed its 2024 WRA. The mechanism reconciles 2024 revenues as authorized in the CWC’s most recent rate case as well as provides for recovery of certain amounts of executive compensation as the result of the achievement of performance metrics as prescribed by PURA. The 2024 WRA, if approved by PURA, will be effective for 12 months</w:t>
      </w:r>
    </w:p>
    <w:p>
      <w:pPr>
        <w:spacing w:after="0" w:line="200" w:lineRule="exact"/>
        <w:rPr>
          <w:sz w:val="20"/>
          <w:szCs w:val="20"/>
          <w:color w:val="auto"/>
        </w:rPr>
      </w:pPr>
    </w:p>
    <w:p>
      <w:pPr>
        <w:spacing w:after="0" w:line="31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on April 1, 2025, and will impose a 3.62% surcharge on customer bills to collect the 2024 revenue shortfall.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Texas Regulatory Affairs</w:t>
      </w:r>
    </w:p>
    <w:p>
      <w:pPr>
        <w:spacing w:after="0" w:line="10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TWC’s rates are subject to the economic regulation of the Public Utilities Commission of Texas (“PUCT”). The PUCT may authorize rate increases after the filing of an Application for a Rate/Tariff Change. Rate cases may be filed as they become necessary, provided there is no current rate case outstanding. Furthermore, rate cases may not be filed more frequently than once every 12 months.</w:t>
      </w:r>
    </w:p>
    <w:p>
      <w:pPr>
        <w:spacing w:after="0" w:line="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TWC has no current general rate case pending. However, it filed its application to establish a System Improvement Charge (“SIC”) with PUCT under Docket No. 54430 on December 30, 2022. SIC filings are used to include certain utility plant additions made from 2020 to present in its rate base, thereby increasing revenue and avoiding the immediate need for a general rate case. On March 21, 2024, the PUCT filed the final order approving TWC’s request to implement its SIC which applies to certain customers. As a result of this final order, the SIC is projected to increase TWC’s water revenue by $1.6 million and sewer revenue by $28 thousand within one year of the approval. On September 12, 2024, TWC filed its application to amend its SIC with the PUCT under Docket No. 56974. Its amended SIC will apply to all customers and seeks to increase its annual water revenue by $3.9 million and its annual sewer revenue by $0.2 million, in addition to the original SIC filed with the PUCT under Docket No. 54430 on December 30, 2022. On October 14, 2024, the PUCT notified TWC that the filing was administratively complete in order to establish a procedural schedule. TWC expects to receive the final approval from the PUCT in the first half of 2025. Additionally, TWC is required to file a general rate case on or before March 21, 2028. Notwithstanding any SIC filing, TWC will continue to file its annual adjustments for the Water Pass-through Charges (“WPC”) for Canyon Lake, Deer Creek, Kendall West, Clear Water Estates, and Saddleridge customers. All water supply cost increases are recoverable when the next annual WPC adjustment for each system is filed.</w:t>
      </w:r>
    </w:p>
    <w:p>
      <w:pPr>
        <w:spacing w:after="0" w:line="8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April 10, 2023, TWC filed an application with the PUCT to acquire the Elm Ridge water system that serves 21 residential customers. TWC has asked to acquire the Elm Ridge customers using TWC’s existing rate. On December 12, 2023, the Administrative Law Judge filed Order No. 11, which allowed TWC to proceed and the acquisition closed on January 26, 2024. On July 23, 2024, the PUCT filed the final approval which allowed TWC to charge its existing rates to customers of Elm Ridge.</w:t>
      </w:r>
    </w:p>
    <w:p>
      <w:pPr>
        <w:spacing w:after="0" w:line="7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July 24, 2023, the PUCT approved TWC's application to acquire KT Water Development Ltd. KT Water Development Ltd. provides service to approximately 570 residential water connections. On August 14, 2023, TWC closed on the acquisition. On March 7, 2024, the PUCT filed the final order which transferred the Certificate of Convenience and Necessity to TWC, approved the fair market value, and allowed TWC to charge its existing rates to the customers of KT Water Development.</w:t>
      </w:r>
    </w:p>
    <w:p>
      <w:pPr>
        <w:spacing w:after="0" w:line="72"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On January 5, 2024, TWC filed an application with the PUCT to acquire the 3009 Water Company LLC water system that serves approximately 270 residential connections. TWC received the PUCT’s approval to proceed with the transaction. However, on February 24, 2025, TWC terminated the agreement since the seller was not able to meet the requirements of the related purchase and sale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Maine Regulatory Affairs</w:t>
      </w:r>
    </w:p>
    <w:p>
      <w:pPr>
        <w:spacing w:after="0" w:line="10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MWC’s rates, service and other matters affecting its business are subject to regulation by the MPUC. MPUC approves rates on a division-by-division basis in Maine and allows MWC to add surcharges to customers’ bills in order to recover certain costs associated with capital projects through the WISC in between general rate cases. Projects eligible for WISC surcharges include all infrastructure replacement or repair projects, excluding meters, that are necessary for the transmission, distribution or treatment of water.</w:t>
      </w:r>
    </w:p>
    <w:p>
      <w:pPr>
        <w:spacing w:after="0" w:line="7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rates approved in the Biddeford Saco division by the April 5, 2022 stipulated agreement, which authorized a rate increase of $6.3 million, or 72.5% went into effect on July 1, 2022. The Saco River Drinking Water Resource Center began supplying the water distribution system on June 16, 2022. As part of the stipulated agreement, MWC agreed to file a final phase of the rate case by April 1, 2023. Step 3 of the planned multi-year rate filings for the Saco River Drinking Water Resource Center was filed in accordance with the MPUC order on March 31, 2023. The filing requested an increase in revenue requirement of $2.9 million or 19.9% and requested that the increase be implemented over two years with a 12% increase effective July 1, 2023 followed by a 9% increase effective July 1, 2024 with a slight decrease in year three to reach the overall 19.9% requested. On August 25, 2023, the MPUC issued an order granting a temporary rate increase of $1.5 million or 10% while the case and the company’s full request are litigated. The company reached a settlement agreement with MPUC and the Office of the Public Advocate and filed a stipulated settlement agreement with the MPUC on December 22, 2023. The commission approved the stipulation in deliberations on January 5, 2024 with a rate effective date of January 1, 2024. The approved stipulation authorizes an increase in rates of $2.6 million or 17.6%. The Biddeford and Saco division’s increase in rates is based on an authorized return on equity of</w:t>
      </w:r>
    </w:p>
    <w:p>
      <w:pPr>
        <w:spacing w:after="0" w:line="5"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9.5% along with a capital structure of 49% debt and 51% equity. This return on equity and capital structure will be used for any future WISC calculations for all divisions until the MPUC has authorized or approved a different return on equity structure in a different proceeding.</w:t>
      </w:r>
    </w:p>
    <w:p>
      <w:pPr>
        <w:spacing w:after="0" w:line="200" w:lineRule="exact"/>
        <w:rPr>
          <w:sz w:val="20"/>
          <w:szCs w:val="20"/>
          <w:color w:val="auto"/>
        </w:rPr>
      </w:pPr>
    </w:p>
    <w:p>
      <w:pPr>
        <w:spacing w:after="0" w:line="31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MPUC issued orders approving surcharges for the Camden-Rockland, Freeport, Oakland and Millinocket divisions that in aggregate represent annual revenue increases of $0.3 million.</w:t>
      </w:r>
    </w:p>
    <w:p>
      <w:pPr>
        <w:spacing w:after="0" w:line="5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On October 25, 2024, MWC filed an application with MPUC to adjust customer rates in the Camden Rockland division. The proposal requested an increase in annual revenues of approximately $1.1 million, or 15.9%, over current authorized revenues. A decision is expected in the second quarter of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December 31, 2024, MWC filed for a unified tariff across its 10 separate rate divisions. A decision in this case is expected in the fourth quarter of 2025.</w:t>
      </w:r>
    </w:p>
    <w:p>
      <w:pPr>
        <w:spacing w:after="0" w:line="1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Please also see </w:t>
      </w:r>
      <w:r>
        <w:rPr>
          <w:rFonts w:ascii="Times New Roman" w:cs="Times New Roman" w:eastAsia="Times New Roman" w:hAnsi="Times New Roman"/>
          <w:sz w:val="18"/>
          <w:szCs w:val="18"/>
          <w:u w:val="single" w:color="auto"/>
          <w:color w:val="0000FF"/>
        </w:rPr>
        <w:t>Item 1A</w:t>
      </w:r>
      <w:r>
        <w:rPr>
          <w:rFonts w:ascii="Times New Roman" w:cs="Times New Roman" w:eastAsia="Times New Roman" w:hAnsi="Times New Roman"/>
          <w:sz w:val="18"/>
          <w:szCs w:val="18"/>
          <w:color w:val="auto"/>
        </w:rPr>
        <w:t xml:space="preserve">, “Risk Factors,” </w:t>
      </w:r>
      <w:r>
        <w:rPr>
          <w:rFonts w:ascii="Times New Roman" w:cs="Times New Roman" w:eastAsia="Times New Roman" w:hAnsi="Times New Roman"/>
          <w:sz w:val="18"/>
          <w:szCs w:val="18"/>
          <w:u w:val="single" w:color="auto"/>
          <w:color w:val="0000FF"/>
        </w:rPr>
        <w:t>Item 7</w:t>
      </w:r>
      <w:r>
        <w:rPr>
          <w:rFonts w:ascii="Times New Roman" w:cs="Times New Roman" w:eastAsia="Times New Roman" w:hAnsi="Times New Roman"/>
          <w:sz w:val="18"/>
          <w:szCs w:val="18"/>
          <w:color w:val="auto"/>
        </w:rPr>
        <w:t xml:space="preserve">, “Management’s Discussion and Analysis of Financial Condition and Results of Operations,” and </w:t>
      </w:r>
      <w:r>
        <w:rPr>
          <w:rFonts w:ascii="Times New Roman" w:cs="Times New Roman" w:eastAsia="Times New Roman" w:hAnsi="Times New Roman"/>
          <w:sz w:val="18"/>
          <w:szCs w:val="18"/>
          <w:u w:val="single" w:color="auto"/>
          <w:color w:val="0000FF"/>
        </w:rPr>
        <w:t>Note 3</w:t>
      </w:r>
      <w:r>
        <w:rPr>
          <w:rFonts w:ascii="Times New Roman" w:cs="Times New Roman" w:eastAsia="Times New Roman" w:hAnsi="Times New Roman"/>
          <w:sz w:val="18"/>
          <w:szCs w:val="18"/>
          <w:color w:val="auto"/>
        </w:rPr>
        <w:t xml:space="preserve"> of “Notes to Consolidated Financial Statements.”</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principal business of SJW Group consists of the production, purchase, storage, purification, distribution, wholesale and retail sale of water and wastewater services. SJWC provides water services to approximately 232,000 connections that serve approximately one million people over 140 square miles residing in portions of the cities of San Jose and Cupertino and in the cities of Campbell, Monte Sereno, Saratoga and in the Town of Los Gatos, and adjacent unincorporated territories, all in the County of Santa Clara in the State of California. The CTWS companies provide water service to approximately 142,000 service connections that serve a population of approximately 463,000 people in 81 municipalities with a service area of approximately 275 square miles throughout Connecticut and Maine and approximately 3,000 wastewater connections in Southbury, Connecticut. TWC provides water service to approximately 29,000 service connections that serve approximately 88,000 people in a service area comprising more than 271 square miles in the region between San Antonio and Austin, Texas and approximately 1,000 wastewater connections. Together, the Water Utility Services distribute water to customers in their respective service areas in accordance with accepted water utility methods. Water Utility Services also provide non-tariffed services under agreements with municipalities and other utilities. These non-tariffed services include water system operations, maintenance agreements and antenna site leases.</w:t>
      </w:r>
    </w:p>
    <w:p>
      <w:pPr>
        <w:spacing w:after="0" w:line="12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SJWC operates the Cupertino municipal water system under a service concession arrangement. The system is adjacent to the SJWC service area and has approximately 4,700 service connections. The original agreement commenced in October 1997 and expired on September 30, 2024. Effective October 2024, SJWC entered into a new 12-year agreement with Cupertino subject to an additional term of eight years if agreed to by the parties. SJWC paid an upfront concession fee of $22.1 million in 2024 and agreed to pay, beginning in 2024, an annual investment rent of $1.8 million, subject to adjustment each year based on a specified construction cost index. Under the terms of the agreement, SJWC assumes responsibility for all maintenance and operating costs of the system, while receiving all payments for water service.</w:t>
      </w:r>
    </w:p>
    <w:p>
      <w:pPr>
        <w:spacing w:after="0" w:line="12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CTWS provides contracted services to water utilities, as well as offers Linebacker® protection plans for public drinking water customers in the states of Connecticut and Maine. Linebacker plans cover a limited amount of the cost of repairs to water and wastewater service lines and in-home plumbing. Services provided are dependent on the selected plan.</w:t>
      </w:r>
    </w:p>
    <w:p>
      <w:pPr>
        <w:spacing w:after="0" w:line="9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SJW Land Company owns undeveloped real estate property in California. SJW Land Company previously owned commercial and warehouse properties in Tennessee, which were sold in 2024. Chester Realty, Inc. owns commercial properties and parcels of land in Connecticut.</w:t>
      </w:r>
    </w:p>
    <w:p>
      <w:pPr>
        <w:spacing w:after="0" w:line="94"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Among other things, operating results from the water business fluctuate according to the demand for water, which is often influenced by seasonal conditions, such as impact of drought, summer temperatures or the amount and timing of precipitation in Water Utility Services’ service areas. Revenue, production expenses and income are affected by changes in water sales and the sources of water supply. Overhead costs, such as payroll and benefits, depreciation, interest on long-term debt, and property taxes are not significantly impacted by seasonality or water supply mix. Generally, earnings are highest in the higher demand, warm summer months and lowest in the lower demand, cool winter months. Certain regulatory mechanisms in our service areas may mitigate the effects of demand fluctuations and/or variations in water supply costs on our operating results.</w:t>
      </w:r>
    </w:p>
    <w:p>
      <w:pPr>
        <w:spacing w:after="0" w:line="1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Water Supply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California Water Supply</w:t>
      </w:r>
    </w:p>
    <w:p>
      <w:pPr>
        <w:spacing w:after="0" w:line="11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SJWC’s water supply consists of groundwater from wells, surface water from watershed run-off and diversion, reclaimed water, and imported water purchased from Valley Water under the terms of a master contract with Valley Water expiring in 2051. During normal rainfall years, purchased water provides approximately 40% to 50% of SJWC’s annual production. An additional 40% to 50% of its water supply is pumped from the underground basin which is subject to a groundwater extraction charge paid to Valley Water. Surface supply, which during a normal rainfall year satisfies about 6% to 8% of SJWC’s annual</w:t>
      </w:r>
    </w:p>
    <w:p>
      <w:pPr>
        <w:spacing w:after="0" w:line="200" w:lineRule="exact"/>
        <w:rPr>
          <w:sz w:val="20"/>
          <w:szCs w:val="20"/>
          <w:color w:val="auto"/>
        </w:rPr>
      </w:pPr>
    </w:p>
    <w:p>
      <w:pPr>
        <w:spacing w:after="0" w:line="32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water supply needs, provides approximately 1% of its water supply in a dry year and approximately 14% in a wet year. In dry years, the decrease in water from surface run-off and diversion and the corresponding increase in purchased and pumped water increases production expenses substantially. The opposite is also true where water production expenses decrease in wet years. In both instances, the impacts of surface water, purchased water, groundwater extraction, and purchased power expenses are tracked in SJWC’s Full Cost Balancing Account (“FCBA”) authorized by the CPUC for cost recovery.</w:t>
      </w:r>
    </w:p>
    <w:p>
      <w:pPr>
        <w:spacing w:after="0" w:line="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pumps and motors at SJWC’s groundwater production facilities are propelled by electric power. SJWC has installed standby power generators at 38 of its strategic water production sites and manages a fleet of 22 portable generators deployed throughout the distribution system for power outages at remaining pumping facilities. In addition, the commercial office and operations control centers are outfitted with standby power equipment that allow critical distribution and customer service operations to continue during a power outage. Valley Water has informed SJWC that its filter plants, which deliver purchased water to SJWC, are also equipped with standby generators. In the event of a power outage, SJWC believes it will be able to prevent an interruption of service to customers for a limited period by pumping water using generator power and by using purchased water from Valley Water.</w:t>
      </w:r>
    </w:p>
    <w:p>
      <w:pPr>
        <w:spacing w:after="0" w:line="79"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7"/>
          <w:szCs w:val="17"/>
          <w:color w:val="auto"/>
        </w:rPr>
        <w:t>In 2024, the level of water in the Santa Clara Valley groundwater basin, which is managed by Valley Water, experienced a decrease in most areas due to a decrease in managed recharge operations and a decline in natural recharge associated with less rainfall compared to 2023. As reported by Valley Water at the end of 2024, the groundwater level in the Santa Clara Plain was eight feet lower compared to the same time in 2023. The total groundwater storage at the end of 2024 was within Stage 1 (Normal) of the Valley Water’s Water Shortage Contingency Plan. On January 1, 2025, Valley Water’s 10 reservoirs were 51% of restricted capacity with 10.4 billion gallons of water in storage. As of December 31, 2024, SJWC’s Lake Elsman was 54.2% of capacity with 1.1 billion gallons of water, approximately 145.6% of the five-year seasonal average. In addition, the rainfall at SJWC’s Lake Elsman was measured at</w:t>
      </w:r>
    </w:p>
    <w:p>
      <w:pPr>
        <w:spacing w:after="0" w:line="5" w:lineRule="exact"/>
        <w:rPr>
          <w:sz w:val="20"/>
          <w:szCs w:val="20"/>
          <w:color w:val="auto"/>
        </w:rPr>
      </w:pPr>
    </w:p>
    <w:p>
      <w:pPr>
        <w:jc w:val="both"/>
        <w:ind w:right="220"/>
        <w:spacing w:after="0" w:line="277" w:lineRule="auto"/>
        <w:rPr>
          <w:sz w:val="20"/>
          <w:szCs w:val="20"/>
          <w:color w:val="auto"/>
        </w:rPr>
      </w:pPr>
      <w:r>
        <w:rPr>
          <w:rFonts w:ascii="Times New Roman" w:cs="Times New Roman" w:eastAsia="Times New Roman" w:hAnsi="Times New Roman"/>
          <w:sz w:val="17"/>
          <w:szCs w:val="17"/>
          <w:color w:val="auto"/>
        </w:rPr>
        <w:t>15.11 inches for the period from July 1, 2024 through December 31, 2024, which is 79.2% of the five-year average. SJWC’s Montevina Water Treatment Plant treated 3.3 billion gallons of water in 2024, which is 132.2% of the five-year average. SJWC’s Saratoga Water Treatment Plant remained offline in 2024 for regulatory improvements. SJWC believes that its various sources of water supply will be sufficient to meet customer demand in 2025.</w:t>
      </w:r>
    </w:p>
    <w:p>
      <w:pPr>
        <w:spacing w:after="0" w:line="6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California faces long-term water supply challenges. SJWC actively works with Valley Water to meet the challenges by continuing to educate customers on responsible water use practices and conducting long-range water supply planning. Valley Water's 15% voluntary call for conservation and certain watering and water waste rules established in 2023, are still in place for 2025. The call for continued conservation is due to a major storage reservoir currently offline for seismic retrofits.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Connecticut Water Supply</w:t>
      </w:r>
    </w:p>
    <w:p>
      <w:pPr>
        <w:spacing w:after="0" w:line="11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CWC’s water sources vary among the individual systems, but overall, approximately 60% of the total dependable yield comes from surface water supplies and 40% from wells. In addition, CWC has water supply agreements to supplement its water supply with the South Central Connecticut Regional Water Authority (“RWA”) and The Metropolitan District (“MDC”) that expire 2058 and 2053, respectively. CWC believes that it will be able to meet customer demand for 2025 with its existing water supply which consists of groundwater from wells, surface water in reservoirs and purchased water treated by neighboring water utilities.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Texas Water Supply</w:t>
      </w:r>
    </w:p>
    <w:p>
      <w:pPr>
        <w:spacing w:after="0" w:line="11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TWC’s water supply consists of groundwater from wells and purchased treated and raw water from the Guadalupe-Blanco River Authority (“GBRA”). TWC has long-term agreements with the GBRA, which expire in 2037, 2040, 2044 and 2050, respectively. The agreements, which are take-or-pay contracts, provide TWC with an aggregate of 7,602 acre-feet of water per year from Canyon Lake at prices that may be adjusted periodically by GBRA. TWC also has raw water supply agreements with the Lower Colorado River Authority (“LCRA”) and West Travis County Public Utility Agency (“WTCPUA”) expiring in 2059 and 2046, respectively, to provide for 350 acre-feet of water per year from Lake Austin and the Colorado River, respectively, at prices that may be adjusted periodically by the agencies. Forty active production wells located in a Comal Trinity Groundwater Conservation District, a regulated portion of the Trinity aquifer, are charged a groundwater pump tax based upon usage. TWC expects to meet customer demand for 2025 with TWC’s water supply which consists of groundwater from wells, surface water and purchased treated and raw water from the GBRA, based on current conditions.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August 2023, SJWTX Holdings Inc.’s unregulated subsidiary, TWR, acquired eight wells and the associated water rights of KT Water Resources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(“KTR”). During the third quarter of 2024, TWC purchased these assets from TWR for use in utility operations. Accordingly, SJW Group reclassified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$28.4 million related to indefinite-lived water rights from other intangible assets to utility plant intangible assets and $11.7 million from nonutility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utility plant. These wells have been projected to yield an additional 6,000 acre-feet per year or more. Development of the KT Water System continues.</w:t>
      </w:r>
    </w:p>
    <w:p>
      <w:pPr>
        <w:spacing w:after="0" w:line="99" w:lineRule="exact"/>
        <w:rPr>
          <w:sz w:val="20"/>
          <w:szCs w:val="20"/>
          <w:color w:val="auto"/>
        </w:rPr>
      </w:pPr>
    </w:p>
    <w:p>
      <w:pPr>
        <w:ind w:right="760"/>
        <w:spacing w:after="0" w:line="312" w:lineRule="auto"/>
        <w:rPr>
          <w:sz w:val="20"/>
          <w:szCs w:val="20"/>
          <w:color w:val="auto"/>
        </w:rPr>
      </w:pPr>
      <w:r>
        <w:rPr>
          <w:rFonts w:ascii="Times New Roman" w:cs="Times New Roman" w:eastAsia="Times New Roman" w:hAnsi="Times New Roman"/>
          <w:sz w:val="17"/>
          <w:szCs w:val="17"/>
          <w:color w:val="auto"/>
        </w:rPr>
        <w:t xml:space="preserve">The Texas service area is currently experiencing drought conditions </w:t>
      </w:r>
      <w:r>
        <w:rPr>
          <w:rFonts w:ascii="Times New Roman" w:cs="Times New Roman" w:eastAsia="Times New Roman" w:hAnsi="Times New Roman"/>
          <w:sz w:val="17"/>
          <w:szCs w:val="17"/>
          <w:color w:val="212121"/>
        </w:rPr>
        <w:t>that result in water usage restrictions for customers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121"/>
        </w:rPr>
        <w:t>Significant future capital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121"/>
        </w:rPr>
        <w:t>investment of transmission main and storage facilities in addition to developing additional supply sources is planned for 2025 and beyond.</w:t>
      </w:r>
    </w:p>
    <w:p>
      <w:pPr>
        <w:spacing w:after="0" w:line="200" w:lineRule="exact"/>
        <w:rPr>
          <w:sz w:val="20"/>
          <w:szCs w:val="20"/>
          <w:color w:val="auto"/>
        </w:rPr>
      </w:pPr>
    </w:p>
    <w:p>
      <w:pPr>
        <w:spacing w:after="0" w:line="27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Maine Water Supply</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Water sources at MWC vary among the individual systems, but overall, approximately 90% of the total dependable yield comes from surface water supplies and 10% from wells. MWC has a water supply agreement with the Kennebec Water District expiring in 2040. MWC believes that it will be able to meet customer demand for 2025 with its existing water supply which consists of groundwater from wells, surface water in reservoirs and purchased water treated by neighboring water utilities.</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MWC relies on legislatively granted water rights in order to serve customers. In some instances, these rights were granted to predecessor water companies specially chartered by the Maine legislature many decades ago, with those entities later having been merged into MWC. The legislation incorporating these predecessor water companies did not address whether chartered rights may be transferred to another entity without special legislative action. The Maine Business Corporation Act generally provides that property and contract rights of a merged corporation are vested in the surviving corporation without reversion or impairment. In the MPUC proceedings that approved the mergers of these MWC predecessor companies, the survivorship of water rights was not contested.</w:t>
      </w:r>
    </w:p>
    <w:p>
      <w:pPr>
        <w:spacing w:after="0" w:line="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Please also see further discussion under </w:t>
      </w:r>
      <w:r>
        <w:rPr>
          <w:rFonts w:ascii="Times New Roman" w:cs="Times New Roman" w:eastAsia="Times New Roman" w:hAnsi="Times New Roman"/>
          <w:sz w:val="18"/>
          <w:szCs w:val="18"/>
          <w:u w:val="single" w:color="auto"/>
          <w:color w:val="0000FF"/>
        </w:rPr>
        <w:t>Item 1A</w:t>
      </w:r>
      <w:r>
        <w:rPr>
          <w:rFonts w:ascii="Times New Roman" w:cs="Times New Roman" w:eastAsia="Times New Roman" w:hAnsi="Times New Roman"/>
          <w:sz w:val="18"/>
          <w:szCs w:val="18"/>
          <w:color w:val="auto"/>
        </w:rPr>
        <w:t xml:space="preserve">, “Risk Factors” and </w:t>
      </w:r>
      <w:r>
        <w:rPr>
          <w:rFonts w:ascii="Times New Roman" w:cs="Times New Roman" w:eastAsia="Times New Roman" w:hAnsi="Times New Roman"/>
          <w:sz w:val="18"/>
          <w:szCs w:val="18"/>
          <w:u w:val="single" w:color="auto"/>
          <w:color w:val="0000FF"/>
        </w:rPr>
        <w:t>Item 7</w:t>
      </w:r>
      <w:r>
        <w:rPr>
          <w:rFonts w:ascii="Times New Roman" w:cs="Times New Roman" w:eastAsia="Times New Roman" w:hAnsi="Times New Roman"/>
          <w:sz w:val="18"/>
          <w:szCs w:val="18"/>
          <w:color w:val="auto"/>
        </w:rPr>
        <w:t>, “Management’s Discussion and Analysis of Financial Condition and Results of Operations.”</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Franchises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Franchises granted by local jurisdictions permit Water Utility Services to construct, maintain, and operate water distribution systems within the streets and other public properties of a given jurisdiction.</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SJWC holds the necessary franchises to provide water in portions of the cities of San Jose and Cupertino and in the cities of Campbell, Monte Sereno and Saratoga, the Town of Los Gatos and the unincorporated areas of Santa Clara County. None of the franchises have a termination date, other than the franchise for the unincorporated areas of Santa Clara County, which terminates in 2035.</w:t>
      </w:r>
    </w:p>
    <w:p>
      <w:pPr>
        <w:spacing w:after="0" w:line="6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CWC’s utility services hold the necessary franchises to provide water in portions of the towns of Ashford, Avon, Beacon Falls, Bethany, Bolton, Brooklyn, Burlington, Canton, Chester, Clinton, Colchester, Columbia, Coventry, Deep River, Durham, East Granby, East Haddam, East Hampton, East Windsor, Ellington, Enfield, Essex, Farmington, Griswold, Guilford, Haddam, Hebron, Killingly, Killingworth, Lebanon, Madison, Manchester, Mansfield, Marlborough, Middlebury, Naugatuck, Old Lyme, Old Saybrook, Oxford, Plainfield, Plymouth, Portland, Prospect, Simsbury, Somers, Southbury, South Windsor, Stafford, Stonington, Suffield, Thomaston, Thompson, Tolland, Vernon, Voluntown, Waterbury, Westbrook, Willington, Windsor Locks and Woodstock. Additionally, the Heritage Village Water division serves the Town of Southbury with wastewater services. None of the franchises of the CWC utility services have a termination date.</w:t>
      </w:r>
    </w:p>
    <w:p>
      <w:pPr>
        <w:spacing w:after="0" w:line="8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MWC holds franchises necessary to provide water services in the towns served which are Biddeford, Saco, Old Orchard Beach, Scarborough (Pine Point), Porter, Parsonsfield, Hiram, Freeport, Camden, Rockland, Rockport, Owls Head, Union, Thomaston, Warren, Bucksport, Skowhegan, Oakland, Hartland, Millinocket and Greenville. None of the franchises with MWC have a termination date.</w:t>
      </w:r>
    </w:p>
    <w:p>
      <w:pPr>
        <w:spacing w:after="0" w:line="6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TWC holds the franchises necessary to provide water and wastewater services to the City of Bulverde and the City of Spring Branch, which terminate in 2029 and 2036, respectively. The unincorporated areas that TWC serves in Comal, Blanco, Bandera, Hays, Kendall, Medina and Travis Counties do not require water service providers to obtain franchises.</w:t>
      </w:r>
    </w:p>
    <w:p>
      <w:pPr>
        <w:spacing w:after="0" w:line="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Seasonal Factors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Water sales are seasonal in nature and influenced by weather conditions. The timing of precipitation and climatic conditions can cause seasonal water consumption by customers to vary significantly. Demand for water is generally lower during the cooler and rainy winter months. Demand increases in the spring when the temperature rises and rain diminishes.</w:t>
      </w:r>
    </w:p>
    <w:p>
      <w:pPr>
        <w:spacing w:after="0" w:line="1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regulated operations of Water Utility Services are public utilities regulated by applicable state public utility commissions and operate within service areas approved by such regulators. Statutory laws provide that no other investor-owned public utility may operate in the service area of another public utility of the same class (e.g., another water utility) without first obtaining from the regulator a certificate of public convenience and necessity or similar authorization. Experience shows such a certificate will be issued only after demonstrating that service in such area is inadequate.</w:t>
      </w:r>
    </w:p>
    <w:p>
      <w:pPr>
        <w:spacing w:after="0" w:line="72"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laws of the states in which Water Utility Services provide regulated services generally provide that municipalities, water districts, and/or other public agencies of state governments (each, a “Public Agency”) are authorized to engage in the ownership and operation of water systems. Such Public Agencies are empowered, under certain circumstances, to condemn properties, and/or exercise the right of eminent domain on property operated by privately owned public utilities, upon payment of just</w:t>
      </w:r>
    </w:p>
    <w:p>
      <w:pPr>
        <w:spacing w:after="0" w:line="200" w:lineRule="exact"/>
        <w:rPr>
          <w:sz w:val="20"/>
          <w:szCs w:val="20"/>
          <w:color w:val="auto"/>
        </w:rPr>
      </w:pPr>
    </w:p>
    <w:p>
      <w:pPr>
        <w:spacing w:after="0" w:line="31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compensation. Furthermore, under California law, Public Agencies are authorized to issue bonds (including revenue bonds) for the purpose of acquiring or constructing water systems.</w:t>
      </w:r>
    </w:p>
    <w:p>
      <w:pPr>
        <w:spacing w:after="0" w:line="5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Under Connecticut law, any condemnation of water utility property by a Public Agency requires the approval of the PURA and under current Texas case law, a Public Agency may not exercise that right of eminent domain to take the entire operation of an investor-owned utility.</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the company’s knowledge, no Public Agency has any pending proceeding to condemn any part of its existing water systems, nor to exercise any eminent domain proceeding to take any of its property or operations.</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Water Utility Services produces potable water and generates wastewater and hazardous wastes in accordance with all applicable county, state and federal environmental rules and regulations. Additionally, public utilities are subject to environmental regulation by various other state and local governmental authorities.</w:t>
      </w:r>
    </w:p>
    <w:p>
      <w:pPr>
        <w:spacing w:after="0" w:line="6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Water Utility Services is currently in compliance with all of the United States Environmental Protection Agency’s (the “EPA”) surface water treatment performance standards, drinking water standards for disinfection by-products and primary maximum contaminant levels. These standards have been adopted and are enforced by the applicable state water, public health and environmental agencies.</w:t>
      </w:r>
    </w:p>
    <w:p>
      <w:pPr>
        <w:spacing w:after="0" w:line="6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Other state and local environmental regulations apply to our Water Utility Services’ operations and facilities. These regulations relate primarily to the handling, storage and disposal of hazardous materials and discharges to the environment, including wastewater operations in the States of Connecticut and Texas. In 2016, SJWC began performing hazardous materials site assessments and remediation prior to the construction phase of capital projects. The site assessments are performed to remove any legacy materials and to obtain site closures from the Santa Clara County Department of Environmental Health under its Voluntary Cleanup Program.</w:t>
      </w:r>
    </w:p>
    <w:p>
      <w:pPr>
        <w:spacing w:after="0" w:line="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April 2024, the EPA issued new national primary drinking water regulations for six PFAS. The regulations impose maximum contaminant levels and monitoring requirements for the nation’s water systems for six PFAS chemicals under the Safe Drinking Water Act. The final regulation requires water systems to comply with PFAS monitoring and reporting requirements by 2027, and to comply with the maximum contaminant levels by 2029. SJW Group estimates capital expenditures of approximately $300 million for PFAS treatment based on finalized maximum contaminant levels.</w:t>
      </w:r>
    </w:p>
    <w:p>
      <w:pPr>
        <w:spacing w:after="0" w:line="72" w:lineRule="exact"/>
        <w:rPr>
          <w:sz w:val="20"/>
          <w:szCs w:val="20"/>
          <w:color w:val="auto"/>
        </w:rPr>
      </w:pPr>
    </w:p>
    <w:p>
      <w:pPr>
        <w:ind w:right="660"/>
        <w:spacing w:after="0" w:line="389" w:lineRule="auto"/>
        <w:rPr>
          <w:sz w:val="20"/>
          <w:szCs w:val="20"/>
          <w:color w:val="auto"/>
        </w:rPr>
      </w:pPr>
      <w:r>
        <w:rPr>
          <w:rFonts w:ascii="Times New Roman" w:cs="Times New Roman" w:eastAsia="Times New Roman" w:hAnsi="Times New Roman"/>
          <w:sz w:val="18"/>
          <w:szCs w:val="18"/>
          <w:color w:val="auto"/>
        </w:rPr>
        <w:t xml:space="preserve">Water Utility Services is currently in compliance with all state and local public health and environmental regulations applicable to their operations. Please also see Part II, </w:t>
      </w:r>
      <w:r>
        <w:rPr>
          <w:rFonts w:ascii="Times New Roman" w:cs="Times New Roman" w:eastAsia="Times New Roman" w:hAnsi="Times New Roman"/>
          <w:sz w:val="18"/>
          <w:szCs w:val="18"/>
          <w:u w:val="single" w:color="auto"/>
          <w:color w:val="0000FF"/>
        </w:rPr>
        <w:t>Item 7</w:t>
      </w:r>
      <w:r>
        <w:rPr>
          <w:rFonts w:ascii="Times New Roman" w:cs="Times New Roman" w:eastAsia="Times New Roman" w:hAnsi="Times New Roman"/>
          <w:sz w:val="18"/>
          <w:szCs w:val="18"/>
          <w:color w:val="auto"/>
        </w:rPr>
        <w:t>, “Management’s Discussion and Analysis of Financial Condition and Results of Operations.”</w:t>
      </w:r>
    </w:p>
    <w:p>
      <w:pPr>
        <w:ind w:left="58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order to continue to achieve SJW Group’s mission of delivering life sustaining, high-quality water and exceptional service to families, businesses and communities, we are committed to attract, retain and develop the highest quality talent. We believe our employees are our most important asset. Throughout our organization, our employees embrace the company’s values of teamwork and respect, straight talk and transparency, integrity and trust, and service and compassion in everything we do. Employees participate in semi-annual employee engagement and satisfaction surveys providing feedback that enables the company to continually assess and implement initiatives to enhance employee satisfaction and retention. Through our board and its committees, we are empowered to address factors that impact our employee strategy and drive positive change in our company and our communities. Our human capital measures and objectives focus on providing a safe and productive work environment that has clear positive and ethical values; a culture that encourages high performance, respect for each other, and celebrates diversity; jobs that offer fair wages as benchmarked to the markets that we live and work in; competitive wages and benefits; and training and development opportunities that support our employees to establish and succeed in meaningful careers at SJW Group.</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Basic Workforce Data</w:t>
      </w:r>
    </w:p>
    <w:p>
      <w:pPr>
        <w:spacing w:after="0" w:line="117"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As of December 31, 2024, SJW Group had 822 full-time employees, of whom 395 were SJWC employees, 244 were CWC employees, 99 were TWC employees, and 84 were MWC employees. At SJWC, 241 employees are members of unions. Employees working for CWC, MWC and TWC are not represented by unions.</w:t>
      </w:r>
    </w:p>
    <w:p>
      <w:pPr>
        <w:spacing w:after="0" w:line="6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the first quarter of 2023, SJWC executed three-year bargaining agreements with the International Union of Operating Engineers (“OE”), representing certain employees in the engineering department, and the Utility Workers of America (“UWUA”), representing the majority of all non-administrative employees at SJWC covering the period from January 1, 2023</w:t>
      </w:r>
    </w:p>
    <w:p>
      <w:pPr>
        <w:spacing w:after="0" w:line="200" w:lineRule="exact"/>
        <w:rPr>
          <w:sz w:val="20"/>
          <w:szCs w:val="20"/>
          <w:color w:val="auto"/>
        </w:rPr>
      </w:pPr>
    </w:p>
    <w:p>
      <w:pPr>
        <w:spacing w:after="0" w:line="31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60"/>
        <w:spacing w:after="0" w:line="375" w:lineRule="auto"/>
        <w:rPr>
          <w:sz w:val="20"/>
          <w:szCs w:val="20"/>
          <w:color w:val="auto"/>
        </w:rPr>
      </w:pPr>
      <w:r>
        <w:rPr>
          <w:rFonts w:ascii="Times New Roman" w:cs="Times New Roman" w:eastAsia="Times New Roman" w:hAnsi="Times New Roman"/>
          <w:sz w:val="18"/>
          <w:szCs w:val="18"/>
          <w:color w:val="auto"/>
        </w:rPr>
        <w:t xml:space="preserve">through December 31, 2025. The agreements include a 6% wage increase provided in 2023, 3.5% in 2024 and 5.5% in 2025 for the union employees. </w:t>
      </w:r>
      <w:r>
        <w:rPr>
          <w:rFonts w:ascii="Times New Roman" w:cs="Times New Roman" w:eastAsia="Times New Roman" w:hAnsi="Times New Roman"/>
          <w:sz w:val="18"/>
          <w:szCs w:val="18"/>
          <w:u w:val="single" w:color="auto"/>
          <w:color w:val="auto"/>
        </w:rPr>
        <w:t>Employee Safety</w:t>
      </w:r>
    </w:p>
    <w:p>
      <w:pPr>
        <w:spacing w:after="0" w:line="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Aiming for a “zero-harm” culture, our vision is to manage health and safety performance to become a leader in the water services industry. Protecting the health and safety of our employees is a top priority. Our employee health and safety programs, focus on four core elements:</w:t>
      </w:r>
    </w:p>
    <w:p>
      <w:pPr>
        <w:spacing w:after="0" w:line="54"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Leadership: demonstrating management commitment and support, empowering local teams to be accountable for safety;</w:t>
      </w:r>
    </w:p>
    <w:p>
      <w:pPr>
        <w:spacing w:after="0" w:line="117"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involving every employee in all aspects of the safety program, connecting safety initiatives to serving employees, customers, shareholders, our communities and the environment;</w:t>
      </w:r>
    </w:p>
    <w:p>
      <w:pPr>
        <w:spacing w:after="0" w:line="53"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 Identification and Control: inspecting workplaces, identifying hazards, implementing controls, and partnering with the front-line teams responsible for delivering reliable, clean, safe drinking water and service; and,</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training employees on hazards and how to protect themselves. Incident and crisis management of both known and unknown threats to employee health and safety are anticipated and planned for by our safety team.</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specific targets that set the trajectory of our safety program to ensure continuous improvement, including:</w:t>
      </w:r>
    </w:p>
    <w:p>
      <w:pPr>
        <w:spacing w:after="0" w:line="11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processes and systems to track, monitor, report and continually improve health and safety performance;</w:t>
      </w:r>
    </w:p>
    <w:p>
      <w:pPr>
        <w:spacing w:after="0" w:line="11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 the updated Health and Safety Policy to employees to promote compliance, consultation, and participation of workers on health and safety matters;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Strive for zero accidents and injuries.</w:t>
      </w:r>
    </w:p>
    <w:p>
      <w:pPr>
        <w:spacing w:after="0" w:line="11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implemented several management systems to plan and respond to workplace safety and training as well as incidents such as pandemics, wildfires, earthquakes, cyber threats and extreme weather, among others. The goal is to safeguard our employees’ health and safety during local, national, or global incidents. Locally, workplace hazards are identified by onsite inspections and from near-miss investigations. More broadly, the team collaborates to anticipate and plan for external events such as a pandemic or for extreme weather or other external events that could impact our operations. Proactive identification of hazards keeps us one step ahead of our constantly changing workplace conditions.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Engagement and Satisfaction</w:t>
      </w:r>
    </w:p>
    <w:p>
      <w:pPr>
        <w:spacing w:after="0" w:line="117"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SJW Group has invested significantly in employee engagement and satisfaction in alignment with its values and five building blocks of Community, Customers, Employees, Environment and Shareholders. Employees across SJW Group identified and adopted four sets of core values to guide their work and interactions: integrity and trust, compassion and service, straight talk and transparency, and respect and teamwork. Our leadership employs a servant leadership model where all leaders are encouraged and expected to provide service to their people ensuring that they continue to grow and thrive in their profession, knowledge, and general well-being. Regular “Straight Talk” meetings, employee town halls and quarterly “Leadership on Tap” gatherings are held to continue to build and support our culture and values. Additionally, the company provides ongoing opportunities for employee recognition from peers and leaders and also administers an employee engagement and satisfaction survey twice per year.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Community Involvement</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support of our mission as trusted, passionate and socially responsible professionals, we are dedicated to the people and the environment of the communities where we live, work, and serve. SJW Group provides various opportunities for our employees to participate in outreach programs from free virtual education programs for adults, employee-led courses for elementary school aged children, winter coat donation drives, environmental cleanups, community events, and grant programs supporting schools and fire departments. The Force for Good Foundation, established in 2024, is a non-consolidated not-for-profit corporation funded by SJW Group that plans to make contributions to selected charitable organizations with a focus on the communities served. SJWC and CWC also have matching donations for certain programs to further promote our employees’ involvement in their communities. In California, the SJWC Employees Community Fund is a 501(c)(3) charitable organization that uses funds from employee contributions and company matches to provide grants to non-profit organizations supported by our employees.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Wages and Competitive Benefits</w:t>
      </w:r>
    </w:p>
    <w:p>
      <w:pPr>
        <w:spacing w:after="0" w:line="117"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SJW Group’s future success is largely dependent upon our ability to attract and retain highly skilled and qualified employees. Our California and Connecticut subsidiaries operate in particularly competitive labor markets; we believe our compensation</w:t>
      </w:r>
    </w:p>
    <w:p>
      <w:pPr>
        <w:spacing w:after="0" w:line="200" w:lineRule="exact"/>
        <w:rPr>
          <w:sz w:val="20"/>
          <w:szCs w:val="20"/>
          <w:color w:val="auto"/>
        </w:rPr>
      </w:pPr>
    </w:p>
    <w:p>
      <w:pPr>
        <w:spacing w:after="0" w:line="29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package and benefit programs allow us to recruit and retain talented and qualified personnel. Our compensation and benefits programs include:</w:t>
      </w:r>
    </w:p>
    <w:p>
      <w:pPr>
        <w:spacing w:after="0" w:line="117" w:lineRule="exact"/>
        <w:rPr>
          <w:sz w:val="20"/>
          <w:szCs w:val="20"/>
          <w:color w:val="auto"/>
        </w:rPr>
      </w:pPr>
    </w:p>
    <w:p>
      <w:pPr>
        <w:ind w:left="660" w:right="9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employee wages as benchmarked to the markets that our employees live and work in that are consistent with employee roles and responsibilities, skill levels, experience, and knowledge;</w:t>
      </w:r>
    </w:p>
    <w:p>
      <w:pPr>
        <w:spacing w:after="0" w:line="53"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Engagement of nationally, recognized outside compensation and benefits consulting firms to independently evaluate the appropriateness and effectiveness of compensation for our executive and other officers and to provide benchmarks for executive compensation as compared to peer companies;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incentive compensation for management level staff aligning with company financial and operational goals targeted to our stakeholders: customers, communities, employees, and stockholders;</w:t>
      </w:r>
    </w:p>
    <w:p>
      <w:pPr>
        <w:spacing w:after="0" w:line="53"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Alignment with stockholder value by utilizing equity awards linked to investment performance over time, as well as certain absolute financial results;</w:t>
      </w:r>
    </w:p>
    <w:p>
      <w:pPr>
        <w:spacing w:after="0" w:line="53"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comprehensive annual employee performance review process pursuant to which we determine and communicate to employees annual merit increases, promotions and other changes to responsibilities and duties; and</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for all employees to participate in health insurance, dental, vision, cafeteria plans, life and disability/accident coverage, retirement plans and/or salary deferral plans, an employee stock purchase plan, paid and unpaid leaves, a commuter assistance program, professional education and training, and tuition assistance.</w:t>
      </w:r>
    </w:p>
    <w:p>
      <w:pPr>
        <w:spacing w:after="0" w:line="200" w:lineRule="exact"/>
        <w:rPr>
          <w:sz w:val="20"/>
          <w:szCs w:val="20"/>
          <w:color w:val="auto"/>
        </w:rPr>
      </w:pPr>
    </w:p>
    <w:p>
      <w:pPr>
        <w:spacing w:after="0" w:line="31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name, age, offices held and business experience for each of our executive officers, as of February 27, 2025:</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8560" w:type="dxa"/>
            <w:vAlign w:val="bottom"/>
          </w:tcPr>
          <w:p>
            <w:pPr>
              <w:ind w:left="3640"/>
              <w:spacing w:after="0"/>
              <w:rPr>
                <w:sz w:val="20"/>
                <w:szCs w:val="20"/>
                <w:color w:val="auto"/>
              </w:rPr>
            </w:pPr>
            <w:r>
              <w:rPr>
                <w:rFonts w:ascii="Times New Roman" w:cs="Times New Roman" w:eastAsia="Times New Roman" w:hAnsi="Times New Roman"/>
                <w:sz w:val="14"/>
                <w:szCs w:val="14"/>
                <w:b w:val="1"/>
                <w:bCs w:val="1"/>
                <w:color w:val="auto"/>
              </w:rPr>
              <w:t>Offices and Experience</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5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SJW Group—Vice President and General Counsel. </w:t>
            </w:r>
            <w:r>
              <w:rPr>
                <w:rFonts w:ascii="Times New Roman" w:cs="Times New Roman" w:eastAsia="Times New Roman" w:hAnsi="Times New Roman"/>
                <w:sz w:val="18"/>
                <w:szCs w:val="18"/>
                <w:color w:val="auto"/>
              </w:rPr>
              <w:t>Mr. Brown serves as Vice President and General Counsel of</w:t>
            </w:r>
          </w:p>
        </w:tc>
        <w:tc>
          <w:tcPr>
            <w:tcW w:w="0" w:type="dxa"/>
            <w:vAlign w:val="bottom"/>
          </w:tcPr>
          <w:p>
            <w:pPr>
              <w:spacing w:after="0" w:line="20" w:lineRule="exact"/>
              <w:rPr>
                <w:sz w:val="1"/>
                <w:szCs w:val="1"/>
                <w:color w:val="auto"/>
              </w:rPr>
            </w:pPr>
          </w:p>
        </w:tc>
      </w:tr>
      <w:tr>
        <w:trPr>
          <w:trHeight w:val="209"/>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Willie Brown</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8"/>
                <w:szCs w:val="18"/>
                <w:color w:val="auto"/>
              </w:rPr>
            </w:pPr>
          </w:p>
        </w:tc>
        <w:tc>
          <w:tcPr>
            <w:tcW w:w="8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SJW Group and SJWC since June 2021. Mr. Brown served as Corporate Secretary of SJW Group and SJWC from</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January 2020 to October 2023. Mr. Brown served as Assistant General Counsel of SJW Group and SJWC from</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January 2020 to June 2021. From April 2018 to October 2023, Mr. Brown served as counsel and Corporate</w:t>
            </w: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Secretary of various subsidiaries of the Corporation. Since joining SJWC in 2008, Mr. Brown has held various legal</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positions of increasing scope and responsibly. Prior to joining SJWC, Mr. Brown was an associate at two Silicon</w:t>
            </w:r>
          </w:p>
        </w:tc>
        <w:tc>
          <w:tcPr>
            <w:tcW w:w="0" w:type="dxa"/>
            <w:vAlign w:val="bottom"/>
          </w:tcPr>
          <w:p>
            <w:pPr>
              <w:spacing w:after="0"/>
              <w:rPr>
                <w:sz w:val="1"/>
                <w:szCs w:val="1"/>
                <w:color w:val="auto"/>
              </w:rPr>
            </w:pPr>
          </w:p>
        </w:tc>
      </w:tr>
      <w:tr>
        <w:trPr>
          <w:trHeight w:val="221"/>
        </w:trPr>
        <w:tc>
          <w:tcPr>
            <w:tcW w:w="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Valley law firms and is a member of the State Bar of California.</w:t>
            </w:r>
          </w:p>
        </w:tc>
        <w:tc>
          <w:tcPr>
            <w:tcW w:w="0" w:type="dxa"/>
            <w:vAlign w:val="bottom"/>
          </w:tcPr>
          <w:p>
            <w:pPr>
              <w:spacing w:after="0"/>
              <w:rPr>
                <w:sz w:val="1"/>
                <w:szCs w:val="1"/>
                <w:color w:val="auto"/>
              </w:rPr>
            </w:pPr>
          </w:p>
        </w:tc>
      </w:tr>
      <w:tr>
        <w:trPr>
          <w:trHeight w:val="184"/>
        </w:trPr>
        <w:tc>
          <w:tcPr>
            <w:tcW w:w="22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Douwe Busschops</w:t>
            </w:r>
          </w:p>
        </w:tc>
        <w:tc>
          <w:tcPr>
            <w:tcW w:w="2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6"/>
                <w:szCs w:val="16"/>
                <w:color w:val="auto"/>
              </w:rPr>
            </w:pPr>
          </w:p>
        </w:tc>
        <w:tc>
          <w:tcPr>
            <w:tcW w:w="85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b w:val="1"/>
                <w:bCs w:val="1"/>
                <w:color w:val="auto"/>
              </w:rPr>
              <w:t xml:space="preserve">SJW Group—Chief Information Officer. </w:t>
            </w:r>
            <w:r>
              <w:rPr>
                <w:rFonts w:ascii="Times New Roman" w:cs="Times New Roman" w:eastAsia="Times New Roman" w:hAnsi="Times New Roman"/>
                <w:sz w:val="18"/>
                <w:szCs w:val="18"/>
                <w:color w:val="auto"/>
              </w:rPr>
              <w:t>Mr. Busschops serves as Chief Information Officer of SJW Group,</w:t>
            </w: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SJWC, and CWC since December 2024. Previously, Mr. Busschops served as Vice President and Chief Information</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Officer for the Municipal Water division of Veolia North America from 2022 to 2024. Prior to this, Mr. Busschops</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held senior roles at SUEZ Water North America since 2013, including Vice President of Customer Experience. Mr.</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80" w:lineRule="exact"/>
              <w:rPr>
                <w:sz w:val="20"/>
                <w:szCs w:val="20"/>
                <w:color w:val="auto"/>
              </w:rPr>
            </w:pPr>
            <w:r>
              <w:rPr>
                <w:rFonts w:ascii="Times New Roman" w:cs="Times New Roman" w:eastAsia="Times New Roman" w:hAnsi="Times New Roman"/>
                <w:sz w:val="18"/>
                <w:szCs w:val="18"/>
                <w:color w:val="auto"/>
              </w:rPr>
              <w:t>Busschops served as the Chairman of the Customer Experience Committee for the National Association of Water</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Companies from 2020 to 2021</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4"/>
        </w:trPr>
        <w:tc>
          <w:tcPr>
            <w:tcW w:w="22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Bruce A. Hauk</w:t>
            </w:r>
          </w:p>
        </w:tc>
        <w:tc>
          <w:tcPr>
            <w:tcW w:w="2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6"/>
                <w:szCs w:val="16"/>
                <w:color w:val="auto"/>
              </w:rPr>
            </w:pPr>
          </w:p>
        </w:tc>
        <w:tc>
          <w:tcPr>
            <w:tcW w:w="85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b w:val="1"/>
                <w:bCs w:val="1"/>
                <w:color w:val="auto"/>
              </w:rPr>
              <w:t xml:space="preserve">SJW Group—Chief Operating Officer. </w:t>
            </w:r>
            <w:r>
              <w:rPr>
                <w:rFonts w:ascii="Times New Roman" w:cs="Times New Roman" w:eastAsia="Times New Roman" w:hAnsi="Times New Roman"/>
                <w:sz w:val="18"/>
                <w:szCs w:val="18"/>
                <w:color w:val="auto"/>
              </w:rPr>
              <w:t>Mr. Hauk serves as the Chief Operating Officer of SJW Group, SJWC,</w:t>
            </w: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CTWS, and TWC since January 2023 and was the Chief Corporate Development and Strategy Officer of SJW</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w w:val="99"/>
              </w:rPr>
              <w:t>Group, SJWC, CTWS, and TWC from August 2022 to December 2022. Prior to joining the Company, Mr. Hauk was</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the President of NextEra Water from May 2021 to August 2022. Prior to joining NextEra, Mr. Hauk served in</w:t>
            </w: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several roles at American Water Works Company, Inc. from May 2011 to March 2021, lastly serving as President of</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Regulated Operations and Military Services Group and then as Deputy Chief Operating Officer. Previously, Mr.</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Hauk served as Deputy Mayor/Chief Administrative Officer for the City of Westfield, Indiana and as Town</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Manager/Director of Public Works for the City of Westfield, Indiana.</w:t>
            </w:r>
          </w:p>
        </w:tc>
        <w:tc>
          <w:tcPr>
            <w:tcW w:w="0" w:type="dxa"/>
            <w:vAlign w:val="bottom"/>
          </w:tcPr>
          <w:p>
            <w:pPr>
              <w:spacing w:after="0"/>
              <w:rPr>
                <w:sz w:val="1"/>
                <w:szCs w:val="1"/>
                <w:color w:val="auto"/>
              </w:rPr>
            </w:pPr>
          </w:p>
        </w:tc>
      </w:tr>
      <w:tr>
        <w:trPr>
          <w:trHeight w:val="184"/>
        </w:trPr>
        <w:tc>
          <w:tcPr>
            <w:tcW w:w="22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Kristen A. Johnson</w:t>
            </w:r>
          </w:p>
        </w:tc>
        <w:tc>
          <w:tcPr>
            <w:tcW w:w="2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6"/>
                <w:szCs w:val="16"/>
                <w:color w:val="auto"/>
              </w:rPr>
            </w:pPr>
          </w:p>
        </w:tc>
        <w:tc>
          <w:tcPr>
            <w:tcW w:w="85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b w:val="1"/>
                <w:bCs w:val="1"/>
                <w:color w:val="auto"/>
              </w:rPr>
              <w:t xml:space="preserve">SJW Group—Senior Vice President and Chief Administrative Officer. </w:t>
            </w:r>
            <w:r>
              <w:rPr>
                <w:rFonts w:ascii="Times New Roman" w:cs="Times New Roman" w:eastAsia="Times New Roman" w:hAnsi="Times New Roman"/>
                <w:sz w:val="18"/>
                <w:szCs w:val="18"/>
                <w:color w:val="auto"/>
              </w:rPr>
              <w:t>Ms. Johnson serves as Senior Vice</w:t>
            </w: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President since November 2022 and Chief Administrative Officer of SJW Group, since April 2020. Ms. Johnson</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also serves as Senior Vice President of Administration for CTWS and certain of its subsidiaries since November</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w w:val="99"/>
              </w:rPr>
              <w:t>2019. Ms. Johnson also serves as Senior Vice President and Chief Administrative Officer of SJWC and TWC, and as</w:t>
            </w: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Senior Vice President of Administration for CWC and MWC, since April 2023. Previously, Ms. Johnson served as</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Director of Human Resources, Vice President of Human Resources and Vice President and Corporate Secretary of</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CTWS and its subsidiaries from 2007, 2008, and 2010, respectively. She served as the Corporate Secretary of The</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Maine Water Company until July 2020.</w:t>
            </w:r>
          </w:p>
        </w:tc>
        <w:tc>
          <w:tcPr>
            <w:tcW w:w="0" w:type="dxa"/>
            <w:vAlign w:val="bottom"/>
          </w:tcPr>
          <w:p>
            <w:pPr>
              <w:spacing w:after="0"/>
              <w:rPr>
                <w:sz w:val="1"/>
                <w:szCs w:val="1"/>
                <w:color w:val="auto"/>
              </w:rPr>
            </w:pPr>
          </w:p>
        </w:tc>
      </w:tr>
      <w:tr>
        <w:trPr>
          <w:trHeight w:val="184"/>
        </w:trPr>
        <w:tc>
          <w:tcPr>
            <w:tcW w:w="22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Tanya Moniz-Witten</w:t>
            </w:r>
          </w:p>
        </w:tc>
        <w:tc>
          <w:tcPr>
            <w:tcW w:w="2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6"/>
                <w:szCs w:val="16"/>
                <w:color w:val="auto"/>
              </w:rPr>
            </w:pPr>
          </w:p>
        </w:tc>
        <w:tc>
          <w:tcPr>
            <w:tcW w:w="85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b w:val="1"/>
                <w:bCs w:val="1"/>
                <w:color w:val="auto"/>
              </w:rPr>
              <w:t xml:space="preserve">SJWC—President. </w:t>
            </w:r>
            <w:r>
              <w:rPr>
                <w:rFonts w:ascii="Times New Roman" w:cs="Times New Roman" w:eastAsia="Times New Roman" w:hAnsi="Times New Roman"/>
                <w:sz w:val="18"/>
                <w:szCs w:val="18"/>
                <w:color w:val="auto"/>
              </w:rPr>
              <w:t>Ms. Moniz-Witten serves as President of SJWC since March 2024. Prior to joining SJWC, Ms.</w:t>
            </w: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Moniz-Witten served as the Vice President, Electric Distribution Field Operations (New England) of National Grid</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from January 2021 to March 2024. Prior to joining National Grid, Ms. Moniz-Witten served in various roles at</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Pacific Gas and Electric Company, including up to Senior Director of Electric Distribution Field Operations (Bay /</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Central Region) from October 2019 to January 2021.</w:t>
            </w:r>
          </w:p>
        </w:tc>
        <w:tc>
          <w:tcPr>
            <w:tcW w:w="0" w:type="dxa"/>
            <w:vAlign w:val="bottom"/>
          </w:tcPr>
          <w:p>
            <w:pPr>
              <w:spacing w:after="0"/>
              <w:rPr>
                <w:sz w:val="1"/>
                <w:szCs w:val="1"/>
                <w:color w:val="auto"/>
              </w:rPr>
            </w:pPr>
          </w:p>
        </w:tc>
      </w:tr>
      <w:tr>
        <w:trPr>
          <w:trHeight w:val="184"/>
        </w:trPr>
        <w:tc>
          <w:tcPr>
            <w:tcW w:w="22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Craig J. Patla</w:t>
            </w:r>
          </w:p>
        </w:tc>
        <w:tc>
          <w:tcPr>
            <w:tcW w:w="2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6"/>
                <w:szCs w:val="16"/>
                <w:color w:val="auto"/>
              </w:rPr>
            </w:pPr>
          </w:p>
        </w:tc>
        <w:tc>
          <w:tcPr>
            <w:tcW w:w="85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 xml:space="preserve">CTWS—President. </w:t>
            </w:r>
            <w:r>
              <w:rPr>
                <w:rFonts w:ascii="Times New Roman" w:cs="Times New Roman" w:eastAsia="Times New Roman" w:hAnsi="Times New Roman"/>
                <w:sz w:val="18"/>
                <w:szCs w:val="18"/>
                <w:color w:val="auto"/>
                <w:w w:val="99"/>
              </w:rPr>
              <w:t>Mr. Patla serves as President of CTWS and its subsidiaries, except The Maine Water Company,</w:t>
            </w: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since January 2023. From April 2014 to December 2022, Mr. Patla was Vice President of Service Delivery. From</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2011 to 2014, Mr. Patla was Director of Service Delivery. From 2008 to 2011, Mr. Patla was Manager of Service</w:t>
            </w:r>
          </w:p>
        </w:tc>
        <w:tc>
          <w:tcPr>
            <w:tcW w:w="0" w:type="dxa"/>
            <w:vAlign w:val="bottom"/>
          </w:tcPr>
          <w:p>
            <w:pPr>
              <w:spacing w:after="0"/>
              <w:rPr>
                <w:sz w:val="1"/>
                <w:szCs w:val="1"/>
                <w:color w:val="auto"/>
              </w:rPr>
            </w:pPr>
          </w:p>
        </w:tc>
      </w:tr>
      <w:tr>
        <w:trPr>
          <w:trHeight w:val="221"/>
        </w:trPr>
        <w:tc>
          <w:tcPr>
            <w:tcW w:w="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Delivery. From 2004 to 2008, Mr. Patla was Region Manager. Mr. Patla joined CTWS in 1990 as an engineer.</w:t>
            </w:r>
          </w:p>
        </w:tc>
        <w:tc>
          <w:tcPr>
            <w:tcW w:w="0" w:type="dxa"/>
            <w:vAlign w:val="bottom"/>
          </w:tcPr>
          <w:p>
            <w:pPr>
              <w:spacing w:after="0"/>
              <w:rPr>
                <w:sz w:val="1"/>
                <w:szCs w:val="1"/>
                <w:color w:val="auto"/>
              </w:rPr>
            </w:pPr>
          </w:p>
        </w:tc>
      </w:tr>
      <w:tr>
        <w:trPr>
          <w:trHeight w:val="184"/>
        </w:trPr>
        <w:tc>
          <w:tcPr>
            <w:tcW w:w="22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Eric W. Thornburg</w:t>
            </w:r>
          </w:p>
        </w:tc>
        <w:tc>
          <w:tcPr>
            <w:tcW w:w="2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6"/>
                <w:szCs w:val="16"/>
                <w:color w:val="auto"/>
              </w:rPr>
            </w:pPr>
          </w:p>
        </w:tc>
        <w:tc>
          <w:tcPr>
            <w:tcW w:w="85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 xml:space="preserve">SJW Group—President, Chief Executive Officer and Chair of the Board. </w:t>
            </w:r>
            <w:r>
              <w:rPr>
                <w:rFonts w:ascii="Times New Roman" w:cs="Times New Roman" w:eastAsia="Times New Roman" w:hAnsi="Times New Roman"/>
                <w:sz w:val="18"/>
                <w:szCs w:val="18"/>
                <w:color w:val="auto"/>
                <w:w w:val="99"/>
              </w:rPr>
              <w:t>Mr. Thornburg serves as President and</w:t>
            </w:r>
          </w:p>
        </w:tc>
        <w:tc>
          <w:tcPr>
            <w:tcW w:w="0" w:type="dxa"/>
            <w:vAlign w:val="bottom"/>
          </w:tcPr>
          <w:p>
            <w:pPr>
              <w:spacing w:after="0"/>
              <w:rPr>
                <w:sz w:val="1"/>
                <w:szCs w:val="1"/>
                <w:color w:val="auto"/>
              </w:rPr>
            </w:pPr>
          </w:p>
        </w:tc>
      </w:tr>
      <w:tr>
        <w:trPr>
          <w:trHeight w:val="204"/>
        </w:trPr>
        <w:tc>
          <w:tcPr>
            <w:tcW w:w="3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560" w:type="dxa"/>
            <w:vAlign w:val="bottom"/>
          </w:tcPr>
          <w:p>
            <w:pPr>
              <w:ind w:left="140"/>
              <w:spacing w:after="0" w:line="204" w:lineRule="exact"/>
              <w:rPr>
                <w:sz w:val="20"/>
                <w:szCs w:val="20"/>
                <w:color w:val="auto"/>
              </w:rPr>
            </w:pPr>
            <w:r>
              <w:rPr>
                <w:rFonts w:ascii="Times New Roman" w:cs="Times New Roman" w:eastAsia="Times New Roman" w:hAnsi="Times New Roman"/>
                <w:sz w:val="18"/>
                <w:szCs w:val="18"/>
                <w:color w:val="auto"/>
              </w:rPr>
              <w:t>Chief Executive Officer of SJW Group and SJW Land Company, and Chief Executive Officer of SJWC and TWC</w:t>
            </w:r>
          </w:p>
        </w:tc>
        <w:tc>
          <w:tcPr>
            <w:tcW w:w="0" w:type="dxa"/>
            <w:vAlign w:val="bottom"/>
          </w:tcPr>
          <w:p>
            <w:pPr>
              <w:spacing w:after="0"/>
              <w:rPr>
                <w:sz w:val="1"/>
                <w:szCs w:val="1"/>
                <w:color w:val="auto"/>
              </w:rPr>
            </w:pPr>
          </w:p>
        </w:tc>
      </w:tr>
    </w:tbl>
    <w:p>
      <w:pPr>
        <w:ind w:left="2800" w:right="220"/>
        <w:spacing w:after="0" w:line="220" w:lineRule="auto"/>
        <w:rPr>
          <w:sz w:val="20"/>
          <w:szCs w:val="20"/>
          <w:color w:val="auto"/>
        </w:rPr>
      </w:pPr>
      <w:r>
        <w:rPr>
          <w:rFonts w:ascii="Times New Roman" w:cs="Times New Roman" w:eastAsia="Times New Roman" w:hAnsi="Times New Roman"/>
          <w:sz w:val="17"/>
          <w:szCs w:val="17"/>
          <w:color w:val="auto"/>
        </w:rPr>
        <w:t>since November 2017. Mr. Thornburg serves as Chair of the Board of Directors of SJW Group, SJWC, SJW Land Company, and TWC since April 2018, and Chair of the Board of Directors of SJWNE LLC, and CTWS and its subsidiaries since October 2019. Prior to joining SJW Group, Mr. Thornburg served as President and Chief</w:t>
      </w:r>
    </w:p>
    <w:p>
      <w:pPr>
        <w:spacing w:after="0" w:line="2" w:lineRule="exact"/>
        <w:rPr>
          <w:sz w:val="20"/>
          <w:szCs w:val="20"/>
          <w:color w:val="auto"/>
        </w:rPr>
      </w:pPr>
    </w:p>
    <w:p>
      <w:pPr>
        <w:ind w:left="2800" w:right="320"/>
        <w:spacing w:after="0" w:line="220" w:lineRule="auto"/>
        <w:rPr>
          <w:sz w:val="20"/>
          <w:szCs w:val="20"/>
          <w:color w:val="auto"/>
        </w:rPr>
      </w:pPr>
      <w:r>
        <w:rPr>
          <w:rFonts w:ascii="Times New Roman" w:cs="Times New Roman" w:eastAsia="Times New Roman" w:hAnsi="Times New Roman"/>
          <w:sz w:val="17"/>
          <w:szCs w:val="17"/>
          <w:color w:val="auto"/>
        </w:rPr>
        <w:t>Executive Officer of CTWS from 2006 until 2017, and Chair of the Board of CTWS from 2008 to 2017. Mr. Thornburg served as President of Missouri-American Water, a subsidiary of American Water Works Corporation from 2000 to 2004. From July 2004 to January 2006, Mr. Thornburg served as Central Region Vice President-</w:t>
      </w:r>
    </w:p>
    <w:p>
      <w:pPr>
        <w:spacing w:after="0" w:line="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External Affairs for American Water Works Corporation.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Andrew F. Walters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40" w:hanging="479"/>
        <w:spacing w:after="0" w:line="254" w:lineRule="auto"/>
        <w:rPr>
          <w:sz w:val="20"/>
          <w:szCs w:val="20"/>
          <w:color w:val="auto"/>
        </w:rPr>
      </w:pPr>
      <w:r>
        <w:rPr>
          <w:rFonts w:ascii="Times New Roman" w:cs="Times New Roman" w:eastAsia="Times New Roman" w:hAnsi="Times New Roman"/>
          <w:sz w:val="17"/>
          <w:szCs w:val="17"/>
          <w:color w:val="auto"/>
        </w:rPr>
        <w:t>54</w:t>
      </w:r>
      <w:r>
        <w:rPr>
          <w:sz w:val="20"/>
          <w:szCs w:val="20"/>
          <w:color w:val="auto"/>
        </w:rPr>
        <w:t xml:space="preserve"> </w:t>
      </w:r>
      <w:r>
        <w:rPr>
          <w:rFonts w:ascii="Times New Roman" w:cs="Times New Roman" w:eastAsia="Times New Roman" w:hAnsi="Times New Roman"/>
          <w:sz w:val="17"/>
          <w:szCs w:val="17"/>
          <w:b w:val="1"/>
          <w:bCs w:val="1"/>
          <w:color w:val="auto"/>
        </w:rPr>
        <w:t xml:space="preserve">SJW Group—Chief Financial Officer and Treasurer. </w:t>
      </w:r>
      <w:r>
        <w:rPr>
          <w:rFonts w:ascii="Times New Roman" w:cs="Times New Roman" w:eastAsia="Times New Roman" w:hAnsi="Times New Roman"/>
          <w:sz w:val="17"/>
          <w:szCs w:val="17"/>
          <w:color w:val="auto"/>
        </w:rPr>
        <w:t>Mr. Walters serves as Chief Financial Officer and Treasurer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SJW Group, SJWC, SJW Land Company, and TWC since January 2022. Mr. Walters also serves as Chief</w:t>
      </w:r>
    </w:p>
    <w:p>
      <w:pPr>
        <w:spacing w:after="0" w:line="1" w:lineRule="exact"/>
        <w:rPr>
          <w:sz w:val="20"/>
          <w:szCs w:val="20"/>
          <w:color w:val="auto"/>
        </w:rPr>
      </w:pPr>
    </w:p>
    <w:p>
      <w:pPr>
        <w:sectPr>
          <w:pgSz w:w="11900" w:h="16838" w:orient="portrait"/>
          <w:cols w:equalWidth="0" w:num="2">
            <w:col w:w="2080" w:space="720"/>
            <w:col w:w="8420"/>
          </w:cols>
          <w:pgMar w:left="320" w:top="121" w:right="359" w:bottom="1440" w:gutter="0" w:footer="0" w:header="0"/>
          <w:type w:val="continuous"/>
        </w:sectPr>
      </w:pPr>
    </w:p>
    <w:p>
      <w:pPr>
        <w:ind w:left="2800" w:right="60"/>
        <w:spacing w:after="0" w:line="210" w:lineRule="auto"/>
        <w:rPr>
          <w:sz w:val="20"/>
          <w:szCs w:val="20"/>
          <w:color w:val="auto"/>
        </w:rPr>
      </w:pPr>
      <w:r>
        <w:rPr>
          <w:rFonts w:ascii="Times New Roman" w:cs="Times New Roman" w:eastAsia="Times New Roman" w:hAnsi="Times New Roman"/>
          <w:sz w:val="17"/>
          <w:szCs w:val="17"/>
          <w:color w:val="auto"/>
        </w:rPr>
        <w:t>Financial Officer of CTWS and its subsidiaries since April 2023. Mr. Walters served as Chief Corporate Development Officer and Integration Executive of SJW Group from November 2019 until January 2022, and previously served as Chief Administrative Officer of SJWC from January 2014 until January 2019. Mr. Walters also</w:t>
      </w:r>
    </w:p>
    <w:p>
      <w:pPr>
        <w:spacing w:after="0" w:line="2" w:lineRule="exact"/>
        <w:rPr>
          <w:sz w:val="20"/>
          <w:szCs w:val="20"/>
          <w:color w:val="auto"/>
        </w:rPr>
      </w:pPr>
    </w:p>
    <w:p>
      <w:pPr>
        <w:ind w:left="2800" w:right="220"/>
        <w:spacing w:after="0" w:line="220" w:lineRule="auto"/>
        <w:rPr>
          <w:sz w:val="20"/>
          <w:szCs w:val="20"/>
          <w:color w:val="auto"/>
        </w:rPr>
      </w:pPr>
      <w:r>
        <w:rPr>
          <w:rFonts w:ascii="Times New Roman" w:cs="Times New Roman" w:eastAsia="Times New Roman" w:hAnsi="Times New Roman"/>
          <w:sz w:val="17"/>
          <w:szCs w:val="17"/>
          <w:color w:val="auto"/>
        </w:rPr>
        <w:t>served as the Vice President of Business Planning of CWC and CTWS from November 2019 until January 2022. Prior to joining SJWC in 2014, Mr. Walters was a managing director and a senior acquisitions officer in the Infrastructure Investments Group of JP Morgan Asset Management from January 2009 to June 2013. Prior to this,</w:t>
      </w:r>
    </w:p>
    <w:p>
      <w:pPr>
        <w:spacing w:after="0" w:line="2" w:lineRule="exact"/>
        <w:rPr>
          <w:sz w:val="20"/>
          <w:szCs w:val="20"/>
          <w:color w:val="auto"/>
        </w:rPr>
      </w:pPr>
    </w:p>
    <w:p>
      <w:pPr>
        <w:ind w:left="2800" w:right="80"/>
        <w:spacing w:after="0" w:line="239" w:lineRule="auto"/>
        <w:rPr>
          <w:sz w:val="20"/>
          <w:szCs w:val="20"/>
          <w:color w:val="auto"/>
        </w:rPr>
      </w:pPr>
      <w:r>
        <w:rPr>
          <w:rFonts w:ascii="Times New Roman" w:cs="Times New Roman" w:eastAsia="Times New Roman" w:hAnsi="Times New Roman"/>
          <w:sz w:val="17"/>
          <w:szCs w:val="17"/>
          <w:color w:val="auto"/>
        </w:rPr>
        <w:t>Mr. Walters served in the Investment Banking Division of Citigroup as managing director and head of infrastructure for the Americas and in other roles focused on mergers and acquisitions and capital raising for clients, since 1993.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Accounting Officer of the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name, age, offices held and business experience for our principal accounting officer, as of February 27, 2025:</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8560" w:type="dxa"/>
            <w:vAlign w:val="bottom"/>
          </w:tcPr>
          <w:p>
            <w:pPr>
              <w:ind w:left="3640"/>
              <w:spacing w:after="0"/>
              <w:rPr>
                <w:sz w:val="20"/>
                <w:szCs w:val="20"/>
                <w:color w:val="auto"/>
              </w:rPr>
            </w:pPr>
            <w:r>
              <w:rPr>
                <w:rFonts w:ascii="Times New Roman" w:cs="Times New Roman" w:eastAsia="Times New Roman" w:hAnsi="Times New Roman"/>
                <w:sz w:val="14"/>
                <w:szCs w:val="14"/>
                <w:b w:val="1"/>
                <w:bCs w:val="1"/>
                <w:color w:val="auto"/>
              </w:rPr>
              <w:t>Offices and Experience</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5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SJW Group—Chief Accounting Officer, Principal Accounting Officer. </w:t>
            </w:r>
            <w:r>
              <w:rPr>
                <w:rFonts w:ascii="Times New Roman" w:cs="Times New Roman" w:eastAsia="Times New Roman" w:hAnsi="Times New Roman"/>
                <w:sz w:val="18"/>
                <w:szCs w:val="18"/>
                <w:color w:val="auto"/>
              </w:rPr>
              <w:t>Ms. Kelly serves as Chief Accounting</w:t>
            </w:r>
          </w:p>
        </w:tc>
        <w:tc>
          <w:tcPr>
            <w:tcW w:w="0" w:type="dxa"/>
            <w:vAlign w:val="bottom"/>
          </w:tcPr>
          <w:p>
            <w:pPr>
              <w:spacing w:after="0" w:line="20" w:lineRule="exact"/>
              <w:rPr>
                <w:sz w:val="1"/>
                <w:szCs w:val="1"/>
                <w:color w:val="auto"/>
              </w:rPr>
            </w:pPr>
          </w:p>
        </w:tc>
      </w:tr>
      <w:tr>
        <w:trPr>
          <w:trHeight w:val="209"/>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 P. Kelly</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8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Officer and Principal Accounting Officer of SJW Group, and Chief Accounting Officer of SJWC, CTWS, TWC,</w:t>
            </w: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CWC, and MWC since November 2024. Prior to joining SJW Group, Ms. Kelly was Executive Vice President</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Finance and Chief Financial Officer of American Electric Power (“AEP”) from November 2022 to September 2023,</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one of the nation’s largest pure play electric companies. From December 2014 to November 2022, Ms. Kelly served</w:t>
            </w: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in various roles of increasing responsibility at UGI Corporation and its subsidiaries, a natural gas, propane, and</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w w:val="99"/>
              </w:rPr>
              <w:t>electric power distribution company. Ms. Kelly also previously served as Vice President Finance and Chief Financial</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Officer, AmeriGas Propane, a UGI subsidiary.</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SJW Group’s Annual Reports on Form 10-K, Quarterly Reports on Form 10-Q and Current Reports on Form 8-K, and amendments to these reports, are made available free of charge through SJW Group’s website at </w:t>
      </w:r>
      <w:r>
        <w:rPr>
          <w:rFonts w:ascii="Times New Roman" w:cs="Times New Roman" w:eastAsia="Times New Roman" w:hAnsi="Times New Roman"/>
          <w:sz w:val="18"/>
          <w:szCs w:val="18"/>
          <w:i w:val="1"/>
          <w:iCs w:val="1"/>
          <w:color w:val="auto"/>
        </w:rPr>
        <w:t>http://www.sjwgroup.com</w:t>
      </w:r>
      <w:r>
        <w:rPr>
          <w:rFonts w:ascii="Times New Roman" w:cs="Times New Roman" w:eastAsia="Times New Roman" w:hAnsi="Times New Roman"/>
          <w:sz w:val="18"/>
          <w:szCs w:val="18"/>
          <w:color w:val="auto"/>
        </w:rPr>
        <w:t>, as soon as reasonably practicable, after SJW Group electronically files such material with, or furnishes such materials to, the SEC. The content of SJW Group’s website is not incorporated by reference to or part of this report.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You may obtain electronic copies of our reports filed with the SEC on the SEC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Investors should carefully consider the following risk factors and warnings before making an investment decision. The risks described below are not the only ones facing SJW Group and its subsidiaries. Additional risks that SJW Group and its subsidiaries does not yet know of or that it currently thinks are immaterial may also impair its business operations. If any of the following risks actually occur, SJW Group and its subsidiaries’ business, operating results or financial condition could be materially affected. In such case, the trading price of SJW Group’s common stock could decline and you may lose part or all of your investment. Investors should also refer to the other information set forth in this Annual Report on Form 10-K, including the consolidated financial statements and the notes thereto.</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Regulatory and Legal Matters</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Our business is regulated and may be adversely affected by changes to the regulatory environment.</w:t>
      </w:r>
    </w:p>
    <w:p>
      <w:pPr>
        <w:spacing w:after="0" w:line="108"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Our Water Utility Services primarily represent the tariffed operations of our regulated utilities. Our operating revenue is generated primarily from the sale of water at rates authorized by applicable state public utility commissions (the “Regulators”). The Regulators set rates that are intended to provide revenues sufficient to recover normal operating expenses, provide funds for replacement of water infrastructure and produce a fair and reasonable return on stockholder common equity. Please refer to Part I, Item 1, “Regulation and Rates” for a discussion of the most recent regulatory proceedings affecting the rates of our regulated operations. Consequently, our revenue and operating results depend substantially upon the rates the Regulators authorize.</w:t>
      </w:r>
    </w:p>
    <w:p>
      <w:pPr>
        <w:spacing w:after="0" w:line="9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our applications for rate approvals, we rely upon estimates and forecasts to propose rates for approval by the Regulators. No assurance can be given that our estimates and forecasts will be accurate or that the Regulators will agree with our estimates and forecasts and approve our proposed rates. To the extent our authorized rates may be too low, revenues may be insufficient to</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cover Water Utility Services’ operating expenses, capital requirements and SJW Group’s historical dividend rate. In addition, delays in approving rate increases may negatively affect our operating results and operating cash flows.</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policies and regulations promulgated by the Regulators govern the recovery of capital expenditures, the treatment of gains from the sale of real utility property, the offset of production and operating costs, the recovery of the cost of debt, the optimal equity structure, and the financial and operational flexibility to engage in non-tariffed operations. If the regulators implement policies and regulations that will not allow Water Utility Services to accomplish some or all of the items listed above, its future operating results may be adversely affected. Furthermore, from time to time, the commissioners at the Regulators may change. Such changes could lead to changes in policies and regulations and there can be no assurance that the resulting changes in policies and regulation, if any, will not adversely affect our operating results or financial condition.</w:t>
      </w:r>
    </w:p>
    <w:p>
      <w:pPr>
        <w:spacing w:after="0" w:line="7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various regulatory mechanisms such as balancing and memorandum accounts and rate adjustment mechanisms for infrastructure replacement, to recover certain costs and expenses. If the Regulators disagree with our calculations of our balancing and memorandum accounts, we may be required to make adjustments that could adversely affect our results of operations. Furthermore, there is no guarantee that the Regulators will approve our applications to recover all or a portion of our capital expenditure or infrastructure investment through such rate adjustment mechanisms, and their failure to do so will adversely affect our financial conditions and results of operations.</w:t>
      </w:r>
    </w:p>
    <w:p>
      <w:pPr>
        <w:spacing w:after="0" w:line="193" w:lineRule="exact"/>
        <w:rPr>
          <w:sz w:val="20"/>
          <w:szCs w:val="20"/>
          <w:color w:val="auto"/>
        </w:rPr>
      </w:pPr>
    </w:p>
    <w:p>
      <w:pPr>
        <w:ind w:right="480" w:firstLine="567"/>
        <w:spacing w:after="0" w:line="271" w:lineRule="auto"/>
        <w:rPr>
          <w:sz w:val="20"/>
          <w:szCs w:val="20"/>
          <w:color w:val="auto"/>
        </w:rPr>
      </w:pPr>
      <w:r>
        <w:rPr>
          <w:rFonts w:ascii="Times New Roman" w:cs="Times New Roman" w:eastAsia="Times New Roman" w:hAnsi="Times New Roman"/>
          <w:sz w:val="18"/>
          <w:szCs w:val="18"/>
          <w:b w:val="1"/>
          <w:bCs w:val="1"/>
          <w:color w:val="auto"/>
        </w:rPr>
        <w:t>Recovery of regulatory assets is subject to adjustment by regulatory agencies and could impact the operating results of Water Utility Services.</w:t>
      </w:r>
    </w:p>
    <w:p>
      <w:pPr>
        <w:spacing w:after="0" w:line="6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Generally accepted accounting principles for water utilities include the recognition of regulatory assets and liabilities to reflect the actions of regulators as permitted by Financial Accounting Standards Board (“FASB”) ASC Topic 980—“Regulated Operations.” These actions may result in the recognition of revenues and expenses in time periods that are different from non-rate-regulated enterprises. In accordance with ASC Topic 980, Water Utility Services record deferred costs on the balance sheet as regulatory assets when it is probable that these costs will be recovered in the ratemaking process. Also, Water Utility Services record regulatory liabilities for amounts expected to be refunded to customers in the ratemaking process and for amounts collected in advance of the related expenditures. Please refer to </w:t>
      </w:r>
      <w:r>
        <w:rPr>
          <w:rFonts w:ascii="Times New Roman" w:cs="Times New Roman" w:eastAsia="Times New Roman" w:hAnsi="Times New Roman"/>
          <w:sz w:val="18"/>
          <w:szCs w:val="18"/>
          <w:u w:val="single" w:color="auto"/>
          <w:color w:val="0000FF"/>
        </w:rPr>
        <w:t>Note 3</w:t>
      </w:r>
      <w:r>
        <w:rPr>
          <w:rFonts w:ascii="Times New Roman" w:cs="Times New Roman" w:eastAsia="Times New Roman" w:hAnsi="Times New Roman"/>
          <w:sz w:val="18"/>
          <w:szCs w:val="18"/>
          <w:color w:val="auto"/>
        </w:rPr>
        <w:t xml:space="preserve"> of the “Notes to Consolidated Financial Statements” for a summary of regulatory assets and liabilities. If the assessment of the probability of recovery in the ratemaking process is incorrect and the applicable ratemaking body determines that a deferred cost is not recoverable through future rate increases, the regulatory assets would need to be adjusted, which could have an adverse effect on our results of operations and financial condition.</w:t>
      </w:r>
    </w:p>
    <w:p>
      <w:pPr>
        <w:spacing w:after="0" w:line="1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Water Utility Services is subject to litigation risks concerning water quality and contamination.</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October 2023, CWC, a subsidiary of SJW Group in our Water Utility Services segment, was named as a defendant in a class action lawsuit alleging that the water provided by CWC contained contaminants. CWC is vigorously defending itself in this lawsuit. There can be no guarantee that additional lawsuits will not occur in the future. Any environmental or product-related lawsuit, including the class action against CWC, may require us to incur significant legal costs and we may not be able to recover the legal costs from ratepayers or other third parties. Although Water Utility Services has liability insurance coverage for bodily injury and property damage, pollution liability is excluded from this coverage and our excess liability coverage. Pollution liability coverage is in place for the majority of the SJW Group locations and operations but is subject to exclusions and limitations. In addition, any complaints or lawsuits against us based on water quality and contamination may receive negative publicity that can damage our reputation and adversely affect our business and trading price of our common stock.</w:t>
      </w:r>
    </w:p>
    <w:p>
      <w:pPr>
        <w:spacing w:after="0" w:line="107" w:lineRule="exact"/>
        <w:rPr>
          <w:sz w:val="20"/>
          <w:szCs w:val="20"/>
          <w:color w:val="auto"/>
        </w:rPr>
      </w:pPr>
    </w:p>
    <w:p>
      <w:pPr>
        <w:ind w:right="500" w:firstLine="567"/>
        <w:spacing w:after="0" w:line="286" w:lineRule="auto"/>
        <w:rPr>
          <w:sz w:val="20"/>
          <w:szCs w:val="20"/>
          <w:color w:val="auto"/>
        </w:rPr>
      </w:pPr>
      <w:r>
        <w:rPr>
          <w:rFonts w:ascii="Times New Roman" w:cs="Times New Roman" w:eastAsia="Times New Roman" w:hAnsi="Times New Roman"/>
          <w:sz w:val="18"/>
          <w:szCs w:val="18"/>
          <w:b w:val="1"/>
          <w:bCs w:val="1"/>
          <w:color w:val="auto"/>
        </w:rPr>
        <w:t>Water Utility Services is subject to possible litigation or regulatory enforcement action concerning water discharges to Waters of the United States (“WOTUS”).</w:t>
      </w:r>
    </w:p>
    <w:p>
      <w:pPr>
        <w:spacing w:after="0" w:line="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Regulatory actions and fines related to discharges of water to WOTUS against other water utilities have increased in frequency in recent years. If Water Utility Services is subject to a litigation or regulatory enforcement action, it might incur significant costs in fines and restoration efforts, and it is uncertain whether Water Utility Services would be able to recover some or all of such costs from ratepayers or other third parties. In addition, any litigation or regulatory enforcement action against us regarding a water discharge and/or resulting environmental impact may receive negative publicity that can damage our reputation and adversely affect our business and the trading price of our common stock.</w:t>
      </w:r>
    </w:p>
    <w:p>
      <w:pPr>
        <w:spacing w:after="0" w:line="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Streamflow regulations in Connecticut could potentially impact our ability to serve our customers.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December 2011, regulations concerning the flow of water in Connecticut’s rivers and streams were adopted. As promulgated, the regulations require that certain downstream releases be made from seven of CWC’s eighteen active reservoirs no later than ten years following the adoption of stream classifications by the Department of Energy and Environmental Protection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(“DEEP”). Currently, downstream releases are made at four locations. The next streamflow releases will be initiated by February 2028 and will affect two additional reservoirs. No groundwater supply wells are affected by the regulations.</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DEEP has finalized stream classifications in all areas of Connecticut where CWC maintains and operates sources of supply. The Company remains engaged in the process in order to minimize the impact to our available water supply. Although modified from prior versions, the regulations still have the potential to lower our safe yield, raise our capital and operating expenses and adversely affect our revenues and earnings. Although costs associated with the regulations may be recovered in the form of higher rates and Connecticut law allows for a WICA surcharge to recover capital improvement costs necessary to achieve compliance with the regulations, there can be no assurance PURA would approve rate increases to enable us to recover all such costs and surcharges.</w:t>
      </w:r>
    </w:p>
    <w:p>
      <w:pPr>
        <w:spacing w:after="0" w:line="1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New or more stringent environmental regulations could increase Water Utility Services’ operating costs and affect its business.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Water Utility Services is subject to water quality and pollution control regulations issued by the EPA and environmental laws and regulations administered by the respective states and local regulatory agencies.</w:t>
      </w:r>
    </w:p>
    <w:p>
      <w:pPr>
        <w:spacing w:after="0" w:line="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New or more stringent environmental and water quality regulations could increase Water Utility Services’ water quality compliance costs, hamper Water Utility Services’ available water supplies, and increase future capital expenditures.</w:t>
      </w:r>
    </w:p>
    <w:p>
      <w:pPr>
        <w:spacing w:after="0" w:line="5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Under the federal Safe Drinking Water Act, Water Utility Services is subject to regulation by the EPA relating to the quality of water it sells and treatment techniques it uses to make the water potable. The EPA promulgates, from time to time, nationally applicable standards, including maximum contaminant levels for drinking water. For example, in April 2024, the EPA issued new national primary drinking water regulations for PFAS. The regulations impose maximum contaminant levels and monitoring requirements for the nation’s water system for six PFAS chemicals under the Safe Drinking Water Act. The final regulation requires water systems to comply with PFAS monitoring requirements by 2027, and to comply with the maximum contaminant levels by 2029. Additional or more stringent requirements may be adopted by each state. There can be no assurance that Water Utility Services will be able to continue to comply with all water quality requirements.</w:t>
      </w:r>
    </w:p>
    <w:p>
      <w:pPr>
        <w:spacing w:after="0" w:line="8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Water Utility Services has implemented monitoring activities and installed specific water treatment improvements in order to comply with existing maximum contaminant levels and plan for compliance with future drinking water regulations. However, the EPA and the respective state agencies have continuing authority to issue additional regulations under the Safe Drinking Water Act. New or more stringent environmental standards could be imposed that will raise Water Utility Services’ operating costs and capital expenditures, including requirements for increased monitoring, additional treatment of underground water supplies, fluoridation of all supplies, more stringent performance standards for treatment plants, additional procedures to further reduce levels of disinfection by-products, and more comprehensive measures to monitor, reduce or eliminate known or newly identified contaminants, such as PFAS. There are currently limited regulatory mechanisms and procedures available to us for the recovery of such costs and there can be no assurance that such costs will be fully recovered and failure to do so may adversely affect our operating results.</w:t>
      </w:r>
    </w:p>
    <w:p>
      <w:pPr>
        <w:spacing w:after="0" w:line="107" w:lineRule="exact"/>
        <w:rPr>
          <w:sz w:val="20"/>
          <w:szCs w:val="20"/>
          <w:color w:val="auto"/>
        </w:rPr>
      </w:pPr>
    </w:p>
    <w:p>
      <w:pPr>
        <w:jc w:val="both"/>
        <w:ind w:right="180" w:firstLine="567"/>
        <w:spacing w:after="0" w:line="268" w:lineRule="auto"/>
        <w:rPr>
          <w:sz w:val="20"/>
          <w:szCs w:val="20"/>
          <w:color w:val="auto"/>
        </w:rPr>
      </w:pPr>
      <w:r>
        <w:rPr>
          <w:rFonts w:ascii="Times New Roman" w:cs="Times New Roman" w:eastAsia="Times New Roman" w:hAnsi="Times New Roman"/>
          <w:sz w:val="18"/>
          <w:szCs w:val="18"/>
          <w:b w:val="1"/>
          <w:bCs w:val="1"/>
          <w:color w:val="auto"/>
        </w:rPr>
        <w:t>The impact of climate change and climate change laws and regulations have been passed and are being proposed that require compliance with greenhouse gas emissions standards, as well as other climate change initiatives, which could increase Water Utility Services’ operating costs and affect our business.</w:t>
      </w:r>
    </w:p>
    <w:p>
      <w:pPr>
        <w:spacing w:after="0" w:line="6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Climate change is receiving ever increasing attention worldwide. Many scientists, legislators, and others attribute global warming to increased levels of greenhouse gases, including carbon dioxide. Climate change laws and regulations enacted and proposed limit greenhouse gases emissions from covered entities and require additional monitoring/reporting. We produce a corporate sustainability report, which provides an overview of our energy usage and greenhouse emissions. At this time, the existing greenhouse gases laws and regulations are not expected to materially impact Water Utility Services’ operations or capital expenditures. While regulation on climate change could change, the uncertainty of future climate change regulatory requirements still remains. We cannot predict the potential impact of future laws and regulations on our business, financial condition, or results of operations. Although these future expenditures and costs for regulatory compliance may be recovered in the form of higher rates, there can be no assurance that the various state utility commissions that govern our business would approve rate increases to enable us to recover such expenditures and costs.</w:t>
      </w:r>
    </w:p>
    <w:p>
      <w:pPr>
        <w:spacing w:after="0" w:line="84"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Climate change may also impact water supply. For example, severity of drought conditions may impact the availability of water to all Water Utility Services and rising sea levels and their effect on contributing tributary’s water quality may impact the availability of groundwater to Water Utility Services.</w:t>
      </w:r>
    </w:p>
    <w:p>
      <w:pPr>
        <w:spacing w:after="0" w:line="200" w:lineRule="exact"/>
        <w:rPr>
          <w:sz w:val="20"/>
          <w:szCs w:val="20"/>
          <w:color w:val="auto"/>
        </w:rPr>
      </w:pPr>
    </w:p>
    <w:p>
      <w:pPr>
        <w:spacing w:after="0" w:line="39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380" w:firstLine="567"/>
        <w:spacing w:after="0" w:line="286" w:lineRule="auto"/>
        <w:rPr>
          <w:sz w:val="20"/>
          <w:szCs w:val="20"/>
          <w:color w:val="auto"/>
        </w:rPr>
      </w:pPr>
      <w:r>
        <w:rPr>
          <w:rFonts w:ascii="Times New Roman" w:cs="Times New Roman" w:eastAsia="Times New Roman" w:hAnsi="Times New Roman"/>
          <w:sz w:val="18"/>
          <w:szCs w:val="18"/>
          <w:b w:val="1"/>
          <w:bCs w:val="1"/>
          <w:color w:val="auto"/>
        </w:rPr>
        <w:t>We may be at risk for litigation under the principle of inverse condemnation for activities in the normal course of business that have a damaging effect on private property.</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Under the California legal doctrine of inverse condemnation, a public utility taking or damaging private property can be responsible to the property owners for compensation, even when damage occurs through no fault or negligence of the utility company and regardless of whether the damage could be foreseen. Based upon existing California case law, SJWC could be sued under the doctrine of inverse condemnation and held liable if its facilities, operations or property, such as mains, fire hydrants, power lines and other equipment, or wildfires in our Santa Cruz Mountain watershed result in damage to private property.</w:t>
      </w:r>
    </w:p>
    <w:p>
      <w:pPr>
        <w:spacing w:after="0" w:line="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 court finding of inverse condemnation does not obligate the CPUC to allow SJWC to recover damage awards or pass on costs to ratepayers. Insurance coverage for inverse condemnation may not be available or may not be sufficient. SJWC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liquidity, earnings, and operations may be adversely affected if we are unable to recover the costs of paying claims for damages caused by the operation and maintenance of our property from customers or through insurance.</w:t>
      </w:r>
    </w:p>
    <w:p>
      <w:pPr>
        <w:spacing w:after="0" w:line="1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Our water utility property and systems are subject to condemnation and other proceedings through eminent domain.</w:t>
      </w:r>
    </w:p>
    <w:p>
      <w:pPr>
        <w:spacing w:after="0" w:line="12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State laws in jurisdictions where we operate, including California, Connecticut, Texas and Maine, allow municipalities, water districts and other public agencies to own and operate water systems. If these public agencies are able to establish certain eminent domain elements required under state and federal laws, they may condemn water systems or real property owned by privately owned public utilities in certain circumstances. In general, if a public agency seeks to exercise its eminent domain power to take possession of private property, it must establish that such taking is for a public purpose and must pay just compensation to owners of such property. In the event of eminent domain or condemnation proceedings against our water utility property or systems, we may incur substantial attorney’s fees, consultant and expert fees and other costs in considering a challenge to such proceeding and/or its valuation for just compensation, as well as fees and costs in any subsequent litigation if necessary. If the public agency prevailed and acquired our utility property, we would no longer have access to the condemned property or water system, neither would we be entitled to any portion of revenue generated from the use of such asset going forward. Furthermore, if public agencies succeed in acquiring our assets, there is a risk that we will not receive adequate compensation for the assets taken or be able to recover all charges associated with the condemnation of such assets, which may adversely affect our business operations and financial conditions.</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Regulatory agencies may disagree with our valuation and characterization of certain of our assets.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we determine that assets are no longer used or useful for utility operations, we may remove them from our rate base and subsequently sell those assets with any gain on sales accruing to the stockholders, subject to certain conditions. If the regulators disagree with our characterization, there is a risk that the regulators could determine that a portion or all of the realized appreciation in property value should be awarded to customers rather than our stockholders.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Business Operations</w:t>
      </w:r>
    </w:p>
    <w:p>
      <w:pPr>
        <w:spacing w:after="0" w:line="158" w:lineRule="exact"/>
        <w:rPr>
          <w:sz w:val="20"/>
          <w:szCs w:val="20"/>
          <w:color w:val="auto"/>
        </w:rPr>
      </w:pPr>
    </w:p>
    <w:p>
      <w:pPr>
        <w:ind w:right="60" w:firstLine="567"/>
        <w:spacing w:after="0" w:line="286" w:lineRule="auto"/>
        <w:rPr>
          <w:sz w:val="20"/>
          <w:szCs w:val="20"/>
          <w:color w:val="auto"/>
        </w:rPr>
      </w:pPr>
      <w:r>
        <w:rPr>
          <w:rFonts w:ascii="Times New Roman" w:cs="Times New Roman" w:eastAsia="Times New Roman" w:hAnsi="Times New Roman"/>
          <w:sz w:val="18"/>
          <w:szCs w:val="18"/>
          <w:b w:val="1"/>
          <w:bCs w:val="1"/>
          <w:color w:val="auto"/>
        </w:rPr>
        <w:t>The adequacy of our water supplies depends upon a variety of factors beyond our control. Interruption in the water supply may adversely affect our reputation and earnings.</w:t>
      </w:r>
    </w:p>
    <w:p>
      <w:pPr>
        <w:spacing w:after="0" w:line="5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depend on an adequate water supply to meet the present and future needs of our customers. Whether we have an adequate supply varies depending upon a variety of factors, many of which are partially or completely beyond our control, including:</w:t>
      </w:r>
    </w:p>
    <w:p>
      <w:pPr>
        <w:spacing w:after="0" w:line="54"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rainfall;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water stored in reservoirs;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underground water supply from which well water is pumped;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from water wholesalers;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amount of water used by our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 quality and availability of appropriate treatment technology;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limitations on water use such as rationing restrictions during a drought;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prevailing weather patterns and climate;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population growth.</w:t>
      </w:r>
    </w:p>
    <w:p>
      <w:pPr>
        <w:spacing w:after="0" w:line="11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purchase our water supply from various governmental agencies and others. Water supply availability may be affected by weather conditions, funding and other political and environmental considerations. In addition, our ability to use surface water is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subject to regulations regarding water quality and volume limitations. If new regulations are imposed or existing regulations are changed or given new interpretations, the availability of surface water may be materially reduced. A reduction in surface water could result in the need to procure more costly water from other sources, thereby increasing our water production costs and adversely affecting our operating results if not recovered in rates on a timely basis. From time to time, we enter into water supply agreements with third parties and our business is dependent upon such agreements in order to meet regional demand. The parties from whom we purchase water maintain significant infrastructure and systems to deliver water to us. The maintenance of these facilities is beyond our control. If these facilities are not adequately maintained or if these parties otherwise default on their obligations to supply water to us, we may not have adequate water supplies to meet our customers’ needs.</w:t>
      </w:r>
    </w:p>
    <w:p>
      <w:pPr>
        <w:spacing w:after="0" w:line="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we are unable to access adequate water supplies, we may be unable to satisfy all customer demand, which could result in rationing. Rationing may have an adverse effect on cash flow from operations. We can make no guarantee that we will always have access to an adequate supply of water that will meet all required quality standards. Water shortages may affect us in a variety of ways. For example, shortages could:</w:t>
      </w:r>
    </w:p>
    <w:p>
      <w:pPr>
        <w:spacing w:after="0" w:line="68"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our supply mix by causing us to rely on more expensive purchased water;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operating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risk of contamination to our systems due to our inability to maintain sufficient pressure; and</w:t>
      </w:r>
    </w:p>
    <w:p>
      <w:pPr>
        <w:spacing w:after="0" w:line="117"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capital expenditures for building pipelines to connect to alternative sources of supply, new wells to replace those that are no longer in service or are otherwise inadequate to meet the needs of our customers and reservoirs and other facilities to conserve or reclaim water.</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may or may not be able to recover increased operating and construction costs on a timely basis, or at all, for our regulated systems through the ratemaking process. We can give no assurance, as to whether we may be able to recover certain of these costs from third parties that may be responsible, or potentially responsible, for any groundwater contamination.</w:t>
      </w:r>
    </w:p>
    <w:p>
      <w:pPr>
        <w:spacing w:after="0" w:line="1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The concentration of our business in California and Connecticut makes us susceptible to adverse developments affecting these two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states.</w:t>
      </w:r>
    </w:p>
    <w:p>
      <w:pPr>
        <w:spacing w:after="0" w:line="139"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While SJW Group operates in multiple states, a significant majority of our revenues and earnings are generated by our California and Connecticut operations. As a result, our financial results are largely subject to political, regulatory, economic, water supply, weather, labor, and energy cost risks affecting California and Connecticut.</w:t>
      </w:r>
    </w:p>
    <w:p>
      <w:pPr>
        <w:spacing w:after="0" w:line="104" w:lineRule="exact"/>
        <w:rPr>
          <w:sz w:val="20"/>
          <w:szCs w:val="20"/>
          <w:color w:val="auto"/>
        </w:rPr>
      </w:pPr>
    </w:p>
    <w:p>
      <w:pPr>
        <w:ind w:right="540" w:firstLine="567"/>
        <w:spacing w:after="0" w:line="286" w:lineRule="auto"/>
        <w:rPr>
          <w:sz w:val="20"/>
          <w:szCs w:val="20"/>
          <w:color w:val="auto"/>
        </w:rPr>
      </w:pPr>
      <w:r>
        <w:rPr>
          <w:rFonts w:ascii="Times New Roman" w:cs="Times New Roman" w:eastAsia="Times New Roman" w:hAnsi="Times New Roman"/>
          <w:sz w:val="18"/>
          <w:szCs w:val="18"/>
          <w:b w:val="1"/>
          <w:bCs w:val="1"/>
          <w:color w:val="auto"/>
        </w:rPr>
        <w:t>We face competition from other utilities and service providers which might hinder our growth opportunities and mitigate our future profitability.</w:t>
      </w:r>
    </w:p>
    <w:p>
      <w:pPr>
        <w:spacing w:after="0" w:line="18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face competition from other utilities and service providers which might hinder our growth opportunities and mitigate our future profitability. We face risks of competition from other utilities or other entities authorized by federal, state or local agencies to expand rate-regulated or contracted utility services. Once a state utility regulator grants a franchise to a public utility to serve a specific territory, that utility effectively has an exclusive right to service that territory. Although a new franchise offers some protection against competitors, the pursuit of franchises is often competitive, where new franchises may be awarded to utilities based upon competitive negotiation. Competing entities have challenged, and may challenge in the future, our applications for new franchises.</w:t>
      </w:r>
    </w:p>
    <w:p>
      <w:pPr>
        <w:spacing w:after="0" w:line="1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Fluctuations in customer demand for water due to seasonality, restrictions of use, weather, and lifestyle can adversely affect operating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w:t>
      </w:r>
    </w:p>
    <w:p>
      <w:pPr>
        <w:spacing w:after="0" w:line="84" w:lineRule="exact"/>
        <w:rPr>
          <w:sz w:val="20"/>
          <w:szCs w:val="20"/>
          <w:color w:val="auto"/>
        </w:rPr>
      </w:pPr>
    </w:p>
    <w:p>
      <w:pPr>
        <w:jc w:val="both"/>
        <w:ind w:right="220"/>
        <w:spacing w:after="0" w:line="257" w:lineRule="auto"/>
        <w:rPr>
          <w:sz w:val="20"/>
          <w:szCs w:val="20"/>
          <w:color w:val="auto"/>
        </w:rPr>
      </w:pPr>
      <w:r>
        <w:rPr>
          <w:rFonts w:ascii="Times New Roman" w:cs="Times New Roman" w:eastAsia="Times New Roman" w:hAnsi="Times New Roman"/>
          <w:sz w:val="18"/>
          <w:szCs w:val="18"/>
          <w:color w:val="auto"/>
        </w:rPr>
        <w:t>Water Utility Services is seasonal, thus quarterly fluctuation in results of operations may be significant. Rainfall and other weather conditions also affect Water Utility Services. Water consumption typically increases during the third quarter of each year when weather tends to be warm and dry. In periods of drought, if customers are encouraged or required to conserve water due to a shortage of water supply or restriction of use, revenue tends to be lower.</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Similarly, in unusually wet periods, water supply tends to be higher and customer demand tends to be lower, again resulting in lower revenues. Furthermore, certain lifestyle choices made by customers can affect demand for water. For example, a significant portion of residential water use is for outside irrigation of lawns and landscaping. If there is a decreased desire by customers to maintain landscaping for their homes or restrictions are placed on outside irrigation, residential water demand would decrease, which would result in lower revenues.</w:t>
      </w:r>
    </w:p>
    <w:p>
      <w:pPr>
        <w:spacing w:after="0" w:line="8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Conservation efforts and construction codes, which require the use of low-flow plumbing fixtures and appliances, could diminish water consumption and result in reduced revenue. In addition, in time of drought, such as in the drought experienced in California in 2021 to early 2023, mandatory water conservation may become a regulatory requirement that impacts the water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usage of our customers. While the impacts of conservation and drought may be mitigated by certain regulatory mechanisms that may apply, such regulatory mechanisms are subject to review and change by the Regulators. Accordingly, there could be no assurance that such regulatory mechanisms will offset the effects of any revenue losses or other adverse impacts to our operating results attributable to these fluctuations in customer demand.</w:t>
      </w:r>
    </w:p>
    <w:p>
      <w:pPr>
        <w:spacing w:after="0" w:line="104" w:lineRule="exact"/>
        <w:rPr>
          <w:sz w:val="20"/>
          <w:szCs w:val="20"/>
          <w:color w:val="auto"/>
        </w:rPr>
      </w:pPr>
    </w:p>
    <w:p>
      <w:pPr>
        <w:ind w:right="600" w:firstLine="567"/>
        <w:spacing w:after="0" w:line="286" w:lineRule="auto"/>
        <w:rPr>
          <w:sz w:val="20"/>
          <w:szCs w:val="20"/>
          <w:color w:val="auto"/>
        </w:rPr>
      </w:pPr>
      <w:r>
        <w:rPr>
          <w:rFonts w:ascii="Times New Roman" w:cs="Times New Roman" w:eastAsia="Times New Roman" w:hAnsi="Times New Roman"/>
          <w:sz w:val="18"/>
          <w:szCs w:val="18"/>
          <w:b w:val="1"/>
          <w:bCs w:val="1"/>
          <w:color w:val="auto"/>
        </w:rPr>
        <w:t>A contamination event or other decline in source water quality could affect the water supply of Water Utility Services and therefore adversely affect our business and operating results.</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Water Utility Services is required under drinking water regulations to comply with water quality requirements. Through water quality compliance programs, Water Utility Services monitors for contamination and pollution of its sources of water. In addition, a watershed management program provides a proactive approach to minimize potential contamination activities. There can be no assurance that Water Utility Services will continue to comply fully with all applicable water quality requirements or detect contamination timely or at all. In addition, our facilities and infrastructure, including water towers, reservoirs and wells, may be subject to vandalism, break-ins or attacks, which may cause contamination or damage to our water supply. While we have</w:t>
      </w:r>
    </w:p>
    <w:p>
      <w:pPr>
        <w:spacing w:after="0" w:line="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taken measures to maintain physical security of our facilities, there is no guarantee that such measures will be effective to prevent such events. In the event a contamination is detected, Water Utility Services must either commence treatment to remove the contaminant or procure water from an alternative source. Either of these results may be costly, may increase future capital expenditures and there can be no assurance that the regulators would approve a rate increase to enable us to recover the costs arising from such remedies. In addition, we could be held liable for consequences arising from hazardous substances or contamination in our water supplies or other environmental damages and our reputation may be harmed by the public disclosures or media reports of these events. Our insurance policies may not cover or may not be sufficient to cover the costs of these claims.</w:t>
      </w:r>
    </w:p>
    <w:p>
      <w:pPr>
        <w:spacing w:after="0" w:line="1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Operating under contract water and waste systems subject us to risks.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Water Utility Services operates a number of water and wastewater systems under operation and maintenance contracts. Pursuant to these contracts, such systems are operated according to the standards set forth in the applicable contract, and it is generally the responsibility of the owner of the system to undertake capital improvements over which we may not have control. We may not be able to convince the owner to make needed improvements in order to maintain compliance with applicable regulations. Although violations and fines incurred by water and wastewater systems may be the responsibility of the owner of the system under these contracts, such non-compliance events may reflect poorly on us as the operator of the system and harm our reputation, and in some cases, may result in liability to the same extent as if we were the owner.</w:t>
      </w:r>
    </w:p>
    <w:p>
      <w:pPr>
        <w:spacing w:after="0" w:line="1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The necessity for ongoing physical and technological security has resulted, and may continue to result, in increased operating costs.</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necessity for ongoing physical and technological security has resulted, and may continue to result, in increased operating costs. Because of physical and technological threats to the health and security of the United States of America, we employ procedures to review and modify security measures. We provide ongoing training and communications to our employees about threats to our water supply, our assets and related systems and our employees’ personal safety. We have incurred, and will continue to incur, costs for security measures in efforts to protect against such risks.</w:t>
      </w:r>
    </w:p>
    <w:p>
      <w:pPr>
        <w:spacing w:after="0" w:line="108" w:lineRule="exact"/>
        <w:rPr>
          <w:sz w:val="20"/>
          <w:szCs w:val="20"/>
          <w:color w:val="auto"/>
        </w:rPr>
      </w:pPr>
    </w:p>
    <w:p>
      <w:pPr>
        <w:ind w:right="100" w:firstLine="567"/>
        <w:spacing w:after="0" w:line="268" w:lineRule="auto"/>
        <w:rPr>
          <w:sz w:val="20"/>
          <w:szCs w:val="20"/>
          <w:color w:val="auto"/>
        </w:rPr>
      </w:pPr>
      <w:r>
        <w:rPr>
          <w:rFonts w:ascii="Times New Roman" w:cs="Times New Roman" w:eastAsia="Times New Roman" w:hAnsi="Times New Roman"/>
          <w:sz w:val="18"/>
          <w:szCs w:val="18"/>
          <w:b w:val="1"/>
          <w:bCs w:val="1"/>
          <w:color w:val="auto"/>
        </w:rPr>
        <w:t>Water Utility Services rely on information technology and systems that are key to business operations. A system malfunction, security breach, cyber-attacks, or other disruption that compromises our information could expose us to liability and adversely affect business operations. In addition, noncompliance could expose us to liability and adversely affect business operations.</w:t>
      </w:r>
    </w:p>
    <w:p>
      <w:pPr>
        <w:spacing w:after="0" w:line="6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Information technology is key to the operation of Water Utility Services, including but not limited to payroll, general ledger activities, outsourced bill preparation and remittance processing, providing customer service and the use of Supervisory Control and Data Acquisition systems to operate our distribution system. Among other things, system malfunctions, computer viruses and security breaches could prevent us from operating or monitoring our facilities, billing, and collecting cash accurately and timely analysis and reporting of financial results. In addition, we collect, process, and store sensitive data from our customers and employees, including personally identifiable information, on our networks. Despite our security measures, our information technology and infrastructure may be vulnerable to attacks by hackers or may be breached due to employee error, malfeasance, or other disruptions. Any such breach could compromise our networks, and the information stored there could be accessed without our authorization, publicly disclosed, lost, or stolen which could result in legal claims or proceedings, violation of privacy laws or damage to our reputation and customer relationships. Our profitability and cash flow could be affected negatively in the event these systems do not operate effectively or are breached. We also rely on third-party technology vendors for critical services, including data hosting and infrastructure support. A failure or breach by these vendors could also expose our systems and sensitive information to unauthorized access or disruption. Further, ransomware and other forms of disruptive or disabling cyber-attacks targeting utility systems and other infrastructure are continuously increasing in sophistication,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magnitude and frequency, and may not be recognized until launched against a target. The use of artificial intelligence by cybercriminals may increase the frequency and severity of cybersecurity attacks, including against us or our third-party vendors. Accordingly, we may be unable to anticipate these techniques or to entirely eliminate this risk. In addition, we may not be able to develop or acquire information technology that is competitive and responsive to the needs of our business, and we may lack sufficient resources to make the necessary upgrades or replacements of our outdated existing technology to allow us to continue to operate at our current level of efficiency. These risks may escalate during periods of heightened geopolitical tension.</w:t>
      </w:r>
    </w:p>
    <w:p>
      <w:pPr>
        <w:spacing w:after="0" w:line="60"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In addition, we must comply with privacy laws such as The California Consumer Privacy Act, as amended by the California Privacy Rights Act (collectively, the “CCPA”). The CCPA requires, among other things, covered companies to provide enhanced disclosures to California consumers and to afford such consumers certain privacy rights and consumer protections. The CCPA also establishes statutory damages for victims of data security breaches, and provides additional rights for consumers to obtain their data from any business that has their personally identifying information. We are anticipating updated and finalized implementing regulations under the CCPA that may impact our compliance obligations. We are also subject to other comprehensive state privacy laws with similar obligations, including the Connecticut Data Privacy Act and the Texas Data Privacy and Security Act. While some of these laws include limited exceptions for data collected by utilities, the exceptions generally do not remove all obligations imposed by the laws.</w:t>
      </w:r>
    </w:p>
    <w:p>
      <w:pPr>
        <w:spacing w:after="0" w:line="6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Moreover, additional federal and state privacy and cybersecurity laws and regulations have been passed or may be passed in the future, and they may have potential compliance obligations that impact our operations depending on whether we fall under their scope. The effects of these laws have been significant, requiring us to modify our data processing practices and policies and to incur costs and expenses for compliance. Any actual or perceived noncompliance with applicable data privacy or cybersecurity laws may lead to investigations, claims, and proceedings by governmental entities and private parties, damages for breach, and cause us to incur other significant costs, penalties, and other liabilities, as well as harm to our reputation.</w:t>
      </w:r>
    </w:p>
    <w:p>
      <w:pPr>
        <w:spacing w:after="0" w:line="98" w:lineRule="exact"/>
        <w:rPr>
          <w:sz w:val="20"/>
          <w:szCs w:val="20"/>
          <w:color w:val="auto"/>
        </w:rPr>
      </w:pPr>
    </w:p>
    <w:p>
      <w:pPr>
        <w:ind w:right="80" w:firstLine="567"/>
        <w:spacing w:after="0" w:line="255" w:lineRule="auto"/>
        <w:rPr>
          <w:sz w:val="20"/>
          <w:szCs w:val="20"/>
          <w:color w:val="auto"/>
        </w:rPr>
      </w:pPr>
      <w:r>
        <w:rPr>
          <w:rFonts w:ascii="Times New Roman" w:cs="Times New Roman" w:eastAsia="Times New Roman" w:hAnsi="Times New Roman"/>
          <w:sz w:val="18"/>
          <w:szCs w:val="18"/>
          <w:b w:val="1"/>
          <w:bCs w:val="1"/>
          <w:color w:val="auto"/>
        </w:rPr>
        <w:t>A failure of our reservoirs, storage tanks, mains or distribution networks could result in losses and damages that may adversely affect our financial condition and reputation.</w:t>
      </w:r>
    </w:p>
    <w:p>
      <w:pPr>
        <w:spacing w:after="0" w:line="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distribute water through an extensive network of mains and store water in reservoirs and storage tanks located across our service areas. The Water Utility Services’ distribution systems were constructed during the period from the early 1900’s through today. A failure of major mains, reservoirs, or tanks could result in injuries and damage to residential and/or commercial property for which we may be responsible, in whole or in part. The failure of major mains, reservoirs or tanks may also result in the need to shut down some facilities or parts of our water distribution network in order to conduct repairs. Such failures and shutdowns may limit our ability to supply water in sufficient quantities to our customers and to meet the water delivery requirements prescribed by governmental regulators, which could adversely affect our financial condition, results of operations, cash flow, liquidity and reputation. We also own and operate numerous dams in California, Connecticut and Maine, and a failure of such dams could result in losses and damages that may adversely affect our financial condition and reputation. Any business interruption or other losses might not be covered by existing insurance policies or be recoverable in rates, and such losses may make it difficult for us to secure insurance in the future at acceptable rates. Our insurance policies may not cover or may not be sufficient to cover the costs of these claims.</w:t>
      </w:r>
    </w:p>
    <w:p>
      <w:pPr>
        <w:spacing w:after="0" w:line="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operations of our water and wastewater treatment plants involve physical, chemical, and biological processes and the use of pumps, generators, and other industrial equipment. As a result, our operations are subject to various industrial risks, including chemical spills, discharges or releases of toxic or hazardous substances or gases, effects resulting from confined operating spaces, fires, explosions, mechanical failures, storage tank leaks, and electric shock. These risks can result in personal injury, loss of life, catastrophic damage to or destruction of property and equipment or environmental damage, and related legal proceedings, including those commenced by regulators, neighbors, or others. They may also result in an unanticipated interruption or suspension of our operations and the imposition of liability. The loss or shutdown over an extended period of operations at any of our treatment facilities or any losses relating to these risks could have a material adverse impact on our profitability, results of operations, liquidity, and cash flows.</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Our business and financial performance may be adversely affected by high inflation.</w:t>
      </w:r>
    </w:p>
    <w:p>
      <w:pPr>
        <w:spacing w:after="0" w:line="10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Inflation has the potential to adversely affect our liquidity, business, financial condition and results of operations by increasing our overall cost structure, particularly if we are unable to achieve increases in the rates we charge our customers. There is no guarantee that any future rate increase requests will be approved and granted in a timely manner and/or will be sufficient to cover costs for the impact of high inflation. The existence of inflation in the economy has resulted in, and may continue to result in, higher interest rates and capital costs, shipping costs, supply shortages, increased costs of labor and other similar effects. As a result of inflation, we have experienced and may continue to experience, cost increases. Although we may take measures to mitigate the impact of this inflation, if these measures are not effective, our business, financial condition, results of</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operations and liquidity could be materially adversely affected. Even if such measures are effective, there could be a difference between the timing of when these beneficial actions impact our results of operations and when the cost of inflation is incurred.</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Work stoppages and other labor relations matters could adversely affect our business and operating results.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December 31, 2024, 241 of our 822 total employees were union members. Most of our unionized employees are represented by the UWUA, except certain employees in the engineering department who are represented by the OE. Only employees at SJWC are union members. The current three-year bargaining agreements will expire on December 31, 2025.</w:t>
      </w:r>
    </w:p>
    <w:p>
      <w:pPr>
        <w:spacing w:after="0" w:line="6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may experience difficulties and delays in the collective bargaining process to reach suitable agreements with union employees, particularly in light of increasing healthcare and pension costs. In addition, changes in applicable law and regulations could have an adverse effect on management’s negotiating position with the unions. Labor actions, work stoppages or the threat of work stoppages, and our failure to obtain favorable labor contract terms during future negotiations may adversely affect our business, financial condition, results of operations, cash flows and liquidity.</w:t>
      </w:r>
    </w:p>
    <w:p>
      <w:pPr>
        <w:spacing w:after="0" w:line="95" w:lineRule="exact"/>
        <w:rPr>
          <w:sz w:val="20"/>
          <w:szCs w:val="20"/>
          <w:color w:val="auto"/>
        </w:rPr>
      </w:pPr>
    </w:p>
    <w:p>
      <w:pPr>
        <w:ind w:right="200" w:firstLine="567"/>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maintain safe work sites, we can be exposed to not only people impacts but also to financial losses such as penalties and other liabilities.</w:t>
      </w:r>
    </w:p>
    <w:p>
      <w:pPr>
        <w:spacing w:after="0" w:line="5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safety record is critical to our reputation because our business operation involves inherently dangerous activities. We maintain health and safety standards to protect our employees, customers, vendors and the public. Although we intend to adhere to such health and safety standards and aim for zero injuries, it is difficult to avoid accidents at all times.</w:t>
      </w:r>
    </w:p>
    <w:p>
      <w:pPr>
        <w:spacing w:after="0" w:line="6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business sites, including construction and maintenance sites, often place our employees and others in close proximity with large pieces of heavy equipment, moving vehicles, pressurized water, underground trenches and vaults, chemicals and other regulated materials. On many sites we are responsible for safety and, accordingly, must implement safety procedures. If we fail to implement such procedures or if the procedures we implement are ineffective or are not followed by our employees or others, or if accidents occur outside of our control, our employees and others may be injured or die. Unsafe work sites also have the potential to increase employee turnover and raise our operating costs. Any of the foregoing could result in financial losses, which could have a material adverse impact on our business, financial condition, results of operations and cash flows.</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our operations can involve the handling and storage of hazardous chemicals, which, if improperly handled, stored or disposed of, could subject us to penalties or other liabilities. We are also subject to regulations dealing with occupational health and safety. Although we maintain functional employee groups whose primary purpose is to ensure we implement effective health, safety, and environment work procedures throughout our organization, including construction sites and maintenance sites, the failure to comply with such regulations or procedures could subject us to a liability.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Finances and Corporate Matters</w:t>
      </w:r>
    </w:p>
    <w:p>
      <w:pPr>
        <w:spacing w:after="0" w:line="144" w:lineRule="exact"/>
        <w:rPr>
          <w:sz w:val="20"/>
          <w:szCs w:val="20"/>
          <w:color w:val="auto"/>
        </w:rPr>
      </w:pPr>
    </w:p>
    <w:p>
      <w:pPr>
        <w:ind w:right="120" w:firstLine="567"/>
        <w:spacing w:after="0" w:line="255" w:lineRule="auto"/>
        <w:rPr>
          <w:sz w:val="20"/>
          <w:szCs w:val="20"/>
          <w:color w:val="auto"/>
        </w:rPr>
      </w:pPr>
      <w:r>
        <w:rPr>
          <w:rFonts w:ascii="Times New Roman" w:cs="Times New Roman" w:eastAsia="Times New Roman" w:hAnsi="Times New Roman"/>
          <w:sz w:val="18"/>
          <w:szCs w:val="18"/>
          <w:b w:val="1"/>
          <w:bCs w:val="1"/>
          <w:color w:val="auto"/>
        </w:rPr>
        <w:t>We may not have sufficient cash flow or capital resources to fund capital expenditures of our business, and our access to liquidity through the capital markets may be limited.</w:t>
      </w:r>
    </w:p>
    <w:p>
      <w:pPr>
        <w:spacing w:after="0" w:line="6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business is capital-intensive. Expenditure levels for renewal and modernization of the system will grow at an increasing rate as components reach the end of their useful lives. In addition, EPA regulations impose maximum contaminant levels and monitoring requirements for the nation’s water systems for six PFAS chemicals under the Safe Drinking Water Act and will require an increase in capital expenditures. SJW Group’s subsidiaries fund capital expenditures through a variety of sources, including cash received from operations, funds received from developers as contributions or advances, borrowings through lines of credit and debt financings, as well as equity financings by SJW Group. We cannot provide any assurance that the historical sources of funds for capital expenditures will continue to be adequate or that the cost of funds will remain at levels permitting us to earn a reasonable rate of return. A significant change in any of the funding sources could impair the ability of Water Utility Services to fund its capital expenditures, which could impact our ability to grow our utility asset base and earnings. Any increase in the cost of capital through higher interest rates or otherwise could adversely affect our results of operations.</w:t>
      </w:r>
    </w:p>
    <w:p>
      <w:pPr>
        <w:spacing w:after="0" w:line="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ability to raise capital through equity or debt may be affected by the economy and condition of the debt and equity markets. Disruptions in the capital and credit markets or deterioration in the strength of financial institutions could adversely affect SJW Group’s ability to draw on its lines of credit, issue long-term debt or sell its equity. In addition, government policies, the state of the credit markets and other factors could result in increased interest rates, which would increase SJW Group’s cost of capital. Furthermore, equity financings may result in dilution to our existing stockholders and debt financings may contain covenants that restrict the actions of SJW Group and its subsidiaries.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98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We have incurred substantial additional indebtedness that may reduce our business and operational flexibility and increase our borrowing costs.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incurred substantial indebtedness resulting in a higher debt-to-equity ratio, which may have the effect, among other things, of:</w:t>
      </w:r>
    </w:p>
    <w:p>
      <w:pPr>
        <w:spacing w:after="0" w:line="11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our flexibility to respond to changing business, industry and economic conditions;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borrowing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growth through capital expenditures and acquisitions;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relative to other companies in our industry with less debt;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having an adverse effect on our issuer and issue ratings;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additional cash flow to be used to service debt instead of for other purposes;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impairing our ability to obtain other financing.</w:t>
      </w:r>
    </w:p>
    <w:p>
      <w:pPr>
        <w:spacing w:after="0" w:line="11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certain circumstances, we may not have sufficient funds or other resources to satisfy all of our obligations under our indebtedness, including principal and interest payments, which, if not cured, may cause an event of default. In addition, the terms and conditions of such indebtedness, including financial covenants and restrictive covenants, may reduce our business flexibility and adversely affect our business, financial condition, results of operations and prospects. The agreements governing the indebtedness contain covenants that impose significant operating and financial limitations and restrictions on us, including restrictions on the ability to enter particular transactions and engage in other activities that we may believe will be advisable or necessary for our business.</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borrowings include certain financial covenants regarding a maximum debt to equity ratio and an interest coverage requirement for us and certain subsidiaries. In the event the relevant borrower exceeds the maximum debt to equity ratio or interest coverage requirement, we may be restricted from issuing future debt. Additionally, certain covenants include restrictions on cash dividends paid based on restricted net assets. Further, we have issued certain revenue bonds that contain affirmative and negative covenants customary for a loan agreement relating to revenue bonds, including, among other things, certain disclosure obligations, the tax exempt status of the interest on the bonds, and limitations and prohibitions on the transfer of projects funded by the loan proceeds and assignment of the loan agreement. Failure to comply with any of the covenants in our existing or future debt agreements could result in a default under those agreements and under other existing agreements containing cross-default provisions. A default would permit lenders to accelerate the maturity of indebtedness under these agreements, which would have an adverse effect on our business operations and financial condition.</w:t>
      </w:r>
    </w:p>
    <w:p>
      <w:pPr>
        <w:spacing w:after="0" w:line="120" w:lineRule="exact"/>
        <w:rPr>
          <w:sz w:val="20"/>
          <w:szCs w:val="20"/>
          <w:color w:val="auto"/>
        </w:rPr>
      </w:pPr>
    </w:p>
    <w:p>
      <w:pPr>
        <w:ind w:right="340" w:firstLine="567"/>
        <w:spacing w:after="0" w:line="268" w:lineRule="auto"/>
        <w:rPr>
          <w:sz w:val="20"/>
          <w:szCs w:val="20"/>
          <w:color w:val="auto"/>
        </w:rPr>
      </w:pPr>
      <w:r>
        <w:rPr>
          <w:rFonts w:ascii="Times New Roman" w:cs="Times New Roman" w:eastAsia="Times New Roman" w:hAnsi="Times New Roman"/>
          <w:sz w:val="18"/>
          <w:szCs w:val="18"/>
          <w:b w:val="1"/>
          <w:bCs w:val="1"/>
          <w:color w:val="auto"/>
        </w:rPr>
        <w:t>SJW Group has committed to certain “ring-fencing” measures which will enhance CTWS’s separateness from SJW Group, which may limit SJW Group’s ability to influence the management and policies of CTWS (beyond the limitations included in other existing governance mechanisms).</w:t>
      </w:r>
    </w:p>
    <w:p>
      <w:pPr>
        <w:spacing w:after="0" w:line="6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Pursuant to the agreements related to the acquisition of CTWS and commitments made by SJW Group as part of the application for PURA and MPUC approval of the acquisition of CTWS, SJW Group has instituted certain “ring-fencing” measures to enhance CTWS’s separateness from SJW Group and to mitigate the risk that CTWS would be negatively impacted in the event of a bankruptcy or other adverse financial developments affecting SJW Group or its non-ring-fenced affiliates. These commitments became effective upon the closing of the acquisition.</w:t>
      </w:r>
    </w:p>
    <w:p>
      <w:pPr>
        <w:spacing w:after="0" w:line="7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order to satisfy the ring-fencing commitments, SJW Group formed SJWNE LLC a wholly owned special purpose entity (“SPE”), to own the capital stock of CTWS. The SPE, CTWS and its subsidiaries (collectively, the “CTWS Entities”) adopted certain measures designed to enhance their separateness from SJW Group, with the intention of mitigating the effects on the CTWS Entities of any bankruptcy of SJW Group and its affiliates other than the CTWS Entities (collectively, the “Non-CTWS Entities”). As a result of these ring-fencing measures, in certain situations, SJW Group will be restricted in its ability to access assets of the CTWS Entities as dividends or intercompany loans to satisfy the debt or contractual obligations of any Non-CTWS Entity, including any indebtedness or other contractual obligations of SJW Group. In addition, the ring-fencing structure may negatively impact SJW Group’s ability to achieve certain benefits, including synergies and economies of scale to reduce operating costs of the combined entity, that it anticipates will result from the merger. This ring-fencing structure also subjects SJW Group and the CTWS Entities to certain governance, operational and financial restrictions since the closing of the merger. Accordingly, SJW Group may be restricted in its ability to direct the management, policies and operations of the CTWS Entities, including the deployment or disposition of their respective assets, declarations of dividends, strategic planning and other important corporate issues. Furthermore, the CTWS Entities’ directors have considerable autonomy and, as described in our commitments, have a duty to act in the best interest of the CTWS Entities consistent with the ring-fencing structure and applicable law, which may be contrary to SJW Group’s best interests or be in opposition to SJW Group’s preferred strategic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direction for the CTWS Entities. To the extent they take actions that are not in SJW Group’s interests, our financial condition, results of operations and prospects may be materially adversely affected.</w:t>
      </w:r>
    </w:p>
    <w:p>
      <w:pPr>
        <w:spacing w:after="0" w:line="90" w:lineRule="exact"/>
        <w:rPr>
          <w:sz w:val="20"/>
          <w:szCs w:val="20"/>
          <w:color w:val="auto"/>
        </w:rPr>
      </w:pPr>
    </w:p>
    <w:p>
      <w:pPr>
        <w:ind w:firstLine="567"/>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strategy, which includes acquiring water systems and expanding non-tariffed services, will expose us to new risks which could have a material adverse effect on our business.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strategy focuses on the following:</w:t>
      </w:r>
    </w:p>
    <w:p>
      <w:pPr>
        <w:spacing w:after="0" w:line="117" w:lineRule="exact"/>
        <w:rPr>
          <w:sz w:val="20"/>
          <w:szCs w:val="20"/>
          <w:color w:val="auto"/>
        </w:rPr>
      </w:pPr>
    </w:p>
    <w:p>
      <w:pPr>
        <w:ind w:left="1300" w:hanging="1049"/>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regulated water utility operations (includes water and wastewater);</w:t>
      </w:r>
    </w:p>
    <w:p>
      <w:pPr>
        <w:spacing w:after="0" w:line="117" w:lineRule="exact"/>
        <w:rPr>
          <w:rFonts w:ascii="Times New Roman" w:cs="Times New Roman" w:eastAsia="Times New Roman" w:hAnsi="Times New Roman"/>
          <w:sz w:val="18"/>
          <w:szCs w:val="18"/>
          <w:color w:val="auto"/>
        </w:rPr>
      </w:pPr>
    </w:p>
    <w:p>
      <w:pPr>
        <w:ind w:left="1300" w:right="180" w:hanging="1049"/>
        <w:spacing w:after="0" w:line="282"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non-tariffed water utility related services provided in accordance with the guidelines established by the applicable state public utility commissions; and</w:t>
      </w:r>
    </w:p>
    <w:p>
      <w:pPr>
        <w:spacing w:after="0" w:line="53" w:lineRule="exact"/>
        <w:rPr>
          <w:rFonts w:ascii="Times New Roman" w:cs="Times New Roman" w:eastAsia="Times New Roman" w:hAnsi="Times New Roman"/>
          <w:sz w:val="18"/>
          <w:szCs w:val="18"/>
          <w:color w:val="auto"/>
        </w:rPr>
      </w:pPr>
    </w:p>
    <w:p>
      <w:pPr>
        <w:ind w:left="1300" w:hanging="1049"/>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Out-of-region water and utility related services.</w:t>
      </w:r>
    </w:p>
    <w:p>
      <w:pPr>
        <w:spacing w:after="0" w:line="1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part of our pursuit of the above three strategic areas, we consider from time-to-time opportunities to acquire businesses and assets. However, we cannot be certain we will be successful in identifying and consummating any strategic business combination or acquisitions relating to such opportunities. In addition, the execution of our business strategy will expose us to different risks than those associated with the current utility operations. We expect to incur costs in connection with the execution of this strategy and any integration of an acquired business could involve significant costs, the assumption of certain known and unknown liabilities related to the acquired assets, the diversion of management’s time and resources, the potential for a negative impact on SJW Group’s financial position and operating results, entering markets in which SJW Group has no or limited direct prior experience and the potential loss of key employees of any acquired company. Any strategic combination or acquisition we decide to undertake may also impact our ability to finance our business, affect our compliance with regulatory requirements, and impose additional burdens on our operations. Any businesses we acquire may not achieve sales, customer growth and projected profitability that would justify the investment. Any difficulties we encounter in the integration process, including the integration of controls necessary for internal control and financial reporting, could interfere with our operations, reduce our operating margins and adversely affect our internal controls. SJW Group cannot be certain that any transaction will be successful or that it will not materially harm operating results or our financial condition.</w:t>
      </w:r>
    </w:p>
    <w:p>
      <w:pPr>
        <w:spacing w:after="0" w:line="105" w:lineRule="exact"/>
        <w:rPr>
          <w:sz w:val="20"/>
          <w:szCs w:val="20"/>
          <w:color w:val="auto"/>
        </w:rPr>
      </w:pPr>
    </w:p>
    <w:p>
      <w:pPr>
        <w:ind w:right="800" w:firstLine="567"/>
        <w:spacing w:after="0" w:line="286" w:lineRule="auto"/>
        <w:rPr>
          <w:sz w:val="20"/>
          <w:szCs w:val="20"/>
          <w:color w:val="auto"/>
        </w:rPr>
      </w:pPr>
      <w:r>
        <w:rPr>
          <w:rFonts w:ascii="Times New Roman" w:cs="Times New Roman" w:eastAsia="Times New Roman" w:hAnsi="Times New Roman"/>
          <w:sz w:val="18"/>
          <w:szCs w:val="18"/>
          <w:b w:val="1"/>
          <w:bCs w:val="1"/>
          <w:color w:val="auto"/>
        </w:rPr>
        <w:t>An impairment in the carrying value of our goodwill could negatively impact our consolidated results of operations and financial condition.</w:t>
      </w:r>
    </w:p>
    <w:p>
      <w:pPr>
        <w:spacing w:after="0" w:line="9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have significant amounts of goodwill resulting from the acquisition of businesses. As of December 31, 2024, consolidated goodwill totaled $640.3 million, or 14% of our total assets. Goodwill represents the excess of amounts paid for acquired businesses over the fair value of the net assets acquired. Goodwill is not amortized but is tested for impairment annually on October 1st or more frequently if an event occurs or circumstances change that would more likely than not reduce the fair value of a reporting unit below its carrying amount. Such events or circumstances could include changes in performance relative to expected operating results, significant negative industry or economic trends, including rising interest rates, or a significant decline in our stock price and/or market capitalization for a sustained period of time. If certain factors arise, we may be required to record a significant charge to earnings in our consolidated financial statements during the period in which an impairment of our goodwill is determined. Any such charge could have a material adverse impact on our results of operations and financial condition.</w:t>
      </w:r>
    </w:p>
    <w:p>
      <w:pPr>
        <w:spacing w:after="0" w:line="1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Adverse investment returns and other factors may increase our pension costs and pension plan funding requirements.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substantial number of our employees are covered by defined benefit pension plans. Our pension costs and the funded status of the plans are affected by a number of factors including the discount rate, applicable mortality tables, mortality rates of plan participants, investment returns on plan assets, and pension reform legislation. Any change in such factors could result in an increase in future pension costs and an increase in our pension liabilities, requiring an increase in plan contributions which may adversely affect our financial conditions and results of operations.</w:t>
      </w:r>
    </w:p>
    <w:p>
      <w:pPr>
        <w:spacing w:after="0" w:line="68" w:lineRule="exact"/>
        <w:rPr>
          <w:sz w:val="20"/>
          <w:szCs w:val="20"/>
          <w:color w:val="auto"/>
        </w:rPr>
      </w:pPr>
    </w:p>
    <w:p>
      <w:pPr>
        <w:ind w:right="9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SJW Group’s dividend policy is subject to the discretion of our board of directors and may be limited by legal and contractual requirements.</w:t>
      </w:r>
    </w:p>
    <w:p>
      <w:pPr>
        <w:spacing w:after="0" w:line="3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anticipate continuing to pay a regular quarterly dividend, though any such determination to pay dividends will be at the discretion of our board of directors and will be dependent on then-existing conditions, including our financial condition, earnings, legal requirements, including limitations under Delaware law, restrictions in our credit agreements and other debt instruments that limit our ability to pay dividends to stockholders, and other factors the board of directors deems relevant. The board of directors of SJW Group may, in its sole discretion, change the amount or frequency of dividends or discontinue the payment of dividends entirely.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SJW Group is a holding company that depends on cash flow from its subsidiaries to meet its financial obligations and pay dividends on its common stock.</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a holding company, we conduct substantially all of our operations through subsidiaries and our only significant assets are investments in those subsidiaries. This means that we are dependent on distributions of funds from our subsidiaries to meet SJW Group’s debt service obligations and to pay dividends on our common stock. Our subsidiaries are separate and distinct legal entities and generally have no obligation to pay any amounts due on SJW Group’s debt or to provide SJW Group with funds for dividends. Our subsidiaries only pay dividends if and when declared by their respective boards of directors. Additionally, our subsidiaries may be subject to restrictions on their ability to pay dividends to us, including under state law, pursuant to regulatory commitments, and under their credit agreements and other debt instruments. In this regard, the CTWS Entities are limited from paying dividends to us in certain circumstances under PURA and MPUC regulatory commitments. Furthermore, our right to receive cash or other assets in the unlikely event of liquidation or reorganization of any of our subsidiaries is generally subject to the prior claims of creditors of that subsidiary. Any inability of our subsidiaries to pay us dividends may have a material and adverse effect on our ability to pay dividends to our stockholders, meet our financial obligations, or make additional investments.</w:t>
      </w:r>
    </w:p>
    <w:p>
      <w:pPr>
        <w:spacing w:after="0" w:line="82"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Our charter documents and Delaware law could prevent a takeover that stockholders consider favorable and could also make it more difficult for stockholders to influence our policies or may reduce the rights of stockholders.</w:t>
      </w:r>
    </w:p>
    <w:p>
      <w:pPr>
        <w:spacing w:after="0" w:line="46" w:lineRule="exact"/>
        <w:rPr>
          <w:sz w:val="20"/>
          <w:szCs w:val="20"/>
          <w:color w:val="auto"/>
        </w:rPr>
      </w:pPr>
    </w:p>
    <w:p>
      <w:pPr>
        <w:jc w:val="both"/>
        <w:ind w:right="160"/>
        <w:spacing w:after="0" w:line="276" w:lineRule="auto"/>
        <w:rPr>
          <w:sz w:val="20"/>
          <w:szCs w:val="20"/>
          <w:color w:val="auto"/>
        </w:rPr>
      </w:pPr>
      <w:r>
        <w:rPr>
          <w:rFonts w:ascii="Times New Roman" w:cs="Times New Roman" w:eastAsia="Times New Roman" w:hAnsi="Times New Roman"/>
          <w:sz w:val="18"/>
          <w:szCs w:val="18"/>
          <w:color w:val="auto"/>
        </w:rPr>
        <w:t>SJW Group</w:t>
      </w:r>
      <w:r>
        <w:rPr>
          <w:rFonts w:ascii="Times New Roman" w:cs="Times New Roman" w:eastAsia="Times New Roman" w:hAnsi="Times New Roman"/>
          <w:sz w:val="19"/>
          <w:szCs w:val="19"/>
          <w:color w:val="auto"/>
        </w:rPr>
        <w:t>’s</w:t>
      </w:r>
      <w:r>
        <w:rPr>
          <w:rFonts w:ascii="Times New Roman" w:cs="Times New Roman" w:eastAsia="Times New Roman" w:hAnsi="Times New Roman"/>
          <w:sz w:val="18"/>
          <w:szCs w:val="18"/>
          <w:color w:val="auto"/>
        </w:rPr>
        <w:t xml:space="preserve"> Certificate of Incorporation and Bylaws contain provisions that could delay or prevent a change in control of SJW Group. These provisions could also make it more difficult for our stockholders to remove or replace directors or take other corporate actions. These provisions include, but are not limited to, the following:</w:t>
      </w:r>
    </w:p>
    <w:p>
      <w:pPr>
        <w:spacing w:after="0" w:line="60" w:lineRule="exact"/>
        <w:rPr>
          <w:sz w:val="20"/>
          <w:szCs w:val="20"/>
          <w:color w:val="auto"/>
        </w:rPr>
      </w:pPr>
    </w:p>
    <w:p>
      <w:pPr>
        <w:ind w:left="1300" w:hanging="1049"/>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Board of Directors to issue “blank check” preferred stock;</w:t>
      </w:r>
    </w:p>
    <w:p>
      <w:pPr>
        <w:spacing w:after="0" w:line="117" w:lineRule="exact"/>
        <w:rPr>
          <w:rFonts w:ascii="Times New Roman" w:cs="Times New Roman" w:eastAsia="Times New Roman" w:hAnsi="Times New Roman"/>
          <w:sz w:val="18"/>
          <w:szCs w:val="18"/>
          <w:color w:val="auto"/>
        </w:rPr>
      </w:pPr>
    </w:p>
    <w:p>
      <w:pPr>
        <w:ind w:left="1300" w:hanging="1049"/>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cumulative voting in the election of directors;</w:t>
      </w:r>
    </w:p>
    <w:p>
      <w:pPr>
        <w:spacing w:after="0" w:line="117" w:lineRule="exact"/>
        <w:rPr>
          <w:rFonts w:ascii="Times New Roman" w:cs="Times New Roman" w:eastAsia="Times New Roman" w:hAnsi="Times New Roman"/>
          <w:sz w:val="18"/>
          <w:szCs w:val="18"/>
          <w:color w:val="auto"/>
        </w:rPr>
      </w:pPr>
    </w:p>
    <w:p>
      <w:pPr>
        <w:ind w:left="1300" w:right="820" w:hanging="1049"/>
        <w:spacing w:after="0" w:line="282"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stockholders to call a special meeting of stockholders to only stockholders holding not less than 20% of outstanding voting power; and</w:t>
      </w:r>
    </w:p>
    <w:p>
      <w:pPr>
        <w:spacing w:after="0" w:line="53" w:lineRule="exact"/>
        <w:rPr>
          <w:rFonts w:ascii="Times New Roman" w:cs="Times New Roman" w:eastAsia="Times New Roman" w:hAnsi="Times New Roman"/>
          <w:sz w:val="18"/>
          <w:szCs w:val="18"/>
          <w:color w:val="auto"/>
        </w:rPr>
      </w:pPr>
    </w:p>
    <w:p>
      <w:pPr>
        <w:ind w:left="1300" w:hanging="1049"/>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notification of stockholder nomination of directors and proposals.</w:t>
      </w:r>
    </w:p>
    <w:p>
      <w:pPr>
        <w:spacing w:after="0" w:line="117"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In addition, the provisions of Section 203 of the Delaware General Corporate Law (“DGCL”) govern SJW Group. These provisions may prohibit large stockholders, in particular those owning 15% or more of our outstanding voting stock, from merging or combining with us for a certain period of time without the consent of the Board of Directors.</w:t>
      </w:r>
    </w:p>
    <w:p>
      <w:pPr>
        <w:spacing w:after="0" w:line="6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Furthermore, SJW Group’s Certificate of Incorporation provides, unless the company consents in writing to the selection of an alternate forum, (a) a state or federal court located within the State of Delaware is the sole and exclusive forum for (i) any derivative action or proceeding brought on behalf of SJW Group, (ii) any action asserting a claim of breach of a fiduciary duty owed by any director, officer or other employee of SJW Group to the company or its stockholders, (iii) any action asserting a claim arising pursuant to any provision of the DGCL, or (iv) any action asserting a claim governed by the internal affairs doctrine; and (b) the U.S. federal district courts is the sole and exclusive forum for any claim arising under the Securities Act of 1933 (unless such provision is deemed illegal, invalid or unenforceable, in which case the sole exclusive state court forum for any claim arising under the Securities Act of 1933 will be the Court of Chancery in the State of Delaware). Such “exclusive forum” provisions may limit a stockholder’s ability to bring a claim in a judicial forum that it finds favorable for disputes with SJW Group or its directors, officers or other employees, which may discourage such lawsuits.</w:t>
      </w:r>
    </w:p>
    <w:p>
      <w:pPr>
        <w:spacing w:after="0" w:line="1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We may not be able to maintain adequate insurance coverage at reasonable costs, or at all, to cover all losses incurred in our operations.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maintain insurance coverage as part of our overall legal and risk management strategy to minimize potential liabilities arising from our operations. Our insurance programs have varying coverage limits, deductibles, exclusions and maximums, and our insurance coverages include: worker’s compensation, employer’s liability, damage to our property, general liability, pollution liability, cybersecurity, and automobile liability. Each policy includes either deductibles or self-insured retentions and policy limits for covered claims. As a result, we may sustain losses that exceed or are excluded from our insurance coverage or for which we are self-insured. The insurance companies may also seek to challenge, reduce or deny any claims we submit, which may prevent us from recovering fully the losses we incurred. In addition, insurance companies may increase premiums or deductibles or reduce coverage limits based on factors that are beyond our control, including industry trends, financial conditions of insurance companies and catastrophic events such as wildfire, earthquake and pandemic. There can be no assurance that we can secure all necessary or appropriate insurance in the future, or that such insurance can be obtained at reasonable cost, or at all.</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We operate in areas subject to natural disasters, and we may be the target of terrorist activities and other physical threats.</w:t>
      </w:r>
    </w:p>
    <w:p>
      <w:pPr>
        <w:spacing w:after="0" w:line="121"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18"/>
          <w:szCs w:val="18"/>
          <w:color w:val="auto"/>
        </w:rPr>
        <w:t>We operate in areas that are prone to earthquakes, fires, floods, extreme weather and other natural disasters. A significant seismic event in northern California, where the majority of our operations are concentrated, or other natural disaster in northern California, Connecticut, Texas or Maine could adversely impact our ability to deliver water to our customers and our costs of operations. A major disaster could damage or destroy our capital assets, harm our reputations and adversely affect our results of operations. The Regulators have historically allowed utilities to establish catastrophic event memorandum accounts as a possible mechanism to recover costs, such as the CEMA memorandum account in California. However, we can give no assurance that our regulators, or any other commission, would allow any such cost recovery mechanism in the future.</w:t>
      </w:r>
    </w:p>
    <w:p>
      <w:pPr>
        <w:spacing w:after="0" w:line="7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In light of the potential threats to the nation’s health and security due to terrorist attacks, we have taken steps to increase security measures at our facilities and heighten employee awareness of threats to our water supply. We have also tightened our security measures regarding the delivery and handling of certain chemicals used in our business. In addition, because our operation requires us to interact extensively with the general public, we may be subject to complaints, threats and potentially violent actions by our customers or the public, which may disrupt our business activities and damage our reputation.</w:t>
      </w:r>
    </w:p>
    <w:p>
      <w:pPr>
        <w:spacing w:after="0" w:line="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and will continue to bear increased costs for security precautions to protect our facilities, operations and supplies. These costs may be significant. While some of these costs are likely to be recovered in the form of higher rates, there can be no assurance that the Regulators will approve a rate increase to recover all or part of such costs and, as a result, our operating results and business may be adversely affected. Further, despite these tightened security measures, we may not be in a position to control the outcome of terrorist events should they occur.</w:t>
      </w:r>
    </w:p>
    <w:p>
      <w:pPr>
        <w:spacing w:after="0" w:line="1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Our operations, liquidity, and earnings may be adversely affected by wildfires and risk of fire hazards.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It is possible that wildfires and other fire hazards may occur more frequently, be of longer duration or impact larger areas as a result of drought-damaged plants and trees, lower humidity or higher winds that might be occurring as a result of changed weather patterns. The effects of these natural disasters in California’s drought-prone areas, such as the Santa Cruz Mountains, the watershed of which SJWC owns approximately 6,400 acres and where SJWC typically obtains approximately up to 10% of its water supply, may temporarily compromise its surface water supply resulting in disruption in our services and litigation which could adversely affect our business, operating results, and financial condition.</w:t>
      </w:r>
    </w:p>
    <w:p>
      <w:pPr>
        <w:spacing w:after="0" w:line="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our surface water supply is compromised, we may have to interrupt the use of that water supply until we are able to substitute the flow of water from an alternative water source.</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we may incur significant costs in order to treat the impacted source through expansion of our current treatment facilities, or development of new treatment methods. If we are unable to substitute water supply from an alternative water source, or to adequately treat the impacted water source in a cost-effective manner, there may be an adverse effect on our revenues, operating results, and financial condition. The costs we incur to secure an alternative water source or an increase in draws from our underground water system could be significant and may not be recoverable in rates.</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Wildfires may destroy or cause damage to properties, facilities, equipment and other assets owned and operated by SJWC or result in personal injuries to our employees and personnel, which may cause temporary or permanent disruption to our water services. In such a case, we may be required to incur significant expenses to repair, replace or upgrade our assets, or to defend against costly litigation or disputes with third parties, any of which may adversely affect our business operations or financial conditions.</w:t>
      </w:r>
    </w:p>
    <w:p>
      <w:pPr>
        <w:spacing w:after="0" w:line="7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While we maintain a business insurance policy, such policy includes limitation and retention that may reduce, or in some cases eliminate, our ability to recover all or a substantial portion of the losses and damages due to wildfire. Our inability to rely fully on insurance coverage may negatively impact our results of operations. Losses by insurance companies resulting from wildfires may also cause insurance coverage for wildfire risks to become more expensive or unavailable under reasonable terms, and our insurance may be inadequate to recover all our losses incurred in a wildfire. Furthermore, we might not be allowed to recover in our rates any increased costs of wildfire insurance or the costs of any uninsured wildfire losses.</w:t>
      </w:r>
    </w:p>
    <w:p>
      <w:pPr>
        <w:spacing w:after="0" w:line="1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The price of our common stock may be volatile and may be affected by market conditions beyond our control.</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trading price of our common stock may fluctuate in the future based on a variety of factors, many of which are beyond our control and unrelated to our financial results. Factors that could cause fluctuations in the trading price of our common stock include volatility of the general stock market or the utility index, regulatory developments, public announcement or market assumptions of material developments in strategic transactions, general economic conditions and trends, actual or anticipated changes or fluctuations in our results of operations, actual or anticipated changes in the expectations of investors or securities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analysts, actual or anticipated developments in our competitors’ businesses or the competitive landscape generally, litigation involving us or our industry, and major catastrophic event(s) or sales of large blocks of our stock. Furthermore, we believe that stockholders invest in public stocks in part because they seek reliable dividend payments. If there is an oversupply of stock of public utilities in the market relative to demand by such investors, the trading price of our common stock may decrease. Additionally, if interest rates rise above the dividend yield offered by our common stock, demand for our stock and its trading price may also decrease.</w:t>
      </w:r>
    </w:p>
    <w:p>
      <w:pPr>
        <w:spacing w:after="0" w:line="1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We must continue to attract and retain qualified technical and managerial personnel in order to succeed.</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future success depends substantially upon our ability to attract and retain highly skilled technical, operational and financial managers. There is significant competition for such personnel in our industry. Our ability to recruit and retain qualified personnel depends on many factors, including but are not limited to, our ability to provide competitive compensation and benefit packages, availability of talents in our industry, general workforce trends and macroeconomic conditions. The loss of the services of any member of our management team or the inability to hire and retain experienced management personnel could have an adverse effect on our business, as our management team has knowledge of our industry and customers and would be difficult to replace. We believe we offer competitive compensation and benefits as well as conduct succession planning and provide opportunities for continued development, and we continually strive to recruit and train qualified personnel and retain key employees. There can be no assurance, however, that we will continue to be successful in attracting and retaining the personnel we require to grow and operate profitably.</w:t>
      </w:r>
    </w:p>
    <w:p>
      <w:pPr>
        <w:spacing w:after="0" w:line="32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have taken critical steps to ensure the security and protection of our computer systems and networks. Our processes for assessment, identification and management of material risks from cybersecurity threats include routine monitoring of vulnerabilities, evaluations of new service providers, written policies for incident identification and management, and regular testing and assessment of our cybersecurity posture.</w:t>
      </w:r>
    </w:p>
    <w:p>
      <w:pPr>
        <w:spacing w:after="0" w:line="6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have integrated cybersecurity risk management as part of our company-wide culture. The measures undertaken include, but are not limited to, monthly cybersecurity training for all employees and frequent communication to all employees on the importance of cybersecurity measures.</w:t>
      </w:r>
    </w:p>
    <w:p>
      <w:pPr>
        <w:spacing w:after="0" w:line="5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We have engaged third-party experts to assist us in monitoring and managing our cybersecurity process. Furthermore, we monitor cybersecurity threats at certain of our third-party vendors on a regular basis. As of the date of this report, we are not aware of any material risks from cybersecurity threats that have materially affected or are reasonably likely to materially affect the company, including our business strategy, results of operations, or financial condition. We have discussed cybersecurity risks that may affect the company in </w:t>
      </w:r>
      <w:r>
        <w:rPr>
          <w:rFonts w:ascii="Times New Roman" w:cs="Times New Roman" w:eastAsia="Times New Roman" w:hAnsi="Times New Roman"/>
          <w:sz w:val="18"/>
          <w:szCs w:val="18"/>
          <w:u w:val="single" w:color="auto"/>
          <w:color w:val="0000FF"/>
        </w:rPr>
        <w:t>Item 1A</w:t>
      </w:r>
      <w:r>
        <w:rPr>
          <w:rFonts w:ascii="Times New Roman" w:cs="Times New Roman" w:eastAsia="Times New Roman" w:hAnsi="Times New Roman"/>
          <w:sz w:val="18"/>
          <w:szCs w:val="18"/>
          <w:color w:val="auto"/>
        </w:rPr>
        <w:t>, “Risk Factors,” under the headings, “The necessity for ongoing physical and technological security has resulted, and may continue to result, in increased operating costs,” “Water Utility Services rely on information technology and systems that are key to business operations. A system malfunction, security breach, cyber-attacks or other disruption that compromises our information and expose us to liability and adversely affect business operations. In addition, noncompliance could expose us to liability and adversely affect business operations,” and “We may not be able to maintain adequate insurance coverage at reasonable costs, or at all, to cover all losses incurred in our operations.”</w:t>
      </w:r>
    </w:p>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implemented an internal risk assessment process that focuses on the principal risks that have been identified for us, including risks associated with our regulatory environment, business operations and continuity, compliance requirements, information technology and data storage and retrieval facilities, cyber risk, insurance coverage. The Audit Committee, pursuant to its charter, meets at least quarterly with senior leadership and other employees to discuss identified risks and the measures taken to control, manage and mitigate those risks, which include cyber and information security risk. On the basis of these meetings and discussions regarding such risks, the Chairman of the Audit Committee reports periodically to the full Board. The Vice President, Information Security Officer provides cybersecurity updates to the Audit Committee and other members of our senior management as appropriate at least quarterly. Our Vice President, Information Security Officer, and his team is responsible for leading enterprise-wide cybersecurity strategy, policy, standards, architecture, and processes, with the support of third-party experts. The Vice President, Information Security Officer has over 30 years of experience in information technology of which over 20 years is in cybersecurity, with industry experience in utilities, banking and e-commerce.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properties of SJWC consist of a unified water production system located in the County of Santa Clara in the State of California. In general, the property is comprised of franchise rights, water rights, necessary rights-of-way, approximately 6,400 acres of land held in fee (which is primarily non-developable watershed), impounding reservoirs with a capacity of approximately 2.3 billion gallons, 2,487 miles of transmission and distribution mains, distribution storage of approximately 0.20 billion gallons, wells, boosting facilities, diversions, surface water treatment plants, equipment, office buildings and other property necessary to provide water service to its customers.</w:t>
      </w:r>
    </w:p>
    <w:p>
      <w:pPr>
        <w:spacing w:after="0" w:line="75"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7"/>
          <w:szCs w:val="17"/>
          <w:color w:val="auto"/>
        </w:rPr>
        <w:t>SJWC maintains all of its properties in good operating condition in accordance with customary practice for a water utility. SJWC’s groundwater pumping stations have a production capacity of approximately 0.26 billion gallons per day and the present capacity for taking purchased water is approximately 0.08 billion gallons per day. The surface water collection system has a physical delivery capacity of approximately 0.04 billion gallons per day. During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 maximum and average of 0.13 billion gallons and 0.09 billion gallons of water per day, respectively, were delivered to the system.</w:t>
      </w:r>
    </w:p>
    <w:p>
      <w:pPr>
        <w:spacing w:after="0" w:line="9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properties of CTWS consist of land, easements, rights (including water rights), buildings, reservoirs with a capacity of approximately 9.4 billion gallons, standpipes, dams, wells, supply lines, water treatment plants, pumping plants, 2,331 miles of transmission and distribution mains and other facilities and equipment used for the collection, purification, storage and distribution of water throughout Connecticut and Maine. In certain cases, CWC and MWC are or may be a party to limited contractual arrangements for the provision of water supply from neighboring utilities.</w:t>
      </w:r>
    </w:p>
    <w:p>
      <w:pPr>
        <w:spacing w:after="0" w:line="7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Sources of water supply owned, maintained and operated by CTWS include 25 surface water reservoirs and 108 well fields. In addition, CWC and MWC have agreements with various neighboring water utilities to provide water, at negotiated rates, to our water systems. Collectively, these sources have the capacity to deliver approximately 0.08 billion gallons of potable water daily to the 27 major operating systems. CTWS also owns, maintains and operates 50 small, non-interconnected satellite and consecutive water systems, that combined, have the ability to deliver about 3.5 million gallons of additional water per day to their respective systems. CTWS’s 30 water treatment plants have a combined treatment capacity of approximately 0.05 billion gallons per day. In addition, CTWS owns and operates one wastewater treatment plant with a capacity of 780,000 gallons per day.</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properties of TWC consist of land, easements, rights (including water rights), buildings, reservoirs, standpipes, wells, supply lines, water treatment plants, pumping plants, 826 miles of transmission and distribution mains and other facilities and equipment used for the collection, purification, storage and distribution of water throughout its service area. TWC maintains a service area that covers approximately 271 square miles located in the southern region of the Texas hill country in Bandera, Blanco, Comal, Hays, Kendall, Medina and Travis counties. The majority of the service area surrounds an 8,200-surface acre reservoir, Canyon Lake. TWC production wells have the ability to pump a combined 5.8 billion gallons annually. TWC has contracts for 2 billion gallons of untreated surface water and 0.48 billion gallons of treated surface water from the GBRA annually, and 0.11 billion gallons of treated surface water from LCRA. TWC owns and operates three surface water treatment plants with a combined production capacity of 9 million gallons per day. TWC maintains 89 storage tanks with a total storage capacity of 0.02 billion gallons. TWC owns and operates four wastewater treatment plants with a combined capacity of 337,000 gallons per day. In August 2023, TWR acquired eight wells and the water rights of KTR. During the third quarter of 2024, TWC purchased these assets from TWR for use in utility operations. These wells have been projected to yield an additional 6,000 acre-feet per year or more.</w:t>
      </w:r>
    </w:p>
    <w:p>
      <w:pPr>
        <w:spacing w:after="0" w:line="8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Water Utility Services hold all of its principal properties in fee simple, subject to current tax and assessment liens, rights-of-way, easements, and certain minor defects in title which do not materially affect their use. A substantial portion of treatment, storage and distribution properties owned by MWC are subject to indentures that secure bonds, notes and other evidence of long-term indebtedness.</w:t>
      </w:r>
    </w:p>
    <w:p>
      <w:pPr>
        <w:spacing w:after="0" w:line="6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December 31, 2024, SJW Land Company and Chester Realty, Inc. own approximately 101 acres of property in the State of California and 23 acres of property in State of Connecticut.</w:t>
      </w:r>
    </w:p>
    <w:p>
      <w:pPr>
        <w:spacing w:after="0" w:line="29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SJW Group and its subsidiaries are subject to ordinary routine litigation incidental to its business. In October 2023, CWC, a subsidiary of SJW Group, was named as a defendant in a putative class action lawsuit alleging that the water provided by CWC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contained contaminants. The case is currently pending in the State of Connecticut Superior Court. CWC is vigorously defending itself in this lawsuit.</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SJWC and CWC are plaintiffs in a lawsuit against manufacturers of certain PFAS compounds for damages, contribution and reimbursement of costs incurred and continuing to be incurred to address the presence of such PFAS compounds in public water supply systems owned and operated by these utility subsidiaries and throughout their respective service areas. The lawsuit is part of Multi-District Litigation (“MDL”), that commenced on December 7, 2018, in the United States District Court for the District of South Carolina. MWC has submitted timely claims as a settlement class member.</w:t>
      </w:r>
    </w:p>
    <w:p>
      <w:pPr>
        <w:spacing w:after="0" w:line="7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February 8, 2024, the MDL court approved settlements involving defendants The Chemours Company, Corteva, Inc., and DuPont de Nemours, Inc. to resolve claims brought in the MDL against them by public water systems, including SJWC and CWC. On March 29, 2024, the MDL court approved a similar settlement involving defendant 3M. On November 22, 2024, the MDL court approved settlements involving defendants Tyco Fire Products LP, Chemgaurd, Inc., and BASF Corporation. SJW Group is monitoring and evaluating the ongoing litigation and settlement activity with the PFAS manufacturers for potential impacts to the various claims that these utility subsidiaries have asserted.</w:t>
      </w:r>
    </w:p>
    <w:p>
      <w:pPr>
        <w:spacing w:after="0" w:line="20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left="580" w:right="1600" w:hanging="566"/>
        <w:spacing w:after="0" w:line="346" w:lineRule="auto"/>
        <w:tabs>
          <w:tab w:leader="none" w:pos="5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 xml:space="preserve">Market for Registrant’s Common Equity, Related Stockholder Matters and Issuer Purchases of Equity Securities </w:t>
      </w:r>
      <w:r>
        <w:rPr>
          <w:rFonts w:ascii="Times New Roman" w:cs="Times New Roman" w:eastAsia="Times New Roman" w:hAnsi="Times New Roman"/>
          <w:sz w:val="18"/>
          <w:szCs w:val="18"/>
          <w:b w:val="1"/>
          <w:bCs w:val="1"/>
          <w:color w:val="auto"/>
        </w:rPr>
        <w:t>Market Information</w:t>
      </w:r>
    </w:p>
    <w:p>
      <w:pPr>
        <w:spacing w:after="0" w:line="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Since November 8, 2024, SJW Group’s common stock has been trading on the Nasdaq Global Select Market under the symbol “SJW.” Prior to November 8, 2024, SJW Group’s common stock was traded on the New York Stock Exchange. As of February 20, 2025, there were 255 record holders of SJW Group’s common stock, excluding those shares held in street or nominee name.</w:t>
      </w:r>
    </w:p>
    <w:p>
      <w:pPr>
        <w:spacing w:after="0" w:line="1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Five-Year Performance Graph</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following performance graph compares the changes in the cumulative stockholder return on SJW Group’s common stock with the cumulative total return on a Water Utility Index and the Standard &amp; Poor’s 500 Index during the last five years ended December 31, 2024. The comparison assumes $100 was invested on December 31, 2019 in SJW Group’s common stock and in each of the foregoing indices and assumes reinvestment of dividends.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FIVE YEAR CUMULATIVE TOTAL RETURN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Among SJW Group, a Water Utility Index and the S&amp;P 500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53975</wp:posOffset>
            </wp:positionV>
            <wp:extent cx="5863590" cy="28543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63590"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descriptive data of the performance graph is supplied in accordance with Rule 304(d) of Regulation S-T (numbers represent U.S. dollars ($)):</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1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1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41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SJW Group</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Water Utility Index</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500 Index</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bl>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Water Utility Index is the eight water company Water Utility Index prepared by Wells Fargo Securities, LLC. The above performance graph and related information shall not be deemed “soliciting material” or to be “filed” with the SEC, nor shall such information be incorporated by reference into any future filing under the Securities Act of 1933 or Securities Exchange Act of 1934, each as amended, except to the extent that the company specifically incorporates it by reference into such filing.</w:t>
      </w:r>
    </w:p>
    <w:p>
      <w:pPr>
        <w:spacing w:after="0" w:line="3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ind w:right="3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(Dollar amounts in thousands, except where otherwise noted)</w:t>
      </w:r>
    </w:p>
    <w:p>
      <w:pPr>
        <w:spacing w:after="0" w:line="49"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“Forward-Looking Statements,” Part 1, Item 1 “Business,” Part I, Item 1A “Risk Factors,” and our consolidated financial statements and notes included under Item 8 of this Annual Report on Form 10-K. The following sections include a discussion of results for the year ended December 31, 2024 compared to the year ended December 31, 2023. Unless otherwise provided herein, the comparative results for the year ended December 31, 2023 with for the year ended December 31, 2022 may be found in “Part II - Item 7. Management’s Discussion and Analysis of Financial Condition and Results of Operations” of the company’s Annual Report on Form 10-K for the year ended December 31, 2023.</w:t>
      </w:r>
    </w:p>
    <w:p>
      <w:pPr>
        <w:spacing w:after="0" w:line="1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SJW Group focuses its business initiatives in three strategic areas:</w:t>
      </w:r>
    </w:p>
    <w:p>
      <w:pPr>
        <w:spacing w:after="0" w:line="117" w:lineRule="exact"/>
        <w:rPr>
          <w:sz w:val="20"/>
          <w:szCs w:val="20"/>
          <w:color w:val="auto"/>
        </w:rPr>
      </w:pPr>
    </w:p>
    <w:p>
      <w:pPr>
        <w:ind w:left="1220" w:hanging="645"/>
        <w:spacing w:after="0"/>
        <w:tabs>
          <w:tab w:leader="none" w:pos="1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regional regulated water utility operations to support the health, safety and quality of life of our customers;</w:t>
      </w:r>
    </w:p>
    <w:p>
      <w:pPr>
        <w:spacing w:after="0" w:line="117" w:lineRule="exact"/>
        <w:rPr>
          <w:rFonts w:ascii="Times New Roman" w:cs="Times New Roman" w:eastAsia="Times New Roman" w:hAnsi="Times New Roman"/>
          <w:sz w:val="18"/>
          <w:szCs w:val="18"/>
          <w:color w:val="auto"/>
        </w:rPr>
      </w:pPr>
    </w:p>
    <w:p>
      <w:pPr>
        <w:ind w:left="1220" w:right="260" w:hanging="645"/>
        <w:spacing w:after="0" w:line="282" w:lineRule="auto"/>
        <w:tabs>
          <w:tab w:leader="none" w:pos="121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non-tariffed water utility related services provided in accordance with the guidelines established by the applicable state public utility commissions; and</w:t>
      </w:r>
    </w:p>
    <w:p>
      <w:pPr>
        <w:spacing w:after="0" w:line="53" w:lineRule="exact"/>
        <w:rPr>
          <w:rFonts w:ascii="Times New Roman" w:cs="Times New Roman" w:eastAsia="Times New Roman" w:hAnsi="Times New Roman"/>
          <w:sz w:val="18"/>
          <w:szCs w:val="18"/>
          <w:color w:val="auto"/>
        </w:rPr>
      </w:pPr>
    </w:p>
    <w:p>
      <w:pPr>
        <w:ind w:left="1220" w:hanging="645"/>
        <w:spacing w:after="0"/>
        <w:tabs>
          <w:tab w:leader="none" w:pos="1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Out-of-region water and utility related services.</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Regional Regulated Activities</w:t>
      </w:r>
    </w:p>
    <w:p>
      <w:pPr>
        <w:spacing w:after="0" w:line="11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SJW Group’s regulated utility operation is conducted through SJWC, CWC, TWC and MWC. SJW Group plans and applies a diligent and disciplined approach to maintaining and improving its water system infrastructures and also seeks to acquire regulated water systems adjacent to or near its existing service territory. CWC and TWC also provide regulated wastewater services.</w:t>
      </w:r>
    </w:p>
    <w:p>
      <w:pPr>
        <w:spacing w:after="0" w:line="6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United States water utility industry is largely fragmented and is dominated by municipal-owned water systems. The water industry is regulated, and provides a life-sustaining product. This makes water utilities subject to lower business cycle risks than non-tariffed industries.</w:t>
      </w:r>
    </w:p>
    <w:p>
      <w:pPr>
        <w:spacing w:after="0" w:line="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Regional Non-tariffed Activities</w:t>
      </w:r>
    </w:p>
    <w:p>
      <w:pPr>
        <w:spacing w:after="0" w:line="119"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 xml:space="preserve">Non-tariffed services provided by SJW Group’s subsidiaries include water system operations, maintenance agreements, antenna site leases under agreements with municipalities and other utilities, wholesale water service to adjacent utilities, wastewater services, and </w:t>
      </w:r>
      <w:r>
        <w:rPr>
          <w:rFonts w:ascii="Times New Roman" w:cs="Times New Roman" w:eastAsia="Times New Roman" w:hAnsi="Times New Roman"/>
          <w:sz w:val="18"/>
          <w:szCs w:val="18"/>
          <w:i w:val="1"/>
          <w:iCs w:val="1"/>
          <w:color w:val="auto"/>
        </w:rPr>
        <w:t>Linebacker</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 optional service line protection program covering a limited amount of the cost of repairs for leaking or broken water and wastewater service lines and in-home plumbing to eligible residential customers in Connecticut and water service lines to eligible residential customers in Maine.</w:t>
      </w:r>
    </w:p>
    <w:p>
      <w:pPr>
        <w:spacing w:after="0" w:line="9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SJW Group also seeks appropriate non-tariffed business opportunities that complement its existing operations or that allow it to extend its core competencies beyond existing operations. SJW Group seeks opportunities to fully utilize its capabilities and existing capacity by providing services to other regional water systems, which also will benefit its existing regional customers.</w:t>
      </w:r>
    </w:p>
    <w:p>
      <w:pPr>
        <w:spacing w:after="0" w:line="1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Out-of-Region Opportunities</w:t>
      </w:r>
    </w:p>
    <w:p>
      <w:pPr>
        <w:spacing w:after="0" w:line="1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SJW Group also from time to time pursues opportunities to participate in out-of-region water and utility related services, particularly regulated water and wastewater businesses. SJW Group evaluates out-of-region and out-of-state opportunities that meet SJW Group’s risk and return profile.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factors SJW Group considers in evaluating such opportunities include:</w:t>
      </w:r>
    </w:p>
    <w:p>
      <w:pPr>
        <w:spacing w:after="0" w:line="117" w:lineRule="exact"/>
        <w:rPr>
          <w:sz w:val="20"/>
          <w:szCs w:val="20"/>
          <w:color w:val="auto"/>
        </w:rPr>
      </w:pPr>
    </w:p>
    <w:p>
      <w:pPr>
        <w:ind w:left="1620" w:hanging="802"/>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profitability;</w:t>
      </w:r>
    </w:p>
    <w:p>
      <w:pPr>
        <w:spacing w:after="0" w:line="117" w:lineRule="exact"/>
        <w:rPr>
          <w:rFonts w:ascii="Times New Roman" w:cs="Times New Roman" w:eastAsia="Times New Roman" w:hAnsi="Times New Roman"/>
          <w:sz w:val="18"/>
          <w:szCs w:val="18"/>
          <w:color w:val="auto"/>
        </w:rPr>
      </w:pPr>
    </w:p>
    <w:p>
      <w:pPr>
        <w:ind w:left="1620" w:hanging="802"/>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environment;</w:t>
      </w:r>
    </w:p>
    <w:p>
      <w:pPr>
        <w:spacing w:after="0" w:line="117" w:lineRule="exact"/>
        <w:rPr>
          <w:rFonts w:ascii="Times New Roman" w:cs="Times New Roman" w:eastAsia="Times New Roman" w:hAnsi="Times New Roman"/>
          <w:sz w:val="18"/>
          <w:szCs w:val="18"/>
          <w:color w:val="auto"/>
        </w:rPr>
      </w:pPr>
    </w:p>
    <w:p>
      <w:pPr>
        <w:ind w:left="1620" w:hanging="802"/>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growth opportunities within the region;</w:t>
      </w:r>
    </w:p>
    <w:p>
      <w:pPr>
        <w:spacing w:after="0" w:line="117" w:lineRule="exact"/>
        <w:rPr>
          <w:rFonts w:ascii="Times New Roman" w:cs="Times New Roman" w:eastAsia="Times New Roman" w:hAnsi="Times New Roman"/>
          <w:sz w:val="18"/>
          <w:szCs w:val="18"/>
          <w:color w:val="auto"/>
        </w:rPr>
      </w:pPr>
    </w:p>
    <w:p>
      <w:pPr>
        <w:ind w:left="1620" w:hanging="802"/>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 supply, water quality and environmental issues;</w:t>
      </w:r>
    </w:p>
    <w:p>
      <w:pPr>
        <w:spacing w:after="0" w:line="117" w:lineRule="exact"/>
        <w:rPr>
          <w:rFonts w:ascii="Times New Roman" w:cs="Times New Roman" w:eastAsia="Times New Roman" w:hAnsi="Times New Roman"/>
          <w:sz w:val="18"/>
          <w:szCs w:val="18"/>
          <w:color w:val="auto"/>
        </w:rPr>
      </w:pPr>
    </w:p>
    <w:p>
      <w:pPr>
        <w:ind w:left="1620" w:hanging="802"/>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requirements;</w:t>
      </w:r>
    </w:p>
    <w:p>
      <w:pPr>
        <w:spacing w:after="0" w:line="117" w:lineRule="exact"/>
        <w:rPr>
          <w:rFonts w:ascii="Times New Roman" w:cs="Times New Roman" w:eastAsia="Times New Roman" w:hAnsi="Times New Roman"/>
          <w:sz w:val="18"/>
          <w:szCs w:val="18"/>
          <w:color w:val="auto"/>
        </w:rPr>
      </w:pPr>
    </w:p>
    <w:p>
      <w:pPr>
        <w:ind w:left="1620" w:hanging="802"/>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w:t>
      </w:r>
    </w:p>
    <w:p>
      <w:pPr>
        <w:spacing w:after="0" w:line="117" w:lineRule="exact"/>
        <w:rPr>
          <w:rFonts w:ascii="Times New Roman" w:cs="Times New Roman" w:eastAsia="Times New Roman" w:hAnsi="Times New Roman"/>
          <w:sz w:val="18"/>
          <w:szCs w:val="18"/>
          <w:color w:val="auto"/>
        </w:rPr>
      </w:pPr>
    </w:p>
    <w:p>
      <w:pPr>
        <w:ind w:left="1620" w:hanging="802"/>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Synergy potential.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part of our pursuit of the above three strategic areas, we consider from time-to-time opportunities to acquire businesses and assets. However, we cannot be certain we will be successful in identifying and consummating any strategic business combination or acquisitions relating to such opportunities. In addition, the execution of our business strategy will expose us to different risks than those associated with the current utility operations. We expect to incur costs in connection with the execution of this strategy and any integration of an acquired business could involve significant costs, the assumption of certain known and unknown liabilities related to the acquired assets, the diversion of management’s time and resources, the potential for a negative impact on SJW Group’s financial position and operating results, entering markets in which SJW Group has no or limited direct prior experience and the potential loss of key employees of any acquired company. Any strategic combination or acquisition we decide to undertake may also impact our ability to finance our business, affect our compliance with regulatory requirements, and impose additional burdens on our operations. Any businesses we acquire may not achieve sales, customer growth and projected profitability that would justify the investment. Any difficulties we encounter in the integration process, including the integration of controls necessary for internal control and financial reporting, could interfere with our operations, reduce our operating margins and adversely affect our internal controls. SJW Group cannot be certain that any transaction will be successful or that it will not materially harm operating results or our financial condition.</w:t>
      </w:r>
    </w:p>
    <w:p>
      <w:pPr>
        <w:spacing w:after="0" w:line="1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Reportable Segment</w:t>
      </w:r>
    </w:p>
    <w:p>
      <w:pPr>
        <w:spacing w:after="0" w:line="121"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Together, SJWC, excluding the Cupertino service concession arrangement operations, CWC, MWC and TWC are referred to as “Water Utility Services,” which is our single reportable segment. Other business activities that are not separately reportable segments are SJWC’s Cupertino service concession arrangement operations, TWOS, TWR, NEWUS, SJW Land Company and Chester Realty, Inc. and are collectively referred to as “Other Services.”</w:t>
      </w:r>
    </w:p>
    <w:p>
      <w:pPr>
        <w:spacing w:after="0" w:line="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SJW Group has identified accounting estimates delineated below as estimates critical to its business operations and the understanding of the results of operations. The preparation of consolidated financial statements requires management to make estimates and assumptions that affect the reported amounts of assets and liabilities at the date of the consolidated financial statements and revenues and expenses during the reporting period. SJW Group bases its estimates on historical experience and other assumptions that are believed to be reasonable under the circumstances. For a detailed discussion on the application of these and other accounting policies, see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of “Notes to Consolidated Financial Statements.” SJW Group’s critical accounting estimates are as follows:</w:t>
      </w:r>
    </w:p>
    <w:p>
      <w:pPr>
        <w:spacing w:after="0" w:line="1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Recognition of Regulatory Assets and Liabilities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Generally accepted accounting principles for water utilities include the recognition of regulatory assets and liabilities as permitted by ASC Topic 980. In accordance with ASC Topic 980, Water Utility Services, to the extent applicable, records regulatory assets for incurred costs that are deemed probable of recovery from customers. Also, Water Utility Services recognizes regulatory liabilities for amounts expected to be refunded to customers in the rate-making process and for amounts collected in advance of the related expenditures. Regulatory assets or liabilities are also recognized for special revenue programs such as WCMA and WRA in accordance with guidance on alternative revenue programs under ASC Topic 980, including the requirement that such revenues will be collected within 24 months of the year-end in which the revenue is recorded. A reserve is recorded for amounts SJW Group estimates will not be collected within the 24-month period. This reserve is based on an estimate of actual usage over the recovery period. The WCMA allows SJWC to track revenue, net of related water costs, associated with reduced sales due to water conservation and associated calls for water use reduction. SJWC records the lost revenue captured in the WCMA balancing accounts, including amounts related to a 20-basis point reduction in the authorized return on equity per the terms of the WCMA. Applicable drought surcharges collected are used to offset the revenue losses tracked in the WCMA. WRA, a decoupling mechanism authorized by PURA for CWC, mitigates risks associated with changes in demand. The WRA is used to reconcile actual water demands with the demands projected in the most recent general rate case and allows the company to implement a surcharge or sur-credit as necessary to recover or refund the revenues approved in the general rate case. The WRA allows the company to defer, as a regulatory asset or liability, the amount by which actual revenues deviate from the revenues allowed in the most recent general rate proceedings. Application of ASC Topic 980, including determining whether recovery is probable, requires significant judgement by management and includes assessing evidence that may exist prior to regulatory authorization, including regulatory rules and decisions, historical ratemaking practices, and other facts and circumstances that would indicate the recovery or refund is probable. The regulatory assets and liabilities recorded by Water Utility Services primarily relate to asset removal costs, the recognition of deferred income taxes for ratemaking versus tax accounting purposes, balancing and memorandum accounts, pensions and other postretirement benefits, and employee benefit costs. The disallowance of any asset in future ratemaking, including regulatory assets, would require Water Utility Services to immediately recognize the impact of the costs for financial reporting purposes. There were no material disallowances recognized during the years ended December 31, 2024, 2023 and 2022.</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Recognition of Balancing and Memorandum Accounts</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Balancing and memorandum accounts are primarily utilized by our California operations. The purpose of a balancing account is to track the under-collection or over-collection associated with expense changes and the revenue authorized by the CPUC to offset those expense changes. Pursuant to Section 792.5 of the California Public Utilities Code, a balancing account must be maintained for expense items for which revenue offsets have been authorized. Balancing and memorandum accounts are recognized by SJWC when it is probable that future recovery of previously incurred costs or future refunds that are to be credited to customers will occur through the ratemaking process.</w:t>
      </w:r>
    </w:p>
    <w:p>
      <w:pPr>
        <w:spacing w:after="0" w:line="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Balancing accounts are currently being maintained for the following items in California: purchased water, purchased power, groundwater extraction charges, pensions, group health insurance, and general rate case and cost of capital true-ups. The amount in the water production balancing accounts varies with the seasonality of the water utility business such that, during the summer months when the demand for water is at its peak, the account tends to reflect an under-collection, while during the winter months when demand for water is relatively lower, the account tends to reflect an over-collection. The pension and group health insurance balancing accounts are intended to capture the difference between actual expense and the amount approved in rates by the CPUC. The general rate case true-up accounts are a result of revenue shortfalls authorized for collection or refund by the CPUC due to delayed rate case and cost of capital decisions. The MWRAM tracks the difference between the revenue received for actual metered sales through the tiered volumetric rate and the revenue that would have been received with the same actual metered sales if a uniform rate would have been in effect.</w:t>
      </w:r>
    </w:p>
    <w:p>
      <w:pPr>
        <w:spacing w:after="0" w:line="8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SJWC also maintains memorandum accounts to track impacts due to catastrophic events, certain unforeseen water quality expenses related to new federal and state water quality standards, energy efficiency, water conservation, water tariffs, and other approved activities or as directed by the CPUC.</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assessing the probability criteria for balancing and memorandum accounts between general rate cases, SJWC considers evidence that may exist prior to CPUC authorization that would satisfy ASC Topic 980 subtopic 340-25 recognition criteria. Such evidence may include regulatory rules and decisions, past practices, and other facts and circumstances that would indicate that recovery or refund is probable. When such evidence provides sufficient support, the balances are recorded in SJW Group’s financial statements.</w:t>
      </w:r>
    </w:p>
    <w:p>
      <w:pPr>
        <w:spacing w:after="0" w:line="72"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It is typical for the CPUC to incorporate any over-collected and/or under-collected balances in balancing or memorandum accounts into customer rates at the time rate decisions are made as part of SJWC’s general rate case proceedings by assessing temporary surcredits and/or surcharges. In the case where SJWC’s balancing or memorandum-type accounts that have been authorized by the CPUC reach certain thresholds or have termination dates, SJWC can request the CPUC to recognize the amounts in customer rates prior to the next regular general rate case proceeding by filing an advice letter.</w:t>
      </w:r>
    </w:p>
    <w:p>
      <w:pPr>
        <w:spacing w:after="0" w:line="9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Goodwill represents the excess of the purchase price paid over the estimated fair value of the assets acquired and liabilities assumed in the acquisition of a business. Goodwill is not amortized but is tested for impairment annually on October 1st or more frequently if an event occurs or circumstances change that would more likely than not reduce the fair value of a reporting unit below its carrying amount. SJW Group first performs a qualitative assessment to determine whether it is necessary to perform the quantitative impairment test. In assessing the qualitative factors, SJW Group considers the impact of these key factors: change in industry and competitive environment, financial performance, macroeconomic conditions, and other relevant Company-specific events. If SJW Group determines that as a result of the qualitative assessment it is more likely than not (&gt; 50% likelihood) that the fair value is less than carrying amount, then a quantitative test is performed. SJW Group performed an impairment analysis as of October 1, 2024. The qualitative assessment found no indicators of impairment and therefore SJW Group did not perform the quantitative impairment test. No impairments occurred during the years ended December 31, 2024, 2023 or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SJW Group’s financial condition and results of operations are influenced by a variety of factors including the following:</w:t>
      </w:r>
    </w:p>
    <w:p>
      <w:pPr>
        <w:spacing w:after="0" w:line="117" w:lineRule="exact"/>
        <w:rPr>
          <w:sz w:val="20"/>
          <w:szCs w:val="20"/>
          <w:color w:val="auto"/>
        </w:rPr>
      </w:pPr>
    </w:p>
    <w:p>
      <w:pPr>
        <w:ind w:left="1300" w:hanging="482"/>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utility regulation;</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investment;</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environmental, health and safety standards;</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expenses;</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growth;</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 usage per customer;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300" w:hanging="482"/>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seasonality and sources of water supply; and</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and acquisition activities, if any.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Economic Utility Regulation</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Water Utility Services is generally subject to economic regulation by the Regulators overseeing public utilities. Regulatory policies vary from state to state and may change over time. In addition, there may be regulatory lag between the time a capital investment is made, a consumption decrease occurs, or an operating expense increases and when those items are adjusted in utility rates.</w:t>
      </w:r>
    </w:p>
    <w:p>
      <w:pPr>
        <w:spacing w:after="0" w:line="6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SJWC employs a forward-looking test year and has been authorized to use several mechanisms to mitigate risks faced due to regulatory lag and new and changing legislation, policies and regulation. These include memorandum accounts to track revenue impacts due to catastrophic events, certain unforeseen water quality expenses related to new federal and state water quality standards, energy efficiency, water conservation, water tariffs, and other approved activities or as directed by the CPUC. Rate recovery for the balances in these memorandum accounts is generally allowed in a subsequent general rate case. SJWC also maintains balancing accounts to track changes in purchased water, purchased power, groundwater extraction charges, pension costs, and group health insurance expenses for later rate recovery. Regulatory risk in California is mitigated by use of a forward-looking test year which allows the return on and return of utility plant on a forecasted basis as it is placed in service, and in some cases interim rate relief is allowed in the event of regulatory lag. The CPUC permits its regulated utilities to acquire other utilities if the proposed sale and asset purchase transaction is determined to be in the public interest. Under Public Utilities Code § 2720, the purchase price, subject to a reasonable test involving appraisals from the acquirer as well as the Public Advocates Office, represents the Fair Market Value. Upon CPUC approval, acquiring utilities can include the Fair Market Value in rate base.</w:t>
      </w:r>
    </w:p>
    <w:p>
      <w:pPr>
        <w:spacing w:after="0" w:line="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Connecticut regulations, CWC employs a historical test year. To address regulatory risk due to regulatory lag and changing legislation policies and regulations, rate cases may be filed as necessary in Connecticut. Additionally, to mitigate regulatory lag for pipeline replacement and conservation related projects, the Connecticut State Legislature has approved WICA that allows for a surcharge to be added to customer bills semi-annually for certain eligible pre-approved projects. The intended purpose of WICA is to enable the acceleration of the rate of replacement and/or rehabilitation of existing water system infrastructure to mitigate the effect of decay of aging water systems and promote conservation measures. In order to incentivize water utilities to conserve water, the Connecticut State Legislature created WRA in Connecticut in 2013. With the passage, CWC is no longer incentivized to sell more water and can encourage conservation of precious resources, removing financial disincentives to pursue water conservation.</w:t>
      </w:r>
    </w:p>
    <w:p>
      <w:pPr>
        <w:spacing w:after="0" w:line="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Pursuant to Texas regulation, TWC employs a historical test year. To address regulatory risk due to regulatory lag and changing legislation policies and regulations, rate cases may be filed as necessary in Texas, provided there is no current rate case outstanding. Further, rate cases may not be filed more frequently than once every 12 months. Additionally, to mitigate regulatory lag for capital improvements, Texas has implemented its first SIC. The SIC allows TWC to earn a return on some of its capital improvements made after 2020 through a surcharge to its customers. The SIC is a cost recovery mechanism that was adopted by the PUCT in 2021 and avoids the immediate need for a general rate case. The PUCT permits the acquisition of utilities using a process termed the Fair Market Value. This process brings in three appraisers to determine the market value of a system which the acquiring utility can apply as the value of utility plant included in rate base. In addition, after recent legislation the PUCT adopted rules allowing the application of the Filed Rate Doctrine. This allows water utilities the option of applying their previously approved rates to the customers of newly acquired systems, which encourages consolidation by minimizing rate case expenses.</w:t>
      </w:r>
    </w:p>
    <w:p>
      <w:pPr>
        <w:spacing w:after="0" w:line="80" w:lineRule="exact"/>
        <w:rPr>
          <w:sz w:val="20"/>
          <w:szCs w:val="20"/>
          <w:color w:val="auto"/>
        </w:rPr>
      </w:pPr>
    </w:p>
    <w:p>
      <w:pPr>
        <w:jc w:val="both"/>
        <w:ind w:right="180"/>
        <w:spacing w:after="0" w:line="289" w:lineRule="auto"/>
        <w:rPr>
          <w:sz w:val="20"/>
          <w:szCs w:val="20"/>
          <w:color w:val="auto"/>
        </w:rPr>
      </w:pPr>
      <w:r>
        <w:rPr>
          <w:rFonts w:ascii="Times New Roman" w:cs="Times New Roman" w:eastAsia="Times New Roman" w:hAnsi="Times New Roman"/>
          <w:sz w:val="17"/>
          <w:szCs w:val="17"/>
          <w:color w:val="auto"/>
        </w:rPr>
        <w:t>Pursuant to Maine regulations, MWC employs a historical test year. To address regulatory risk due to regulatory lag and changing legislation policies and regulations, rate cases may be filed as necessary in Maine. Additionally, to mitigate regulatory lag for all infrastructure replacements (except meters), the Maine State Legislature has approved of WISC that allows for a surcharge to be added to customer bills semi-annually for certain pre-approved projects.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Infrastructure Investment</w:t>
      </w:r>
    </w:p>
    <w:p>
      <w:pPr>
        <w:spacing w:after="0" w:line="11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water utility business is capital-intensive. In 2024 and 2023, company-funded capital improvements were $353,029 and $271,772, respectively, for additions to, or replacements of, property, plant and equipment for our Water Utility Services. We plan to spend approximately $451,000 in 2025 and $1,900,000 over the next five years for capital improvements. SJW Group funds these expenditures through a variety of sources, including earnings received from operations, debt and equity financing, and other borrowings. SJW Group relies upon lines of credit to fund capital expenditures in the short term and has historically issued long-term debt to refinance our short-term debt. While our ability to obtain financing will continue to be a key risk, we believe that based on our successful 2024 activities, we will have access to the external funding sources necessary to implement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ongoing capital investment programs in the future. See discussion below under “Liquidity and Capital Resources” for additional information on capital expenditures.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Compliance with Environmental, Health and Safety Standards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Water Utility Services’ operations are subject to water quality and pollution control regulations issued by the EPA and environmental laws and regulations administered by the respective states and local regulatory agencies. Under the federal Safe Drinking Water Act, Water Utility Services is subject to regulation by the EPA of the quality of water it sells and treatment techniques it uses to make the water potable. The EPA promulgates nationally applicable standards, including maximum contaminant levels for drinking water. Water Utility Services has implemented monitoring activities and installed specific water treatment improvements enabling it to comply with existing maximum contaminant levels and plan for compliance with future drinking water regulations. However, the EPA and the respective state agencies have continuing authority to issue additional regulations under the Safe Drinking Water Act. Water Utility Services incur substantial costs associated with compliance with environmental, health and safety and water quality regulation to which our water services are subject.</w:t>
      </w:r>
    </w:p>
    <w:p>
      <w:pPr>
        <w:spacing w:after="0" w:line="8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April 2024, the EPA issued new national primary drinking water regulations for six PFAS substances. The regulations impose maximum contaminant levels and monitoring requirements for the nation’s water system for six PFAS chemicals under the Safe Drinking Water Act. The final regulation requires water systems to comply with PFAS monitoring and reporting requirements by 2027, and to comply with the maximum contaminant levels by 2029. SJW Group estimates capital expenditures of approximately $300,000 for PFAS treatment based on finalized maximum contaminant levels. See discussion below under “Liquidity and Capital Resources” for additional information on capital expenditures.</w:t>
      </w:r>
    </w:p>
    <w:p>
      <w:pPr>
        <w:spacing w:after="0" w:line="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Environmental, health and safety, and water quality regulations are complex and change frequently, and the overall trend has been that they have become more stringent over time. It is possible that new or more stringent environmental standards and water quality regulations could be imposed that will increase Water Utility Services’ water quality compliance costs, hamper Water Utility Services’ available water supplies, and increase future capital expenditures. Future drinking water regulations may require increased monitoring, additional treatment of underground water supplies, fluoridation of all supplies, more stringent performance standards for treatment plants and procedures to further reduce levels of disinfection by-products. In the past, Water Utility Services have generally been able to recover expenses associated with compliance related to environmental, health and safety standards, but future recoveries could be affected by regulatory lag and the corresponding uncertainties surrounding rate recovery.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Production Expenses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Water Utility Services’ operations require significant production inputs which result in substantial production expenses. These expenses include power, which is used to operate pumps and other equipment, purchased water and groundwater extraction charges. For 2024, production expenses accounted for 51% of our total operating expenses. Price increases associated with these production inputs would adversely impact our results of operations until rate relief is granted. However, for SJWC, the FCBA mitigates the cost of the water supply from changes and variations in quantities from each of these sources which affect the overall mix of the water supply.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Growth</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Customer growth in Water Utility Services is driven by: (i) organic population growth within our authorized service areas and (ii) the addition of new customers to our regulated customer base by acquiring regulated water systems adjacent to or near our existing service territories. We did not have any cash outflows for business acquisitions in 2024. During 2023 and 2022, we had cash outflows of 7,537 and $433, respectively, for business acquisitions which we believe will allow SJW Group to expand our regulated customer base. Before entering new regulated markets, we evaluate the regulatory environment to ensure that we will have the opportunity to achieve an appropriate rate of return on our investment while maintaining our high standards for quality, reliability and compliance with environmental, health and safety, and water quality standards.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Water Usage Per Customer</w:t>
      </w:r>
    </w:p>
    <w:p>
      <w:pPr>
        <w:spacing w:after="0" w:line="1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Fluctuations in customer demand for water could be due to seasonality, restrictions of use, weather or lifestyle choices, all of which could affect our results of operations.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the change in customer usage in 2024 compared to 2023:</w:t>
      </w:r>
    </w:p>
    <w:p>
      <w:pPr>
        <w:spacing w:after="0" w:line="117" w:lineRule="exact"/>
        <w:rPr>
          <w:sz w:val="20"/>
          <w:szCs w:val="20"/>
          <w:color w:val="auto"/>
        </w:rPr>
      </w:pPr>
    </w:p>
    <w:p>
      <w:pPr>
        <w:ind w:left="1300" w:hanging="482"/>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SJWC residential usage increased 6.7% and business usage increased 5.8%.</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TWC residential and business usage decreased 13.0%.</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CWC residential usage increased 1.1% and business usage increased 2.9%.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300" w:hanging="482"/>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MWC residential usage increased 3.4% and business usage increased 14.6%.</w:t>
      </w:r>
    </w:p>
    <w:p>
      <w:pPr>
        <w:spacing w:after="0" w:line="3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SJWC’s residential usage was lower by 9.3% and business usage was higher by 2.6%, respectively, than the amount authorized in our 2022-2024 general rate case. SJWC’s service area is currently under a voluntary 15% reduction of water consumption from its water wholesaler. To address the difference between conservation usage and authorized usage in the rate case, the CPUC has approved the activation of the WCMA. The WCMA is a temporary revenue protection mechanism, due to the voluntary 15% water reduction request, which tracks the divergence between authorized versus actual consumption in a balancing account for future recovery.</w:t>
      </w:r>
    </w:p>
    <w:p>
      <w:pPr>
        <w:spacing w:after="0" w:line="4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With the availability of the WRA in Connecticut, which allows for recovery of authorized revenues, decreases in consumption year to year do not present the same financial risk as in our other water utility services utilities.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Weather Conditions, Seasonality and Sources of Water Supply</w:t>
      </w:r>
    </w:p>
    <w:p>
      <w:pPr>
        <w:spacing w:after="0" w:line="9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Our ability to meet the existing and future water demands of our customers depends on an adequate supply of water. Drought, governmental restrictions, overuse of sources of water, the protection of threatened species or habitats or other factors may limit the availability of ground and surface water. Also, customer usage of water is affected by weather conditions, in particular during the warmer months. Our water systems experience higher demand in the summer due to the warmer temperatures and increased usage by customers for outside irrigation of lawns and landscaping. In periods of drought, if customers are encouraged or required to conserve water due to a shortage of supply or restriction of use, revenue tends to be lower. Water use restrictions may be imposed at a regional or state level and may affect our service areas regardless of our readiness to meet unrestricted customer demands. Similarly, in unusually wet periods, water supply tends to be higher and customer demand tends to be lower, again resulting in lower revenues.</w:t>
      </w:r>
    </w:p>
    <w:p>
      <w:pPr>
        <w:spacing w:after="0" w:line="4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SJWC believes that its various sources of water supply, which consists of groundwater from wells, surface water from watershed run-off and diversion, reclaimed water, and purchased imported water, will be sufficient to meet customer demand for 2025. In addition, SJWC actively works with Valley Water to address California’s long-term water supply challenges by continuing to educate customers on responsible water use practices and to conduct long-range water supply planning. CWC and MWC believe that they will be able to meet customer demand for 2025 with their existing water supply which consists of groundwater from wells, surface water in reservoirs and purchased water treated by neighboring water utilities. TWC expects to meet customer demand for 2025 with TWC’s water supply which consists of groundwater from wells, surface water and purchased treated and raw water from the GBRA.</w:t>
      </w:r>
    </w:p>
    <w:p>
      <w:pPr>
        <w:spacing w:after="0" w:line="2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Water sales are seasonal in nature and influenced by weather conditions. The timing of precipitation and climatic conditions can cause seasonal water consumption by customers to vary significantly. Revenue is generally higher in the warm, dry summer months when water usage and sales are greater and lower in the winter months when cooler temperatures and increased rainfall curtail water usage and sales.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Item 1</w:t>
      </w:r>
      <w:r>
        <w:rPr>
          <w:rFonts w:ascii="Times New Roman" w:cs="Times New Roman" w:eastAsia="Times New Roman" w:hAnsi="Times New Roman"/>
          <w:sz w:val="18"/>
          <w:szCs w:val="18"/>
          <w:color w:val="auto"/>
        </w:rPr>
        <w:t xml:space="preserve">, “Business” and </w:t>
      </w:r>
      <w:r>
        <w:rPr>
          <w:rFonts w:ascii="Times New Roman" w:cs="Times New Roman" w:eastAsia="Times New Roman" w:hAnsi="Times New Roman"/>
          <w:sz w:val="18"/>
          <w:szCs w:val="18"/>
          <w:u w:val="single" w:color="auto"/>
          <w:color w:val="0000FF"/>
        </w:rPr>
        <w:t>Item 1A</w:t>
      </w:r>
      <w:r>
        <w:rPr>
          <w:rFonts w:ascii="Times New Roman" w:cs="Times New Roman" w:eastAsia="Times New Roman" w:hAnsi="Times New Roman"/>
          <w:sz w:val="18"/>
          <w:szCs w:val="18"/>
          <w:color w:val="auto"/>
        </w:rPr>
        <w:t>, “Risk Factors” for a discussion of SJW Group’s general business and regulatory activities.</w:t>
      </w:r>
    </w:p>
    <w:p>
      <w:pPr>
        <w:spacing w:after="0" w:line="1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SJW Group’s consolidated net income for the year ended December 31, 2024 was $93,967, compared to $84,987 for the same period in 2023. This represents an increase of $8,980 or 11%, from 2023. The increase in net income was primarily driven by rate increases in California and Connecticut, higher customer usage, decreases in the allowance for credit losses, lower income tax expense attributable to a tax accounting method change, partially offset by higher water production expenses, higher administrative and general expenses, and higher depreciation and amortization expense primarily related to new utility plant additions.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Operating Revenue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SJW Group has a single reportable segment, Water Utility Services. All other business activities not separately reportable are included in “Other Services.” Effective in the fourth quarter of 2024, management updated its segment presentation and no longer presents a separate reportable segment for Real Estate Services. Prior period information has been recast to conform to the current period presentation. Operating revenue for the Water Utility Services reportable segment and Other Services was as follows: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Operating Revenue</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40" w:type="dxa"/>
            <w:vAlign w:val="bottom"/>
          </w:tcPr>
          <w:p>
            <w:pPr>
              <w:spacing w:after="0"/>
              <w:rPr>
                <w:sz w:val="16"/>
                <w:szCs w:val="16"/>
                <w:color w:val="auto"/>
              </w:rPr>
            </w:pPr>
          </w:p>
        </w:tc>
      </w:tr>
      <w:tr>
        <w:trPr>
          <w:trHeight w:val="23"/>
        </w:trPr>
        <w:tc>
          <w:tcPr>
            <w:tcW w:w="40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Utility Services</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732,580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652,045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603,000</w:t>
            </w:r>
          </w:p>
        </w:tc>
      </w:tr>
      <w:tr>
        <w:trPr>
          <w:trHeight w:val="23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Services</w:t>
            </w:r>
          </w:p>
        </w:tc>
        <w:tc>
          <w:tcPr>
            <w:tcW w:w="6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15,859</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17,698</w:t>
            </w:r>
          </w:p>
        </w:tc>
      </w:tr>
      <w:tr>
        <w:trPr>
          <w:trHeight w:val="248"/>
        </w:trPr>
        <w:tc>
          <w:tcPr>
            <w:tcW w:w="4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revenue</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748,439</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670,363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620,698</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71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change in consolidated operating revenue was due to the following factors: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45"/>
        </w:trPr>
        <w:tc>
          <w:tcPr>
            <w:tcW w:w="40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60" w:type="dxa"/>
            <w:vAlign w:val="bottom"/>
            <w:gridSpan w:val="5"/>
          </w:tcPr>
          <w:p>
            <w:pPr>
              <w:jc w:val="center"/>
              <w:ind w:left="374"/>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840" w:type="dxa"/>
            <w:vAlign w:val="bottom"/>
          </w:tcPr>
          <w:p>
            <w:pPr>
              <w:spacing w:after="0"/>
              <w:rPr>
                <w:sz w:val="21"/>
                <w:szCs w:val="21"/>
                <w:color w:val="auto"/>
              </w:rPr>
            </w:pPr>
          </w:p>
        </w:tc>
      </w:tr>
      <w:tr>
        <w:trPr>
          <w:trHeight w:val="195"/>
        </w:trPr>
        <w:tc>
          <w:tcPr>
            <w:tcW w:w="404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jc w:val="center"/>
              <w:ind w:left="374"/>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840" w:type="dxa"/>
            <w:vAlign w:val="bottom"/>
            <w:tcBorders>
              <w:bottom w:val="single" w:sz="8" w:color="auto"/>
            </w:tcBorders>
          </w:tcPr>
          <w:p>
            <w:pPr>
              <w:spacing w:after="0"/>
              <w:rPr>
                <w:sz w:val="16"/>
                <w:szCs w:val="16"/>
                <w:color w:val="auto"/>
              </w:rPr>
            </w:pPr>
          </w:p>
        </w:tc>
      </w:tr>
      <w:tr>
        <w:trPr>
          <w:trHeight w:val="214"/>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Utility Services: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9"/>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Consumption changes</w:t>
            </w:r>
          </w:p>
        </w:tc>
        <w:tc>
          <w:tcPr>
            <w:tcW w:w="8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9"/>
                <w:szCs w:val="19"/>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customers</w:t>
            </w: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Rate increases for:</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040" w:type="dxa"/>
            <w:vAlign w:val="bottom"/>
            <w:shd w:val="clear" w:color="auto" w:fill="CCEEFF"/>
          </w:tcPr>
          <w:p>
            <w:pPr>
              <w:ind w:left="560"/>
              <w:spacing w:after="0" w:line="230" w:lineRule="exact"/>
              <w:rPr>
                <w:sz w:val="20"/>
                <w:szCs w:val="20"/>
                <w:color w:val="auto"/>
              </w:rPr>
            </w:pPr>
            <w:r>
              <w:rPr>
                <w:rFonts w:ascii="Times New Roman" w:cs="Times New Roman" w:eastAsia="Times New Roman" w:hAnsi="Times New Roman"/>
                <w:sz w:val="18"/>
                <w:szCs w:val="18"/>
                <w:color w:val="auto"/>
              </w:rPr>
              <w:t>Pass-through water costs</w:t>
            </w:r>
            <w:r>
              <w:rPr>
                <w:rFonts w:ascii="Times New Roman" w:cs="Times New Roman" w:eastAsia="Times New Roman" w:hAnsi="Times New Roman"/>
                <w:sz w:val="23"/>
                <w:szCs w:val="23"/>
                <w:color w:val="auto"/>
                <w:vertAlign w:val="superscript"/>
              </w:rPr>
              <w:t>1</w:t>
            </w: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4040" w:type="dxa"/>
            <w:vAlign w:val="bottom"/>
          </w:tcPr>
          <w:p>
            <w:pPr>
              <w:ind w:left="560"/>
              <w:spacing w:after="0" w:line="230" w:lineRule="exact"/>
              <w:rPr>
                <w:sz w:val="20"/>
                <w:szCs w:val="20"/>
                <w:color w:val="auto"/>
              </w:rPr>
            </w:pPr>
            <w:r>
              <w:rPr>
                <w:rFonts w:ascii="Times New Roman" w:cs="Times New Roman" w:eastAsia="Times New Roman" w:hAnsi="Times New Roman"/>
                <w:sz w:val="18"/>
                <w:szCs w:val="18"/>
                <w:color w:val="auto"/>
              </w:rPr>
              <w:t>All other increases</w:t>
            </w:r>
            <w:r>
              <w:rPr>
                <w:rFonts w:ascii="Times New Roman" w:cs="Times New Roman" w:eastAsia="Times New Roman" w:hAnsi="Times New Roman"/>
                <w:sz w:val="23"/>
                <w:szCs w:val="23"/>
                <w:color w:val="auto"/>
                <w:vertAlign w:val="superscript"/>
              </w:rPr>
              <w:t>2</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23,045</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40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Regulatory mechanisms</w:t>
            </w:r>
            <w:r>
              <w:rPr>
                <w:rFonts w:ascii="Times New Roman" w:cs="Times New Roman" w:eastAsia="Times New Roman" w:hAnsi="Times New Roman"/>
                <w:sz w:val="23"/>
                <w:szCs w:val="23"/>
                <w:color w:val="auto"/>
                <w:vertAlign w:val="superscript"/>
              </w:rPr>
              <w:t>3</w:t>
            </w: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Services</w:t>
            </w: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change in operating revenue</w:t>
            </w:r>
          </w:p>
        </w:tc>
        <w:tc>
          <w:tcPr>
            <w:tcW w:w="6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78,076</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49,665</w:t>
            </w:r>
          </w:p>
        </w:tc>
        <w:tc>
          <w:tcPr>
            <w:tcW w:w="120" w:type="dxa"/>
            <w:vAlign w:val="bottom"/>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0"/>
        </w:trPr>
        <w:tc>
          <w:tcPr>
            <w:tcW w:w="4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27"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rate increases specifically associated with changes in the water supply costs that are passed through to customers.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associated with general rate cases and related annual escalation adjustments, infrastructure surcharges, and cost of capital adjustments.</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portion attributable to rate increases, which are shown in the rate increase lines above.</w:t>
      </w:r>
    </w:p>
    <w:p>
      <w:pPr>
        <w:spacing w:after="0" w:line="1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2024 vs.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revenue increase consists of $80,535 from Water Utility Services offset by a decrease of $2,459 from Other Services.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revenue increase for Water Utility Services is primarily due to an increase in authorized rates in California and Connecticut, which resulted in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$36,076 in revenue, an increase in rates of $26,057 attributable to water supply costs that are passed through to customers, an increase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$14,861 due to higher usage, an increase of $2,532 from new customers, and increases in services and other revenue of $7,642, partially offset by decreases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$6,633 in other regulatory mechanisms and a decrease of $2,459 in Other Services. The decrease in Other Services is primarily attributable to lower real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estate activity.</w:t>
      </w:r>
    </w:p>
    <w:p>
      <w:pPr>
        <w:spacing w:after="0" w:line="1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2023 vs.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revenue increase consists of $49,045 from Water Utility Services and $620 from Other Services.</w:t>
      </w:r>
    </w:p>
    <w:p>
      <w:pPr>
        <w:spacing w:after="0" w:line="15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revenue increase for Water Utility Services is primarily due to an increase in authorized rates in California and Maine which resulted in $23,045 of additional revenue, an increase in rates of $22,320 attributable to water supply costs that are passed through to customers, an increase of $3,929 from new customers, and regulatory mechanisms of $5,684, partially offset by decreases of $5,933 due to lower usage.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Water Utility Services’ Operating Revenue and Customer Counts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operating revenues and the number of customers by customer group of Water Utility Services: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Operating Revenue by Customer Group</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60" w:type="dxa"/>
            <w:vAlign w:val="bottom"/>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0" w:type="dxa"/>
            <w:vAlign w:val="bottom"/>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40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and business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625,080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557,659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501,111</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authorities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22,027</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47,896</w:t>
            </w: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Balancing and memorandum accounts and other</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mechanisms</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11,819</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26,736</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0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732,580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652,045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602,999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2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 Customers</w:t>
            </w: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4"/>
        </w:trPr>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0" w:type="dxa"/>
            <w:vAlign w:val="bottom"/>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40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and business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384,619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379,781</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authorities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11,060</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10,910</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398,641</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397,087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393,628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Operating Expense</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0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 is summarized below:</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2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Operating Expense</w:t>
            </w: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0" w:type="dxa"/>
            <w:vAlign w:val="bottom"/>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40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Utility Services</w:t>
            </w:r>
          </w:p>
        </w:tc>
        <w:tc>
          <w:tcPr>
            <w:tcW w:w="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560,364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506,923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473,142</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Services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13,255</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w:t>
            </w: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577,936</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520,928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489,720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consolidated operating expenses was due to the following factors: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20" w:type="dxa"/>
            <w:vAlign w:val="bottom"/>
            <w:gridSpan w:val="3"/>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1140" w:type="dxa"/>
            <w:vAlign w:val="bottom"/>
          </w:tcPr>
          <w:p>
            <w:pPr>
              <w:spacing w:after="0"/>
              <w:rPr>
                <w:sz w:val="13"/>
                <w:szCs w:val="13"/>
                <w:color w:val="auto"/>
              </w:rPr>
            </w:pPr>
          </w:p>
        </w:tc>
      </w:tr>
      <w:tr>
        <w:trPr>
          <w:trHeight w:val="195"/>
        </w:trPr>
        <w:tc>
          <w:tcPr>
            <w:tcW w:w="6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1140" w:type="dxa"/>
            <w:vAlign w:val="bottom"/>
            <w:tcBorders>
              <w:bottom w:val="single" w:sz="8" w:color="auto"/>
            </w:tcBorders>
          </w:tcPr>
          <w:p>
            <w:pPr>
              <w:spacing w:after="0"/>
              <w:rPr>
                <w:sz w:val="16"/>
                <w:szCs w:val="16"/>
                <w:color w:val="auto"/>
              </w:rPr>
            </w:pPr>
          </w:p>
        </w:tc>
      </w:tr>
      <w:tr>
        <w:trPr>
          <w:trHeight w:val="215"/>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production expenses:</w:t>
            </w:r>
          </w:p>
        </w:tc>
        <w:tc>
          <w:tcPr>
            <w:tcW w:w="9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surface water use</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usage</w:t>
            </w:r>
          </w:p>
        </w:tc>
        <w:tc>
          <w:tcPr>
            <w:tcW w:w="9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new customers</w:t>
            </w:r>
          </w:p>
        </w:tc>
        <w:tc>
          <w:tcPr>
            <w:tcW w:w="9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184"/>
        </w:trPr>
        <w:tc>
          <w:tcPr>
            <w:tcW w:w="634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Purchased water and groundwater extraction charge, energy price change and other</w:t>
            </w:r>
          </w:p>
        </w:tc>
        <w:tc>
          <w:tcPr>
            <w:tcW w:w="9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34"/>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production expenses, net</w:t>
            </w:r>
          </w:p>
        </w:tc>
        <w:tc>
          <w:tcPr>
            <w:tcW w:w="9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25,035</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6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Balancing and memorandum account cost recovery</w:t>
            </w:r>
          </w:p>
        </w:tc>
        <w:tc>
          <w:tcPr>
            <w:tcW w:w="9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water production expenses</w:t>
            </w:r>
          </w:p>
        </w:tc>
        <w:tc>
          <w:tcPr>
            <w:tcW w:w="9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9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w:t>
            </w:r>
          </w:p>
        </w:tc>
        <w:tc>
          <w:tcPr>
            <w:tcW w:w="9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taxes and other non-income taxes</w:t>
            </w:r>
          </w:p>
        </w:tc>
        <w:tc>
          <w:tcPr>
            <w:tcW w:w="9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3"/>
        </w:trPr>
        <w:tc>
          <w:tcPr>
            <w:tcW w:w="6340" w:type="dxa"/>
            <w:vAlign w:val="bottom"/>
          </w:tcPr>
          <w:p>
            <w:pPr>
              <w:spacing w:after="0"/>
              <w:rPr>
                <w:sz w:val="19"/>
                <w:szCs w:val="19"/>
                <w:color w:val="auto"/>
              </w:rPr>
            </w:pP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57,008</w:t>
            </w:r>
          </w:p>
        </w:tc>
        <w:tc>
          <w:tcPr>
            <w:tcW w:w="10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1"/>
        </w:trPr>
        <w:tc>
          <w:tcPr>
            <w:tcW w:w="6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Sources of Water Supply</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SJWC’s water supply consists of groundwater from wells, surface water from watershed run-off and diversion, reclaimed water, and imported water purchased from Valley Water under the terms of a master contract with Valley Water expiring in 2051. Surface water is sourced from SJWC’s 6,400 acres of watershed in the Santa Cruz mountains. SJWC’s FCBA mitigates the cost of the water supply from changes and variations in quantities from each of these sources which affect the overall mix of the water supply. The water rates for purchased water and the groundwater extraction charge may be increased by Valley Water at any time. If an increase occurs, then SJWC would file an advice letter with the CPUC seeking authorization to increase revenues to offset the rate increase.</w:t>
      </w:r>
    </w:p>
    <w:p>
      <w:pPr>
        <w:spacing w:after="0" w:line="7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CWC’s water sources vary among the individual systems, but overall, approximately 60% of the total dependable yield comes from surface water supplies and 40% from wells. In addition, CWC has water supply agreements to supplement its water supply with RWA and MDC that expire in 2058 and 2053, respectively.</w:t>
      </w:r>
    </w:p>
    <w:p>
      <w:pPr>
        <w:spacing w:after="0" w:line="6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TWC’s water supply consists of groundwater from wells and purchased treated and raw water from the GBRA. TWC has long-term agreements with the GBRA, which expire in 2037, 2040, 2044 and 2050. The agreements, which are take-or-pay contracts, provide TWC with an aggregate of 7,602 acre-feet of water per year from Canyon Lake at prices that may be adjusted periodically by GBRA. TWC also has raw water supply agreements with the LCRA and WTCPUA expiring in 2059 and 2046, respectively, to provide for 350 acre-feet of water per year from Lake Austin and the Colorado River, respectively, at prices that may be adjusted periodically by the agencies. Forty active production wells located in a Comal Trinity Groundwater Conservation District, a regulated portion of the Trinity aquifer, are charged a groundwater pump tax based upon usage.</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August 2023, SJWTX Holdings Inc.’s unregulated subsidiary, TWR, acquired eight wells and the water rights of KTR, for a total cost of $40,061. During the third quarter of 2024, TWC purchased these assets from TWR for use in utility operations. Accordingly, SJW Group reclassified $28,386 related to indefinite lived water rights from other intangible assets to utility plant intangible assets and $11,684 from nonutility property to utility plant. These wells have been projected to yield an additional 6,000 acre-feet per year or more. TWC staff is currently working on acquiring easements and routing of the waterline and infrastructure needed to get this water into our Triple Peak water system to serve existing customers and planned new developments.</w:t>
      </w:r>
    </w:p>
    <w:p>
      <w:pPr>
        <w:spacing w:after="0" w:line="75" w:lineRule="exact"/>
        <w:rPr>
          <w:sz w:val="20"/>
          <w:szCs w:val="20"/>
          <w:color w:val="auto"/>
        </w:rPr>
      </w:pPr>
    </w:p>
    <w:p>
      <w:pPr>
        <w:ind w:right="760"/>
        <w:spacing w:after="0" w:line="312" w:lineRule="auto"/>
        <w:rPr>
          <w:sz w:val="20"/>
          <w:szCs w:val="20"/>
          <w:color w:val="auto"/>
        </w:rPr>
      </w:pPr>
      <w:r>
        <w:rPr>
          <w:rFonts w:ascii="Times New Roman" w:cs="Times New Roman" w:eastAsia="Times New Roman" w:hAnsi="Times New Roman"/>
          <w:sz w:val="17"/>
          <w:szCs w:val="17"/>
          <w:color w:val="auto"/>
        </w:rPr>
        <w:t>The Texas service area is currently experiencing drought conditions that result in water usage restrictions for customers. Significant future capital investment of transmission main and storage facilities in addition to developing additional supply sources is planned for 2025 and beyond.</w:t>
      </w:r>
    </w:p>
    <w:p>
      <w:pPr>
        <w:spacing w:after="0" w:line="3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Water sources at MWC vary among the individual systems, but overall, approximately 90% of the total dependable yield comes from surface water supplies and 10% from wells. MWC has a water supply agreement with the Kennebec Water District expiring in 2040.</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sources of water supply: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4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Source of Water Supply</w:t>
            </w: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40" w:type="dxa"/>
            <w:vAlign w:val="bottom"/>
          </w:tcPr>
          <w:p>
            <w:pPr>
              <w:spacing w:after="0"/>
              <w:rPr>
                <w:sz w:val="16"/>
                <w:szCs w:val="16"/>
                <w:color w:val="auto"/>
              </w:rPr>
            </w:pPr>
          </w:p>
        </w:tc>
        <w:tc>
          <w:tcPr>
            <w:tcW w:w="1800" w:type="dxa"/>
            <w:vAlign w:val="bottom"/>
            <w:tcBorders>
              <w:bottom w:val="single" w:sz="8" w:color="auto"/>
            </w:tcBorders>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0" w:type="dxa"/>
            <w:vAlign w:val="bottom"/>
            <w:tcBorders>
              <w:bottom w:val="single" w:sz="8" w:color="auto"/>
            </w:tcBorders>
            <w:gridSpan w:val="3"/>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96"/>
        </w:trPr>
        <w:tc>
          <w:tcPr>
            <w:tcW w:w="64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000" w:type="dxa"/>
            <w:vAlign w:val="bottom"/>
            <w:gridSpan w:val="3"/>
          </w:tcPr>
          <w:p>
            <w:pPr>
              <w:jc w:val="center"/>
              <w:ind w:right="1710"/>
              <w:spacing w:after="0"/>
              <w:rPr>
                <w:sz w:val="20"/>
                <w:szCs w:val="20"/>
                <w:color w:val="auto"/>
              </w:rPr>
            </w:pPr>
            <w:r>
              <w:rPr>
                <w:rFonts w:ascii="Times New Roman" w:cs="Times New Roman" w:eastAsia="Times New Roman" w:hAnsi="Times New Roman"/>
                <w:sz w:val="14"/>
                <w:szCs w:val="14"/>
                <w:b w:val="1"/>
                <w:bCs w:val="1"/>
                <w:color w:val="auto"/>
              </w:rPr>
              <w:t>(billion gallons)</w:t>
            </w:r>
          </w:p>
        </w:tc>
        <w:tc>
          <w:tcPr>
            <w:tcW w:w="0" w:type="dxa"/>
            <w:vAlign w:val="bottom"/>
          </w:tcPr>
          <w:p>
            <w:pPr>
              <w:spacing w:after="0"/>
              <w:rPr>
                <w:sz w:val="1"/>
                <w:szCs w:val="1"/>
                <w:color w:val="auto"/>
              </w:rPr>
            </w:pPr>
          </w:p>
        </w:tc>
      </w:tr>
      <w:tr>
        <w:trPr>
          <w:trHeight w:val="23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water</w:t>
            </w:r>
          </w:p>
        </w:tc>
        <w:tc>
          <w:tcPr>
            <w:tcW w:w="1800" w:type="dxa"/>
            <w:vAlign w:val="bottom"/>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w w:val="95"/>
              </w:rPr>
              <w:t>17.8</w:t>
            </w:r>
          </w:p>
        </w:tc>
        <w:tc>
          <w:tcPr>
            <w:tcW w:w="3000" w:type="dxa"/>
            <w:vAlign w:val="bottom"/>
            <w:gridSpan w:val="3"/>
            <w:shd w:val="clear" w:color="auto" w:fill="CCEEFF"/>
          </w:tcPr>
          <w:p>
            <w:pPr>
              <w:jc w:val="center"/>
              <w:ind w:left="556"/>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Groundwater</w:t>
            </w:r>
          </w:p>
        </w:tc>
        <w:tc>
          <w:tcPr>
            <w:tcW w:w="1800" w:type="dxa"/>
            <w:vAlign w:val="bottom"/>
          </w:tcPr>
          <w:p>
            <w:pPr>
              <w:jc w:val="center"/>
              <w:ind w:left="455"/>
              <w:spacing w:after="0"/>
              <w:rPr>
                <w:sz w:val="20"/>
                <w:szCs w:val="20"/>
                <w:color w:val="auto"/>
              </w:rPr>
            </w:pPr>
            <w:r>
              <w:rPr>
                <w:rFonts w:ascii="Times New Roman" w:cs="Times New Roman" w:eastAsia="Times New Roman" w:hAnsi="Times New Roman"/>
                <w:sz w:val="18"/>
                <w:szCs w:val="18"/>
                <w:color w:val="auto"/>
                <w:w w:val="95"/>
              </w:rPr>
              <w:t>18.6</w:t>
            </w:r>
          </w:p>
        </w:tc>
        <w:tc>
          <w:tcPr>
            <w:tcW w:w="3000" w:type="dxa"/>
            <w:vAlign w:val="bottom"/>
            <w:gridSpan w:val="3"/>
          </w:tcPr>
          <w:p>
            <w:pPr>
              <w:jc w:val="center"/>
              <w:ind w:left="556"/>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Surface water</w:t>
            </w:r>
          </w:p>
        </w:tc>
        <w:tc>
          <w:tcPr>
            <w:tcW w:w="1800" w:type="dxa"/>
            <w:vAlign w:val="bottom"/>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w w:val="95"/>
              </w:rPr>
              <w:t>11.8</w:t>
            </w:r>
          </w:p>
        </w:tc>
        <w:tc>
          <w:tcPr>
            <w:tcW w:w="3000" w:type="dxa"/>
            <w:vAlign w:val="bottom"/>
            <w:gridSpan w:val="3"/>
            <w:shd w:val="clear" w:color="auto" w:fill="CCEEFF"/>
          </w:tcPr>
          <w:p>
            <w:pPr>
              <w:jc w:val="center"/>
              <w:ind w:left="556"/>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Reclaimed water</w:t>
            </w:r>
          </w:p>
        </w:tc>
        <w:tc>
          <w:tcPr>
            <w:tcW w:w="1800" w:type="dxa"/>
            <w:vAlign w:val="bottom"/>
          </w:tcPr>
          <w:p>
            <w:pPr>
              <w:jc w:val="center"/>
              <w:ind w:left="455"/>
              <w:spacing w:after="0"/>
              <w:rPr>
                <w:sz w:val="20"/>
                <w:szCs w:val="20"/>
                <w:color w:val="auto"/>
              </w:rPr>
            </w:pPr>
            <w:r>
              <w:rPr>
                <w:rFonts w:ascii="Times New Roman" w:cs="Times New Roman" w:eastAsia="Times New Roman" w:hAnsi="Times New Roman"/>
                <w:sz w:val="18"/>
                <w:szCs w:val="18"/>
                <w:color w:val="auto"/>
                <w:w w:val="97"/>
              </w:rPr>
              <w:t>0.8</w:t>
            </w:r>
          </w:p>
        </w:tc>
        <w:tc>
          <w:tcPr>
            <w:tcW w:w="3000" w:type="dxa"/>
            <w:vAlign w:val="bottom"/>
            <w:gridSpan w:val="3"/>
          </w:tcPr>
          <w:p>
            <w:pPr>
              <w:jc w:val="center"/>
              <w:ind w:left="576"/>
              <w:spacing w:after="0"/>
              <w:rPr>
                <w:sz w:val="20"/>
                <w:szCs w:val="20"/>
                <w:color w:val="auto"/>
              </w:rPr>
            </w:pPr>
            <w:r>
              <w:rPr>
                <w:rFonts w:ascii="Times New Roman" w:cs="Times New Roman" w:eastAsia="Times New Roman" w:hAnsi="Times New Roman"/>
                <w:sz w:val="18"/>
                <w:szCs w:val="18"/>
                <w:color w:val="auto"/>
                <w:w w:val="97"/>
              </w:rPr>
              <w:t>0.8</w:t>
            </w:r>
          </w:p>
        </w:tc>
        <w:tc>
          <w:tcPr>
            <w:tcW w:w="0" w:type="dxa"/>
            <w:vAlign w:val="bottom"/>
          </w:tcPr>
          <w:p>
            <w:pPr>
              <w:spacing w:after="0"/>
              <w:rPr>
                <w:sz w:val="1"/>
                <w:szCs w:val="1"/>
                <w:color w:val="auto"/>
              </w:rPr>
            </w:pPr>
          </w:p>
        </w:tc>
      </w:tr>
      <w:tr>
        <w:trPr>
          <w:trHeight w:val="248"/>
        </w:trPr>
        <w:tc>
          <w:tcPr>
            <w:tcW w:w="644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auto"/>
            </w:tcBorders>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w w:val="95"/>
              </w:rPr>
              <w:t>49.0</w:t>
            </w:r>
          </w:p>
        </w:tc>
        <w:tc>
          <w:tcPr>
            <w:tcW w:w="5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3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Average water production expense per billion gallons</w:t>
            </w: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1800" w:type="dxa"/>
            <w:vAlign w:val="bottom"/>
            <w:tcBorders>
              <w:bottom w:val="single" w:sz="8" w:color="auto"/>
            </w:tcBorders>
          </w:tcPr>
          <w:p>
            <w:pPr>
              <w:ind w:left="640"/>
              <w:spacing w:after="0" w:line="203" w:lineRule="exact"/>
              <w:rPr>
                <w:sz w:val="20"/>
                <w:szCs w:val="20"/>
                <w:color w:val="auto"/>
              </w:rPr>
            </w:pPr>
            <w:r>
              <w:rPr>
                <w:rFonts w:ascii="Times New Roman" w:cs="Times New Roman" w:eastAsia="Times New Roman" w:hAnsi="Times New Roman"/>
                <w:sz w:val="18"/>
                <w:szCs w:val="18"/>
                <w:color w:val="auto"/>
              </w:rPr>
              <w:t>$5.956 million</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Borders>
              <w:bottom w:val="single" w:sz="8" w:color="auto"/>
            </w:tcBorders>
          </w:tcPr>
          <w:p>
            <w:pPr>
              <w:ind w:left="640"/>
              <w:spacing w:after="0" w:line="203" w:lineRule="exact"/>
              <w:rPr>
                <w:sz w:val="20"/>
                <w:szCs w:val="20"/>
                <w:color w:val="auto"/>
              </w:rPr>
            </w:pPr>
            <w:r>
              <w:rPr>
                <w:rFonts w:ascii="Times New Roman" w:cs="Times New Roman" w:eastAsia="Times New Roman" w:hAnsi="Times New Roman"/>
                <w:sz w:val="18"/>
                <w:szCs w:val="18"/>
                <w:color w:val="auto"/>
              </w:rPr>
              <w:t>$5.420 million</w:t>
            </w:r>
          </w:p>
        </w:tc>
        <w:tc>
          <w:tcPr>
            <w:tcW w:w="0" w:type="dxa"/>
            <w:vAlign w:val="bottom"/>
          </w:tcPr>
          <w:p>
            <w:pPr>
              <w:spacing w:after="0"/>
              <w:rPr>
                <w:sz w:val="1"/>
                <w:szCs w:val="1"/>
                <w:color w:val="auto"/>
              </w:rPr>
            </w:pPr>
          </w:p>
        </w:tc>
      </w:tr>
      <w:tr>
        <w:trPr>
          <w:trHeight w:val="21"/>
        </w:trPr>
        <w:tc>
          <w:tcPr>
            <w:tcW w:w="64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percentages of water supply by source excluding reclaimed water by state is presented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21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Purchased Water</w:t>
            </w:r>
          </w:p>
        </w:tc>
        <w:tc>
          <w:tcPr>
            <w:tcW w:w="214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Groundwater</w:t>
            </w:r>
          </w:p>
        </w:tc>
        <w:tc>
          <w:tcPr>
            <w:tcW w:w="2020" w:type="dxa"/>
            <w:vAlign w:val="bottom"/>
            <w:gridSpan w:val="3"/>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Surface Water</w:t>
            </w:r>
          </w:p>
        </w:tc>
      </w:tr>
      <w:tr>
        <w:trPr>
          <w:trHeight w:val="23"/>
        </w:trPr>
        <w:tc>
          <w:tcPr>
            <w:tcW w:w="49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49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6"/>
        </w:trPr>
        <w:tc>
          <w:tcPr>
            <w:tcW w:w="49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Connecticut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bl>
    <w:p>
      <w:pPr>
        <w:spacing w:after="0" w:line="18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Water production in 2024 increased by 1.7 billion gallons from 2023. The changes are primarily attributable to changes in consumption by customers driven primarily by weather conditions in our service areas.</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contract water rates for SJWC are determined by Valley Water. These rates are adjusted periodically and coincide with Valley Water’s fiscal year, which ends on June 30. The contract water rate for Valley Water’s fiscal years 2025, 2024 and 2023 was $7.194 million, $6.411 million, and $5.644 million per billion gallons, respectively. The contractual cost of the groundwater extraction charge for water pumped from the ground basin was $6.840 million, $6.058 million, and $5.290 million per billion gallons for Valley Water’s fiscal years 2025, 2024 and 2023, respectively.</w:t>
      </w:r>
    </w:p>
    <w:p>
      <w:pPr>
        <w:spacing w:after="0" w:line="7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CWC has an agreement with RWA to purchase water from RWA. The agreement was signed in April 2006 and became effective upon the receipt of all regulatory approvals in 2008 and will remain in effect for a minimum of 50 years upon becoming effective. In addition, CWC is able, but under no obligation, to purchase up to one million gallons of water per day at the then-current wholesale rates per the agreement, $3.1 million per billion gallons as of December 31, 2024. CWC has an agreement with MDC to purchase water from MDC to serve the Unionville system. The agreement became effective on October 6, 2000 and has a term of 50 years beginning May 19, 2003, the date the water supply facilities related to the agreement were placed in service. CWC has agreed to purchase 0.28 billion gallons of water annually from MDC at the published retail rate, three dollars and eighty cents per hundred cubic feet as of December 31, 2024.</w:t>
      </w:r>
    </w:p>
    <w:p>
      <w:pPr>
        <w:spacing w:after="0" w:line="8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MWC has an agreement with the Kennebec Water District for potable water service. The agreement has been in place for 20 years and was extended on November 7, 2020 for a new term of up to 20 years. MWC guarantees a minimum consumption of 0.05 billion gallons of water annually. Water sales to MWC are billed at a wholesale discount of twenty cents per hundred cubic feet of water below Kennebec Water District's tariffed rates. The current tariff rate was one dollar and fifty-one cents per hundred cubic feet as of December 31, 2024.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various components of operating expenses are discussed below.</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Water production expenses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Water production expenses increased $25,035 due to higher per unit costs paid for purchased water, groundwater extraction, energy price charges and other production expenses, $10,254 due to higher customer usage, and an increase of $5,181 as a result of decreased availability of California surface water in 2024 compared to 2023, offset by a decrease of $4,492 in water production balancing and memorandum accounts for the FCBA.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Administrative and General Expense</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Administrative and general expenses include payroll related to administrative and general functions, all employee benefits charged to expense accounts, insurance expenses, legal fees, regulatory utility commissions’ expenses, expenses associated with being a public company, and general corporate expenses.</w:t>
      </w:r>
    </w:p>
    <w:p>
      <w:pPr>
        <w:spacing w:after="0" w:line="68"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Administrative and general expense increased $7,174 in 2024, or 2% of total operating expenses from 2023, primarily due to expenses associated with certain acquisition evaluation and due diligence activities of $3,393, and an increase for pension expense, contracted work, and inflationary increases, offset by decreases in the allowance for credit losses of $6,082 and higher allocations to construction activities.</w:t>
      </w:r>
    </w:p>
    <w:p>
      <w:pPr>
        <w:spacing w:after="0" w:line="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Maintenance Expense</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Maintenance expenses increased $5,572 in 2024 or 1% of total operating expenses from 2023, primarily due to higher maintenance expenses related to contracted work for others, security expenses, and adjustments to certain regulatory assets as a result of the final decision in the Connecticut general rate case.</w:t>
      </w:r>
    </w:p>
    <w:p>
      <w:pPr>
        <w:spacing w:after="0" w:line="1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Property Taxes and Other Non-income Taxes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Property taxes and other non-income taxes for 2024 increased $1,453 from 2023. The increase was primarily the result of an increase in property taxes due to utility plant additions and payroll taxes due to increases in wages and headcount.</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$6,987 in 2024 from 2023. The increases were primarily due to increases in depreciation related to new utility plant additions.</w:t>
      </w:r>
    </w:p>
    <w:p>
      <w:pPr>
        <w:spacing w:after="0" w:line="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Other Income and Expense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change in other (expense) income in 2024 compared to 2023 was primarily due to lower income from certain service and other activities, an increase in interest expense due to higher average balances and interest rates, and higher charitable contributions, offset by higher benefits from the non-service component of pension cost.</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SJW Group’s consolidated weighted-average cost of long-term debt, including the amortization of debt issuance costs, was 4.12% and 3.97% for the years ended December 31, 2024 and 2023. Cost of borrowing on the lines of credit averaged 6.44% and 6.29% for the years ended December 31, 2024 and 2023, respectively.</w:t>
      </w:r>
    </w:p>
    <w:p>
      <w:pPr>
        <w:spacing w:after="0" w:line="1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0" w:lineRule="exact"/>
        <w:rPr>
          <w:sz w:val="20"/>
          <w:szCs w:val="20"/>
          <w:color w:val="auto"/>
        </w:rPr>
      </w:pPr>
    </w:p>
    <w:p>
      <w:pPr>
        <w:jc w:val="both"/>
        <w:ind w:right="100"/>
        <w:spacing w:after="0" w:line="239" w:lineRule="auto"/>
        <w:rPr>
          <w:sz w:val="20"/>
          <w:szCs w:val="20"/>
          <w:color w:val="auto"/>
        </w:rPr>
      </w:pPr>
      <w:r>
        <w:rPr>
          <w:rFonts w:ascii="Times New Roman" w:cs="Times New Roman" w:eastAsia="Times New Roman" w:hAnsi="Times New Roman"/>
          <w:sz w:val="18"/>
          <w:szCs w:val="18"/>
          <w:color w:val="auto"/>
        </w:rPr>
        <w:t>Income tax expense for 2024 was $8,970, compared to $5,956 in 2023. The effective consolidated income tax rate was 9% for 2024 and 7% for 2023. The increase in the effective income tax rate was primarily due to the year-over-year effect of the higher uncertain tax position reserve release in 2023 and tax deficiencies related to share-based payments in 2024, partially offset by the benefit of a tax accounting method change in 2024.</w:t>
      </w:r>
    </w:p>
    <w:p>
      <w:pPr>
        <w:spacing w:after="0" w:line="91"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 xml:space="preserve">Please refer to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“Income Taxes,” of Notes to Consolidated Financial Statements for a reconciliation of income tax computed at the federal statutory rate to actual income tax expense.</w:t>
      </w:r>
    </w:p>
    <w:p>
      <w:pPr>
        <w:spacing w:after="0" w:line="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change in other comprehensive income in 2024 compared to 2023 was primarily due to the change in the benefit obligation for CWC’s supplemental executive retirement plan primarily as a result of changes in the discount rate and the unrealized gain on its investments.</w:t>
      </w:r>
    </w:p>
    <w:p>
      <w:pPr>
        <w:spacing w:after="0" w:line="29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Water Utility Services’ business derives the majority of its revenue directly from residential and business customers. Management believes that the collection rate for its accounts receivables will continue to improve as service disconnections return to normal. On December 28, 2023, SJWC submitted the application through the State of California Water and Wastewater Arrearages Payment Program to relieve outstanding payment delinquencies for customer accounts greater than 60-days past due as of December 31, 2022. We received $9,130 in the second quarter of 2024 under the State of California Water and Wastewater Arrearages Payment Program.</w:t>
      </w:r>
    </w:p>
    <w:p>
      <w:pPr>
        <w:spacing w:after="0" w:line="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Funds collected from Water Utility Services’ customers are used to pay for water production expenses, in addition to costs associated with general operations. Funds were also generated from borrowings. In 2024, SJW Group and its subsidiaries obtained $185,329 in funds from new long-term debt and $85,008 in funds from equity issuances. From these amounts, SJW Group funded its 2024 capital expenditure programs, refinanced certain short and long-term borrowings, and funded working</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capital. See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xml:space="preserve"> of “Notes to Consolidated Financial Statements” for discussion on the equity and debt financing activities of SJW Group. In addition, SJW Group paid cash dividends of $52,132 during the year ended December 31, 2024.</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2024, the common dividends declared and paid on SJW Group’s common stock represented 55% of net income. Dividends have been paid on SJW Group’s and its predecessor’s common stock for 325 consecutive quarters and the annual dividend amount has increased in each of the last 57 years. While historically SJW Group has generally paid dividends equal to approximately 50% to 60% of its net income, SJW Group cannot guarantee that this trend will continue in the future.</w:t>
      </w:r>
    </w:p>
    <w:p>
      <w:pPr>
        <w:spacing w:after="0" w:line="1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Cash Flow from Operations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2024, SJW Group generated cash flow from operations of $195,526 compared to $190,831 in 2023. Cash flow from operations is primarily generated by net income from revenue producing activities, adjusted for non-cash expenses for depreciation and amortization, deferred income taxes, share-based compensation, allowance for equity funds used during construction, gains on the sale of assets, and other changes in working capital items. Cash flow from operations increased in 2024 by $4,695. The increase was primarily due to a combination of the following factors: (1) an increase of $36,057 due to higher net income adjusted for non-cash items, (2) an increase of $4,060 attributable to tax accruals, and (3) an increase of $2,568 for other assets and liabilities, offset by (4) an up-front service concession fee payments related to Cupertino for $23,900, and (5) a decrease in collections against our regulatory assets and liabilities, which generated a decrease of $14,090.</w:t>
      </w:r>
    </w:p>
    <w:p>
      <w:pPr>
        <w:spacing w:after="0" w:line="1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2024, increased by $17,823 from the same period in the prior year, primarily as a result of an increase in company-funded capital expenditures of $81,257, an increase for developer-funded capital expenditures of $7,324, and an increase of $1,333 in utility plant retirement costs, offset by higher proceeds from sales of assets of $40,339 (primarily from the sale of SJW Land Company’s Tennessee real estate assets), lower additions to nonutility assets of $24,215, and a decrease of $7,537 in business acquisitions year over year.</w:t>
      </w:r>
    </w:p>
    <w:p>
      <w:pPr>
        <w:spacing w:after="0" w:line="1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2024, increased by $17,140 from the same period in the prior year, primarily as a result of increase in cash proceeds from long-term debt, an increase in cash receipts of advances and contributions in aid of construction and issuances of common stock, partially offset by an increase in the amount of net repayments on our lines of credit, and an increase in payments of dividends. SJW Group’s cash management policy includes the issuance of long-term debt to pay down borrowings on our lines of credit. As such, during years when long-term borrowings are high, borrowings on our line of credit tend to be low and when long-term borrowings are low, borrowings on our line of credit tend to be high.</w:t>
      </w:r>
    </w:p>
    <w:p>
      <w:pPr>
        <w:spacing w:after="0" w:line="7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SJW Group and its subsidiaries have unsecured bank lines of credit totaling $350,000 as of December 31, 2024. Drawdowns on our lines of credit are restricted by our funded debt not exceeding a percentage of total capitalization as defined in our debt covenants. SJW Group expects to periodically draw down on its lines of credit as dictated by our funding needs and subsequently repay such borrowings with cash from operations and issuance of long-term debt or equity. See also “Sources of Capital” below.</w:t>
      </w:r>
    </w:p>
    <w:p>
      <w:pPr>
        <w:spacing w:after="0" w:line="1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Budgeted Capital Expenditures</w:t>
      </w:r>
    </w:p>
    <w:p>
      <w:pPr>
        <w:spacing w:after="0" w:line="121"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Water Utility Services has budgeted 2025 capital expenditures of approximately $451,000, excluding capital expenditures financed by customer contributions and advances. The 2025 budget is comprised of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Budgeted Capital</w:t>
            </w:r>
          </w:p>
        </w:tc>
      </w:tr>
      <w:tr>
        <w:trPr>
          <w:trHeight w:val="137"/>
        </w:trPr>
        <w:tc>
          <w:tcPr>
            <w:tcW w:w="9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jc w:val="center"/>
              <w:ind w:right="117"/>
              <w:spacing w:after="0" w:line="137" w:lineRule="exact"/>
              <w:rPr>
                <w:sz w:val="20"/>
                <w:szCs w:val="20"/>
                <w:color w:val="auto"/>
              </w:rPr>
            </w:pPr>
            <w:r>
              <w:rPr>
                <w:rFonts w:ascii="Times New Roman" w:cs="Times New Roman" w:eastAsia="Times New Roman" w:hAnsi="Times New Roman"/>
                <w:sz w:val="14"/>
                <w:szCs w:val="14"/>
                <w:b w:val="1"/>
                <w:bCs w:val="1"/>
                <w:color w:val="auto"/>
              </w:rPr>
              <w:t>Expenditures</w:t>
            </w:r>
          </w:p>
        </w:tc>
      </w:tr>
      <w:tr>
        <w:trPr>
          <w:trHeight w:val="190"/>
        </w:trPr>
        <w:tc>
          <w:tcPr>
            <w:tcW w:w="9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9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9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SJWC</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199,000</w:t>
            </w:r>
          </w:p>
        </w:tc>
      </w:tr>
      <w:tr>
        <w:trPr>
          <w:trHeight w:val="230"/>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CWC</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99,000</w:t>
            </w:r>
          </w:p>
        </w:tc>
      </w:tr>
      <w:tr>
        <w:trPr>
          <w:trHeight w:val="229"/>
        </w:trPr>
        <w:tc>
          <w:tcPr>
            <w:tcW w:w="9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TWC</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133,000</w:t>
            </w:r>
          </w:p>
        </w:tc>
      </w:tr>
      <w:tr>
        <w:trPr>
          <w:trHeight w:val="230"/>
        </w:trPr>
        <w:tc>
          <w:tcPr>
            <w:tcW w:w="9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MWC</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48"/>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451,000</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2025 capital expenditures budget is concentrated in main replacements. Water Utility Services’ capital expenditures are incurred in connection with normal upgrading and expansion of existing facilities and to comply with environmental regulations. Over the next five years, Water Utility Services expects to incur approximately $1,900,000 in capital expenditures, which includes replacement of pipes and mains, maintaining water systems, and installing approximately $300,000 in PFAS treatment. A significant portion of this amount is subject to future respective state regulatory utility commissions’ approval.</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Capital expenditures have the effect of increasing utility plant rate base on which Water Utility Services earns a return. Water Utility Services’ actual capital expenditures may vary from projections due to changes in the expected demand for services, weather patterns, actions by governmental agencies and general economic conditions. Total additions to utility plant normally exceed company-financed additions as a result of new facilities construction funded with advances from developers and contributions in aid of construction.</w:t>
      </w:r>
    </w:p>
    <w:p>
      <w:pPr>
        <w:spacing w:after="0" w:line="7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Water Utility Services’ distribution systems were constructed during the period from the early 1900’s through today. Expenditure levels for renewal and modernization will occur as the components reach the end of their useful lives. In most cases, replacement cost will significantly exceed the original installation cost of the retired assets due to increases in the costs of goods and services and increased regulation.</w:t>
      </w:r>
    </w:p>
    <w:p>
      <w:pPr>
        <w:spacing w:after="0" w:line="6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addition to these capital expenditures, Water Utility Services expects to incur approximately $105,000 over the next five years, including $22,000 in 2025, in capitalizable costs associated with cloud-based computing arrangements.</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Sources of Capital</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SJW Group’s ability to finance future construction programs and sustain dividend payments depends on its ability to maintain or increase internally generated funds and attract external financing. The level of future earnings and the related cash flow from operations is dependent, in large part, upon the timing and outcome of regulatory proceedings. SJW Group’s regulated operations’ financing activity is designed to achieve capital structures consistent with regulatory guidelines in the locations where the companies operate. See current authorized capital structures in </w:t>
      </w:r>
      <w:r>
        <w:rPr>
          <w:rFonts w:ascii="Times New Roman" w:cs="Times New Roman" w:eastAsia="Times New Roman" w:hAnsi="Times New Roman"/>
          <w:sz w:val="18"/>
          <w:szCs w:val="18"/>
          <w:u w:val="single" w:color="auto"/>
          <w:color w:val="0000FF"/>
        </w:rPr>
        <w:t>Item 1</w:t>
      </w:r>
      <w:r>
        <w:rPr>
          <w:rFonts w:ascii="Times New Roman" w:cs="Times New Roman" w:eastAsia="Times New Roman" w:hAnsi="Times New Roman"/>
          <w:sz w:val="18"/>
          <w:szCs w:val="18"/>
          <w:color w:val="auto"/>
        </w:rPr>
        <w:t>, “Business” under “Regulation and Rates.”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Short-term Financing Arrangements</w:t>
      </w:r>
    </w:p>
    <w:p>
      <w:pPr>
        <w:spacing w:after="0" w:line="1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SJW Group and its subsidiaries have unsecured line of credit agreements where borrowings are used to refinance existing debt, for working capital, and for general corporate purposes. A summary of the line of credit agreements as of December 31, 2024, and 2023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3120" w:type="dxa"/>
            <w:vAlign w:val="bottom"/>
          </w:tcPr>
          <w:p>
            <w:pPr>
              <w:spacing w:after="0"/>
              <w:rPr>
                <w:sz w:val="2"/>
                <w:szCs w:val="2"/>
                <w:color w:val="auto"/>
              </w:rPr>
            </w:pPr>
          </w:p>
        </w:tc>
        <w:tc>
          <w:tcPr>
            <w:tcW w:w="2300" w:type="dxa"/>
            <w:vAlign w:val="bottom"/>
            <w:gridSpan w:val="3"/>
          </w:tcPr>
          <w:p>
            <w:pPr>
              <w:spacing w:after="0"/>
              <w:rPr>
                <w:sz w:val="2"/>
                <w:szCs w:val="2"/>
                <w:color w:val="auto"/>
              </w:rPr>
            </w:pPr>
          </w:p>
        </w:tc>
        <w:tc>
          <w:tcPr>
            <w:tcW w:w="1280" w:type="dxa"/>
            <w:vAlign w:val="bottom"/>
            <w:gridSpan w:val="2"/>
          </w:tcPr>
          <w:p>
            <w:pPr>
              <w:spacing w:after="0"/>
              <w:rPr>
                <w:sz w:val="2"/>
                <w:szCs w:val="2"/>
                <w:color w:val="auto"/>
              </w:rPr>
            </w:pPr>
          </w:p>
        </w:tc>
        <w:tc>
          <w:tcPr>
            <w:tcW w:w="1560" w:type="dxa"/>
            <w:vAlign w:val="bottom"/>
            <w:gridSpan w:val="2"/>
          </w:tcPr>
          <w:p>
            <w:pPr>
              <w:spacing w:after="0"/>
              <w:rPr>
                <w:sz w:val="2"/>
                <w:szCs w:val="2"/>
                <w:color w:val="auto"/>
              </w:rPr>
            </w:pPr>
          </w:p>
        </w:tc>
        <w:tc>
          <w:tcPr>
            <w:tcW w:w="154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r>
      <w:tr>
        <w:trPr>
          <w:trHeight w:val="190"/>
        </w:trPr>
        <w:tc>
          <w:tcPr>
            <w:tcW w:w="3120" w:type="dxa"/>
            <w:vAlign w:val="bottom"/>
          </w:tcPr>
          <w:p>
            <w:pPr>
              <w:spacing w:after="0"/>
              <w:rPr>
                <w:sz w:val="16"/>
                <w:szCs w:val="16"/>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Line Limit</w:t>
            </w:r>
          </w:p>
        </w:tc>
        <w:tc>
          <w:tcPr>
            <w:tcW w:w="15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Amounts Outstanding</w:t>
            </w:r>
          </w:p>
        </w:tc>
        <w:tc>
          <w:tcPr>
            <w:tcW w:w="14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Unused Portion</w:t>
            </w:r>
          </w:p>
        </w:tc>
        <w:tc>
          <w:tcPr>
            <w:tcW w:w="120" w:type="dxa"/>
            <w:vAlign w:val="bottom"/>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Amounts Outstanding</w:t>
            </w:r>
          </w:p>
        </w:tc>
      </w:tr>
      <w:tr>
        <w:trPr>
          <w:trHeight w:val="22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Syndicated credit agreement:</w:t>
            </w: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2, 2029</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r>
      <w:tr>
        <w:trPr>
          <w:trHeight w:val="229"/>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SJW Group</w:t>
            </w:r>
          </w:p>
        </w:tc>
        <w:tc>
          <w:tcPr>
            <w:tcW w:w="23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SJWC</w:t>
            </w: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w:t>
            </w:r>
          </w:p>
        </w:tc>
      </w:tr>
      <w:tr>
        <w:trPr>
          <w:trHeight w:val="230"/>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CTWS</w:t>
            </w: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53,000</w:t>
            </w:r>
          </w:p>
        </w:tc>
      </w:tr>
      <w:tr>
        <w:trPr>
          <w:trHeight w:val="229"/>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TWC</w:t>
            </w: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23"/>
        </w:trPr>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syndicated credit agreement</w:t>
            </w: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77,000</w:t>
            </w:r>
          </w:p>
        </w:tc>
        <w:tc>
          <w:tcPr>
            <w:tcW w:w="12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223,000</w:t>
            </w:r>
          </w:p>
        </w:tc>
        <w:tc>
          <w:tcPr>
            <w:tcW w:w="12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121,500</w:t>
            </w: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CTWS credit agreement</w:t>
            </w:r>
          </w:p>
        </w:tc>
        <w:tc>
          <w:tcPr>
            <w:tcW w:w="2300" w:type="dxa"/>
            <w:vAlign w:val="bottom"/>
            <w:gridSpan w:val="3"/>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rPr>
              <w:t>August 2, 2028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CTWS credit agreement</w:t>
            </w:r>
          </w:p>
        </w:tc>
        <w:tc>
          <w:tcPr>
            <w:tcW w:w="230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color w:val="auto"/>
                <w:w w:val="99"/>
              </w:rPr>
              <w:t>May 15, 2025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48"/>
        </w:trPr>
        <w:tc>
          <w:tcPr>
            <w:tcW w:w="312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171,500</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August 2024, SJW Group, SJWC, TWC, and CTWS entered into an amendment to its $300,000 credit agreement with JPMorgan Chase Bank and a syndicate of banks, which provided, among other matters, for an extension of the maturity date from August 2, 2028 to August 2, 2029.</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CTWS does not intend to renew its $40,000 credit agreement following repayment at maturity in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borrowing on the lines of credit averaged 6.44% and 6.29% for the years ended of December 31, 2024 and 2023, respectively.</w:t>
      </w:r>
    </w:p>
    <w:p>
      <w:pPr>
        <w:spacing w:after="0" w:line="11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All of SJW Group’s and subsidiaries’ lines of credit contain customary representations, warranties and events of default, as well as certain restrictive covenants customary for facilities of this type, including restrictions on indebtedness, liens, acquisitions and investments, restricted payments, asset sales, and fundamental changes. All of the lines of credit also include certain customary financial covenants such as a funded debt to capitalization ratio and a minimum interest coverage ratio. As of December 31, 2024, SJW Group and its subsidiaries were in compliance with all covenants on their lines of credit.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on SJW Group’s lines of credit, see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xml:space="preserve"> of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Long-term Financing Arrangements</w:t>
      </w:r>
    </w:p>
    <w:p>
      <w:pPr>
        <w:spacing w:after="0" w:line="11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SJW Group’s and its subsidiaries’ long-term debt activities are for purposes of refinancing short-term borrowings, funding capital expenditures and working capital, and repayments of maturing long-term debt. The following table summarizes the long-term debt issuances and repayments for the year ended December 31, 2024:</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Issuance (Repayment)</w:t>
            </w:r>
          </w:p>
        </w:tc>
        <w:tc>
          <w:tcPr>
            <w:tcW w:w="10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Activity Date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r>
      <w:tr>
        <w:trPr>
          <w:trHeight w:val="23"/>
        </w:trPr>
        <w:tc>
          <w:tcPr>
            <w:tcW w:w="6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SJWC:</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note, Series B, 7.37%</w:t>
            </w:r>
          </w:p>
        </w:tc>
        <w:tc>
          <w:tcPr>
            <w:tcW w:w="48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19"/>
                <w:szCs w:val="19"/>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January 2024</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2024</w:t>
            </w:r>
          </w:p>
        </w:tc>
      </w:tr>
      <w:tr>
        <w:trPr>
          <w:trHeight w:val="23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note, Series J, 6.54%</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February 2024</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2024</w:t>
            </w: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note, Series Q, 5.63%</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19"/>
                <w:szCs w:val="19"/>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July 2024</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2054</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CTWS:</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Bank term loan, 4.09%</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2027</w:t>
            </w:r>
          </w:p>
        </w:tc>
      </w:tr>
      <w:tr>
        <w:trPr>
          <w:trHeight w:val="22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Bank term loan, 4.15%</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6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2037</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CWC:</w:t>
            </w: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note, Series 2023, 6.46%</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January 2024</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2054</w:t>
            </w: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note, Series 2024, 5.78%</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August 2024</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2054</w:t>
            </w:r>
          </w:p>
        </w:tc>
      </w:tr>
      <w:tr>
        <w:trPr>
          <w:trHeight w:val="23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revolving fund loan, 2.00%</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October 2024</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2044</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MWC:</w:t>
            </w: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First Mortgage Bond, Series G, 8.95%</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6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r>
      <w:tr>
        <w:trPr>
          <w:trHeight w:val="230"/>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revolving fund loans, various series, 0.00%-2.58%</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2025-2048</w:t>
            </w:r>
          </w:p>
        </w:tc>
      </w:tr>
      <w:tr>
        <w:trPr>
          <w:trHeight w:val="22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Bank term loan, 4.24%</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December 2024</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r>
      <w:tr>
        <w:trPr>
          <w:trHeight w:val="230"/>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Bank term loan, 6.473%</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9"/>
                <w:szCs w:val="19"/>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December 2024</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2054</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TWC:</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6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Bank term loan, 6.473%</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December 2024</w:t>
            </w:r>
          </w:p>
        </w:tc>
        <w:tc>
          <w:tcPr>
            <w:tcW w:w="15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November 2054</w:t>
            </w:r>
          </w:p>
        </w:tc>
      </w:tr>
      <w:tr>
        <w:trPr>
          <w:trHeight w:val="248"/>
        </w:trPr>
        <w:tc>
          <w:tcPr>
            <w:tcW w:w="63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136,354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November 15, 2023, CWC entered into a note purchase agreement with certain institutional investors, pursuant to which the company sold an aggregate principal amount of $25,000 of its 6.46% Senior Notes, Series 2023 (“Series 2023 Notes”). The Series 2023 Notes are unsecured obligations of CWC and are due on January 15, 2054. Interest is payable semi-annually in arrears on January 15th and July 15th of each year. The closing of the notes purchase agreement occurred on January 22, 2024.</w:t>
      </w:r>
    </w:p>
    <w:p>
      <w:pPr>
        <w:spacing w:after="0" w:line="7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July 31, 2024, SJWC entered into and closed a note purchase agreement with certain institutional investors, pursuant to which the company sold an aggregate principal amount of $75,000 of its 5.63% Senior Notes, Series Q (“Series Q Notes”). The Series Q Notes are unsecured obligations of SJWC and are due on July 31, 2054. Interest is payable semi-annually in arrears on January 31st and July 31st of each year.</w:t>
      </w:r>
    </w:p>
    <w:p>
      <w:pPr>
        <w:spacing w:after="0" w:line="6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July 31, 2024, CWC entered into a note purchase agreement with certain institutional investors, pursuant to which the company sold an aggregate principal amount of $50,000 of its 5.78% Senior Notes, Series 2024 (“Series 2024 Notes”). The Series 2024 Notes are unsecured obligations of CWC and are due on July 31, 2054. Interest is payable semi-annually in arrears on January 31st and July 31st of each year. The closing of the notes purchase agreement occurred in August 2024.</w:t>
      </w:r>
    </w:p>
    <w:p>
      <w:pPr>
        <w:spacing w:after="0" w:line="7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On December 6, 2024, MWC issued a promissory note to a national cooperative bank under an existing master loan agreement for a principal amount of $15,000 at a fixed interest rate of 6.47%. The note is an unsecured obligation of MWC due on November 20, 2054. Interest is payable quarterly in arrears on the 20th day of January, April, July and October of each year.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6, 2024, TWC issued a promissory note to a national cooperative bank under an existing master loan agreement for a principal amount of</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$20,000 at a fixed interest rate of 6.47%. The note is an unsecured obligation of TWC due on November 20, 2054. Interest is payable quarterly in arrears on the 20th day of January, April, July and October of each year. In January 2025, TWC amended the existing master loan agreement to modify one of the financial covenants. All of the other terms and conditions remain the same.</w:t>
      </w:r>
    </w:p>
    <w:p>
      <w:pPr>
        <w:spacing w:after="0" w:line="7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debt and credit agreements of SJW Group and its subsidiaries contain various financial and other covenants. Non-compliance with these covenants could result in accelerated due dates and termination of the agreements. In addition, the credit agreements contain customary representations and warranties and are subject to customary events of default, which may result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the outstanding debt becoming immediately due and payable. As of December 31, 2024, SJW Group and its subsidiaries were in compliance with all covenants related to its long-term debt agreements.</w:t>
      </w:r>
    </w:p>
    <w:p>
      <w:pPr>
        <w:spacing w:after="0" w:line="54" w:lineRule="exact"/>
        <w:rPr>
          <w:sz w:val="20"/>
          <w:szCs w:val="20"/>
          <w:color w:val="auto"/>
        </w:rPr>
      </w:pPr>
    </w:p>
    <w:p>
      <w:pPr>
        <w:ind w:right="4880"/>
        <w:spacing w:after="0" w:line="375" w:lineRule="auto"/>
        <w:rPr>
          <w:sz w:val="20"/>
          <w:szCs w:val="20"/>
          <w:color w:val="auto"/>
        </w:rPr>
      </w:pPr>
      <w:r>
        <w:rPr>
          <w:rFonts w:ascii="Times New Roman" w:cs="Times New Roman" w:eastAsia="Times New Roman" w:hAnsi="Times New Roman"/>
          <w:sz w:val="18"/>
          <w:szCs w:val="18"/>
          <w:color w:val="auto"/>
        </w:rPr>
        <w:t xml:space="preserve">For additional information, see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xml:space="preserve"> of “Notes to Consolidated Financial Statements.” </w:t>
      </w:r>
      <w:r>
        <w:rPr>
          <w:rFonts w:ascii="Times New Roman" w:cs="Times New Roman" w:eastAsia="Times New Roman" w:hAnsi="Times New Roman"/>
          <w:sz w:val="18"/>
          <w:szCs w:val="18"/>
          <w:u w:val="single" w:color="auto"/>
          <w:color w:val="auto"/>
        </w:rPr>
        <w:t>Equity Financing Arrangements</w:t>
      </w:r>
    </w:p>
    <w:p>
      <w:pPr>
        <w:spacing w:after="0" w:line="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March 2023, SJW Group entered into Amendment No. 1 to the equity distribution agreement (the “Equity Distribution Agreement”), dated November 17, 2021, between SJW Group and J.P. Morgan Securities LLC, Janney Montgomery Scott LLC, RBC Capital Markets, LLC and Wells Fargo Securities, LLC, pursuant to which the company offered and sold shares of its common stock, $0.001 par value per share, from time to time in “at-the-market” offerings, having an aggregate gross sales price of up to $240,000. The Equity Distribution Agreement was replaced by a new equity distribution agreement in October 2024, as discussed below. Through the Equity Distribution Agreement, SJW Group issued and sold 3,151,433 shares of common stock at a weighted average price of $67.80 for a total net proceeds of $208,838 over the life of the agreement.</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October 29, 2024, SJW Group entered into an equity distribution agreement (the “New Equity Distribution Agreement”) with BofA Securities, Inc., J.P. Morgan Securities LLC, RBC Capital Markets, LLC and Wells Fargo Securities, LLC, pursuant to which the company may offer and sell shares of its common stock, $0.001 par value per share, from time to time in “at-the-market” offerings, having an aggregate gross sales price of up to $200,000. Since the inception of the New Equity Distribution Agreement, SJW Group has issued and sold 375,513 shares of common stock at a weighted average price of $55.46 for a total net proceeds of $20,167 and has $179,175 of aggregate gross sales price of shares remaining to issue under the New Equity Distribution Agreement as of December 31, 2024.</w:t>
      </w:r>
    </w:p>
    <w:p>
      <w:pPr>
        <w:spacing w:after="0" w:line="7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SJW Group issued and sold a total of 1,522,289 shares of common stock with a weighted average price of $57.15 per share and received $85,008 in net proceeds under the aforementioned equity distribution agreements.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Rating</w:t>
      </w:r>
    </w:p>
    <w:p>
      <w:pPr>
        <w:spacing w:after="0" w:line="1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condition of the capital and credit markets or the strength of financial institutions could impact SJW Group’s ability to draw on its lines of credit, issue long-term debt, sell its equity or earn interest income. In addition, government policies, the state of the credit markets and other factors could result in increased interest rates, which would increase SJW Group’s cost of capital. While our ability to obtain financing will continue to be a risk, we believe that based on our 2024 and 2023 activities, we will have access to the external funding sources necessary to implement our ongoing capital investment programs in the future. SJW Group, CTWS and CWC were put on negative watch on September 19, 2023. Standard &amp; Poor’s noted the change in outlook is due to recent regulatory and legislative developments in Connecticut that are not consistent with Standard &amp; Poor’s view of the regulatory framework for investor-owned utilities.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are the current Standard &amp; Poor’s Rating Service assigned company ratings: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gridSpan w:val="2"/>
          </w:tcPr>
          <w:p>
            <w:pPr>
              <w:ind w:left="386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Rating</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Outlook</w:t>
            </w:r>
          </w:p>
        </w:tc>
      </w:tr>
      <w:tr>
        <w:trPr>
          <w:trHeight w:val="23"/>
        </w:trPr>
        <w:tc>
          <w:tcPr>
            <w:tcW w:w="8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SJW Group</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A-</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Negative</w:t>
            </w:r>
          </w:p>
        </w:tc>
      </w:tr>
      <w:tr>
        <w:trPr>
          <w:trHeight w:val="23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SJWC</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r>
      <w:tr>
        <w:trPr>
          <w:trHeight w:val="22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CTWS</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4"/>
              </w:rPr>
              <w:t>A-</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Negative</w:t>
            </w:r>
          </w:p>
        </w:tc>
      </w:tr>
      <w:tr>
        <w:trPr>
          <w:trHeight w:val="234"/>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CWC</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4"/>
              </w:rPr>
              <w:t>A-</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Negative</w:t>
            </w:r>
          </w:p>
        </w:tc>
      </w:tr>
    </w:tbl>
    <w:p>
      <w:pPr>
        <w:spacing w:after="0" w:line="2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Off-Balance Sheet Arrangement/Contractual Obligations</w:t>
      </w:r>
    </w:p>
    <w:p>
      <w:pPr>
        <w:spacing w:after="0" w:line="121"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SJW Group has no significant contractual obligations not fully recorded on its Consolidated Balance Sheet or not fully disclosed in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SJW Group’s contractual obligations and commitments as of December 31, 2024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Contractual Obligations Due in</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4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140" w:type="dxa"/>
            <w:vAlign w:val="bottom"/>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1-3</w:t>
            </w:r>
          </w:p>
        </w:tc>
        <w:tc>
          <w:tcPr>
            <w:tcW w:w="100" w:type="dxa"/>
            <w:vAlign w:val="bottom"/>
          </w:tcPr>
          <w:p>
            <w:pPr>
              <w:spacing w:after="0"/>
              <w:rPr>
                <w:sz w:val="13"/>
                <w:szCs w:val="13"/>
                <w:color w:val="auto"/>
              </w:rPr>
            </w:pPr>
          </w:p>
        </w:tc>
        <w:tc>
          <w:tcPr>
            <w:tcW w:w="1140" w:type="dxa"/>
            <w:vAlign w:val="bottom"/>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3-5</w:t>
            </w:r>
          </w:p>
        </w:tc>
        <w:tc>
          <w:tcPr>
            <w:tcW w:w="120" w:type="dxa"/>
            <w:vAlign w:val="bottom"/>
          </w:tcPr>
          <w:p>
            <w:pPr>
              <w:spacing w:after="0"/>
              <w:rPr>
                <w:sz w:val="13"/>
                <w:szCs w:val="13"/>
                <w:color w:val="auto"/>
              </w:rPr>
            </w:pPr>
          </w:p>
        </w:tc>
        <w:tc>
          <w:tcPr>
            <w:tcW w:w="1120" w:type="dxa"/>
            <w:vAlign w:val="bottom"/>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After</w:t>
            </w: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1 Year</w:t>
            </w:r>
          </w:p>
        </w:tc>
        <w:tc>
          <w:tcPr>
            <w:tcW w:w="12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1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29"/>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Water Utility Services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790,000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760,000</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term loans, Water Utility Services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221,295</w:t>
            </w: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17,020</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199,275</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Advances for construction, SJWC (1)</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44,406</w:t>
            </w:r>
          </w:p>
        </w:tc>
        <w:tc>
          <w:tcPr>
            <w:tcW w:w="0" w:type="dxa"/>
            <w:vAlign w:val="bottom"/>
          </w:tcPr>
          <w:p>
            <w:pPr>
              <w:spacing w:after="0"/>
              <w:rPr>
                <w:sz w:val="1"/>
                <w:szCs w:val="1"/>
                <w:color w:val="auto"/>
              </w:rPr>
            </w:pPr>
          </w:p>
        </w:tc>
      </w:tr>
      <w:tr>
        <w:trPr>
          <w:trHeight w:val="176"/>
        </w:trPr>
        <w:tc>
          <w:tcPr>
            <w:tcW w:w="5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California Pollution Control Financing Authority Revenue Bond,</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SJWC</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Connecticut Innovations Revenue Bonds, CWC</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22,050</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revolving fund loans, CWC</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revolving fund loans, MWC</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SJW Group</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560,000</w:t>
            </w: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310,000</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term loans, CTWS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w:t>
            </w:r>
          </w:p>
        </w:tc>
        <w:tc>
          <w:tcPr>
            <w:tcW w:w="0" w:type="dxa"/>
            <w:vAlign w:val="bottom"/>
          </w:tcPr>
          <w:p>
            <w:pPr>
              <w:spacing w:after="0"/>
              <w:rPr>
                <w:sz w:val="1"/>
                <w:szCs w:val="1"/>
                <w:color w:val="auto"/>
              </w:rPr>
            </w:pPr>
          </w:p>
        </w:tc>
      </w:tr>
      <w:tr>
        <w:trPr>
          <w:trHeight w:val="230"/>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Seller financing debt, TWC (2)</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25,722</w:t>
            </w:r>
          </w:p>
        </w:tc>
        <w:tc>
          <w:tcPr>
            <w:tcW w:w="0" w:type="dxa"/>
            <w:vAlign w:val="bottom"/>
          </w:tcPr>
          <w:p>
            <w:pPr>
              <w:spacing w:after="0"/>
              <w:rPr>
                <w:sz w:val="1"/>
                <w:szCs w:val="1"/>
                <w:color w:val="auto"/>
              </w:rPr>
            </w:pPr>
          </w:p>
        </w:tc>
      </w:tr>
      <w:tr>
        <w:trPr>
          <w:trHeight w:val="248"/>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cash obligation</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1,778,319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1,363,872</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Total interest on contractual obligations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8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1,207,854</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70,226</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137,185</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132,157</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868,286</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1" w:lineRule="exact"/>
        <w:rPr>
          <w:sz w:val="20"/>
          <w:szCs w:val="20"/>
          <w:color w:val="auto"/>
        </w:rPr>
      </w:pPr>
    </w:p>
    <w:p>
      <w:pPr>
        <w:ind w:left="660" w:right="60" w:hanging="652"/>
        <w:spacing w:after="0" w:line="259" w:lineRule="auto"/>
        <w:tabs>
          <w:tab w:leader="none" w:pos="35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advances for construction were $155,397 of which $64,920 was related to non-refundable advances for construction and $31,983 was related to advances which are refundable based on service connections made.</w:t>
      </w:r>
    </w:p>
    <w:p>
      <w:pPr>
        <w:ind w:left="660" w:right="120" w:hanging="652"/>
        <w:spacing w:after="0" w:line="283" w:lineRule="auto"/>
        <w:tabs>
          <w:tab w:leader="none" w:pos="321"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payments on the seller financing shown in the table above reflects management’s current estimate. The actual timing of payments will be based upon the actual quantities of groundwater produced from the acquired wells.</w:t>
      </w:r>
    </w:p>
    <w:p>
      <w:pPr>
        <w:spacing w:after="0" w:line="7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With regard to uncertain tax positions, no such amounts are reflected in the table above since we are unable to predict the timing of tax settlements as tax audits can involve complex issues and the resolution of those issues may span multiple years, particularly if subject to negotiation or litigation. For further discussion on uncertain tax positions, please see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of “Notes to Consolidated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Water Supply Agreements</w:t>
      </w:r>
    </w:p>
    <w:p>
      <w:pPr>
        <w:spacing w:after="0" w:line="1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SJWC purchases water from Valley Water under terms of a master contract expiring in 2051. Delivery schedules for purchased water are based on a contract year beginning July 1, and are negotiated every three years under terms of the master contract with Valley Water. For the years ended December 31, 2024, 2023 and 2022, SJWC purchased from Valley Water 17.0 billion gallons ($117,698), 18.3 billion gallons ($111,173) and 18.2 billion gallons ($96,793), respectively, of contract water. On June 12, 2024, Valley Water Board of Directors approved treated water deliveries reflecting the contractual delivery schedule reduced by 23% through June 30, 2025. Based on current prices and estimated deliveries, SJWC is committed to purchase from Valley Water a minimum of 90% of the reduced delivery schedule, or 18.9 billion gallons ($135,975) of water at the current contract water rate of $7.19 million per billion gallons in the year ending December 31, 2025. Additionally, SJWC purchases non-contract water from Valley Water on an “as needed” basis if the water supply is available. The contract water rates for SJWC are determined by Valley Water. These rates are adjusted periodically and coincide with Valley Water’s fiscal year, which ends on June 30. The contract water rate for Valley Water’s fiscal years 2025, 2024 and 2023 was $7.194 million, $6.411 million, and $5.644 million per billion gallons, respectively. The contractual cost of the groundwater extraction charge for water pumped from the ground basin was $6.840 million, $6.058 million, and $5.290 million per billion gallons for Valley Water’s fiscal years 2025, 2024 and 2023, respectively.</w:t>
      </w:r>
    </w:p>
    <w:p>
      <w:pPr>
        <w:spacing w:after="0" w:line="30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SJWC also pumps water from the local groundwater basin. There are no delivery schedules or contractual obligations associated with the purchase of groundwater. Valley Water determines the groundwater extraction charge and it is applied on a per unit basis. In addition to the Valley Water groundwater extraction charge, SJWC also incurs power costs to pump the groundwater from the basin.</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CWC has an agreement with RWA to purchase water. The agreement was signed in April 2006 and became effective upon the receipt of all regulatory approvals in 2008 and will remain in effect for a minimum of 50 years upon becoming effective. CWC will pay RWA $75 per year as part of a capacity agreement, for a total of 14 years, starting on the effective date of the agreement. In addition, CWC has the option, but is under no obligation, to purchase up to one million gallons of water per day at the then current wholesale rates per the agreement ($3.1 million per billion gallons as of December 31, 2024). CWC has an agreement with the MDC to purchase water from MDC to serve the Unionville system. The agreement became effective on October 6, 2000 and has a term of 50 years beginning May 19, 2003, the date the water supply facilities related to the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agreement were placed in service. CWC has agreed to purchase 0.28 billion gallons of water annually from MDC. The rate charged by the MDC at December 31, 2024 were three dollars and eighty cents per hundred cubic feet.</w:t>
      </w:r>
    </w:p>
    <w:p>
      <w:pPr>
        <w:spacing w:after="0" w:line="5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MWC has an agreement with the Kennebec Water District for potable water service. The agreement has been in place for 20 years and was extended on November 7, 2020 for a new term of up to 20 years. MWC guarantees a minimum consumption of 50 million gallons of water annually. Water sales to MWC are billed at a wholesale discount of twenty cents per hundred cubic feet of water below Kennebec Water District's tariffed rates. The current tariff rate was one dollar and fifty-one cents per hundred cubic feet as of December 31, 2024.</w:t>
      </w:r>
    </w:p>
    <w:p>
      <w:pPr>
        <w:spacing w:after="0" w:line="7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TWC has long-term contracts with the GBRA. The agreements expire in 2037, 2040, 2044 and 2050. The agreements, which are take-or-pay contracts, provide TWC with 7,602 acre-feet per year of water supply from Canyon Lake. The water rate may be adjusted by GBRA at any time, provided GBRA gives TWC a 60-day written notice on the proposed adjustment. TWC also has raw water supply agreements with the LCRA and WTCPUA expiring in 2059 and 2046, respectively, for 350 acre-feet of water per each agreement per year from Lake Austin and the Colorado River, respectively, at prices that may be adjusted periodically by the agencies.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Benefit Arrangements</w:t>
      </w:r>
    </w:p>
    <w:p>
      <w:pPr>
        <w:spacing w:after="0" w:line="1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SJWC and CTWS sponsor noncontributory defined benefit pension plans and provide health care and life insurance benefits for retired employees. In 2024, SJWC and CTWS contributed $8,007 and $7 to the pension plans and other postretirement benefit plans, respectively. In 2025, SJWC and CTWS expect to make required and discretionary cash contributions of up to $6,680 to the pension plans and other postretirement benefit plans. The amount of required contributions for years thereafter is not actuarially determinable.</w:t>
      </w:r>
    </w:p>
    <w:p>
      <w:pPr>
        <w:spacing w:after="0" w:line="7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SJWC’s other benefit obligations include employees’ and directors’ postretirement benefits, an Executive Supplemental Retirement Plan, Cash Balance Executive Supplemental Retirement Plan, Special Deferral Election Plan and Deferral Election Program for non-employee directors. Under these benefit plans, SJWC is committed to pay approximately $2,176 annually to former officers and directors. Future payments may fluctuate depending on the life span of the retirees and as current officers and executives retire.</w:t>
      </w:r>
    </w:p>
    <w:p>
      <w:pPr>
        <w:spacing w:after="0" w:line="72"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CWC’s other benefit obligations include employees’ postretirement benefits, supplemental executive retirement agreements and deferred compensation agreements and plan. Future payments may fluctuate depending on the contribution rates of employees into the deferred compensation plan and the life span of the retirees and as current officers and executives retire. Under these benefit plans, CWC is committed to pay approximately $1,332, annually to former officers and directors.</w:t>
      </w:r>
    </w:p>
    <w:p>
      <w:pPr>
        <w:spacing w:after="0" w:line="1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 and New Accounting Pronouncements</w:t>
      </w:r>
    </w:p>
    <w:p>
      <w:pPr>
        <w:spacing w:after="0" w:line="12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of “Notes to Consolidated Financial Statements” for a discussion of recently adopted accounting pronouncements and new accounting pronouncements issued and pending adoption.</w:t>
      </w:r>
    </w:p>
    <w:p>
      <w:pPr>
        <w:spacing w:after="0" w:line="29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SJW Group is subject to market risks in the normal course of business, including changes in interest rates, pension plan asset values, and equity prices. The exposure to changes in interest rates can result from the issuance of debt and short-term funds obtained through the company’s variable rate lines of credit. SJW Group’s subsidiaries sponsor noncontributory pension and other postretirement plans for its employees. Pension and other postretirement costs and the funded status of the plans may be affected by a number of factors including the discount rate, mortality rates of plan participants, investment returns on plan assets, and pension reform legislation.</w:t>
      </w:r>
    </w:p>
    <w:p>
      <w:pPr>
        <w:spacing w:after="0" w:line="35"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SJW Group has no derivative financial instruments, financial instruments with significant off-balance sheet risks, or financial instruments with concentrations of credit risk.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SJW Group</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SJW Group and subsidiaries (the “Company”) as of December 31, 2024 and 2023, the related consolidated statements of comprehensive income, changes in stockholders’ equity, and cash flows, for each of the three years in the period ended December 31, 2024, and the related notes and the schedules listed in the Index at Item 15 (collectively referred to as the “financial statements”). We also have audited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 (COSO).</w:t>
      </w:r>
    </w:p>
    <w:p>
      <w:pPr>
        <w:spacing w:after="0" w:line="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(“generally accepted accounting principles”).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 – Integrated Framework (2013) </w:t>
      </w:r>
      <w:r>
        <w:rPr>
          <w:rFonts w:ascii="Times New Roman" w:cs="Times New Roman" w:eastAsia="Times New Roman" w:hAnsi="Times New Roman"/>
          <w:sz w:val="18"/>
          <w:szCs w:val="18"/>
          <w:color w:val="auto"/>
        </w:rPr>
        <w:t>issued by COSO.</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71" w:lineRule="exact"/>
        <w:rPr>
          <w:sz w:val="20"/>
          <w:szCs w:val="20"/>
          <w:color w:val="auto"/>
        </w:rPr>
      </w:pPr>
    </w:p>
    <w:p>
      <w:pPr>
        <w:ind w:right="350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Impact of Rate Regulation on the Financial Statements — Refer to Note 3 to the financial statements </w:t>
      </w:r>
      <w:r>
        <w:rPr>
          <w:rFonts w:ascii="Times New Roman" w:cs="Times New Roman" w:eastAsia="Times New Roman" w:hAnsi="Times New Roman"/>
          <w:sz w:val="18"/>
          <w:szCs w:val="18"/>
          <w:i w:val="1"/>
          <w:iCs w:val="1"/>
          <w:color w:val="auto"/>
        </w:rPr>
        <w:t>Critical Audit Matter Description</w:t>
      </w:r>
    </w:p>
    <w:p>
      <w:pPr>
        <w:spacing w:after="0" w:line="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is subject to rate regulation by state utility regulatory agencies (the “Commissions”), which have jurisdiction with respect to the rates of the Company’s water and wastewater services. Management has determined it meets the requirements under generally accepted accounting principles to prepare its financial statements applying the specialized rules to account for the effects of cost-based rate regulation. Accounting for the economics of rate regulation impacts multiple financial statement line items and disclosures, such as depreciable utility plant; regulatory assets and liabilities; operating revenues; operation and maintenance expense; and depreciation expense.</w:t>
      </w:r>
    </w:p>
    <w:p>
      <w:pPr>
        <w:spacing w:after="0" w:line="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Commissions establish rates for the purpose of permitting the recovery of the cost of service and a return on investment. The Company’s rates are subject to regulatory ratemaking processes. The Company records deferred costs and credits on the consolidated balance sheets as regulatory assets and liabilities when it is probable that these costs and credits will be recognized in the ratemaking process in a period different from when the costs and credits are incurred. Accounting for such costs and credits is based on management’s judgment and prior historical ratemaking practices, and it occurs when management determines that it is probable that these costs and credits will be recognized in the future revenue of the Company through the ratemaking process.</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identified the impact of rate regulation as a critical audit matter due to the significant judgments that underlie the Company’s financial statement line items and disclosure impacted by rate regulation and the high degree of subjectivity involved in assessing the impact of regulatory decisions on the financial statements. Management judgments include assessing the probability of (1) recovery in future rates of incurred costs and (2) the requirement to refund amounts to customers. Given that management’s accounting judgements are based on consideration of evidence, such as regulatory rules and decisions, past practice, and the uncertain outcomes of future regulatory decisions, auditing these judgements required specialized knowledge of accounting for rate regulation and the rate setting process due to its inherent complexities and pervasive impact on the financial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impact of rate regulation include the following, among others:</w:t>
      </w:r>
    </w:p>
    <w:p>
      <w:pPr>
        <w:spacing w:after="0" w:line="117" w:lineRule="exact"/>
        <w:rPr>
          <w:sz w:val="20"/>
          <w:szCs w:val="20"/>
          <w:color w:val="auto"/>
        </w:rPr>
      </w:pPr>
    </w:p>
    <w:p>
      <w:pPr>
        <w:ind w:left="660" w:right="60" w:hanging="328"/>
        <w:spacing w:after="0" w:line="258"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management’s controls over the initial recognition of amounts as utility plant and regulatory assets or liabilities and the evaluation of the probability of (1) the recovery in future rates of costs incurred as utility plant and deferred as regulatory assets, and (2) a refund or a future reduction in rates that should be reported as regulatory liabilities. We also tested the effectiveness of management’s controls over the monitoring and evaluation of regulatory developments that may affect the probability of recovering costs in future rates or of a future reduction in rates, and controls over relevant computations impacting certain regulatory asset or liability balances.</w:t>
      </w:r>
    </w:p>
    <w:p>
      <w:pPr>
        <w:spacing w:after="0" w:line="75"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read regulatory orders issued by the Commissions to the Company, regulatory statutes, and other publicly available information to evaluate management’s determination of the accounting impacts of any new or revised regulatory decisions and their impact on measurement of related regulatory assets and liabilities.</w:t>
      </w:r>
    </w:p>
    <w:p>
      <w:pPr>
        <w:spacing w:after="0" w:line="67"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supporting documentation from management regarding the evidence, such as regulatory rules and decisions, past practices, and other facts and circumstances, used in the measurement of regulatory assets and liabilities for compliance with the related orders. We reconciled the underlying data or inputs used in the measurement to rate decisions approved by the Commissions and tested the mathematical accuracy of the calculations.</w:t>
      </w:r>
    </w:p>
    <w:p>
      <w:pPr>
        <w:spacing w:after="0" w:line="7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analysis from management regarding probability of recovery for regulatory assets or refund or future reduction in rates for regulatory liabilities not yet addressed in a regulatory order to assess management’s assertion that amounts are probable of recovery or a future reduction in rates.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Company’s disclosures related to the impacts of rate regulation, including the balances recorded, and regulatory developments, were appropriate and consistent with the information obtained in our procedures.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16"/>
                <w:szCs w:val="16"/>
                <w:color w:val="auto"/>
              </w:rPr>
            </w:pPr>
          </w:p>
        </w:tc>
      </w:tr>
      <w:tr>
        <w:trPr>
          <w:trHeight w:val="23"/>
        </w:trPr>
        <w:tc>
          <w:tcPr>
            <w:tcW w:w="8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0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Utility plant:</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Land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41,415</w:t>
            </w:r>
          </w:p>
        </w:tc>
      </w:tr>
      <w:tr>
        <w:trPr>
          <w:trHeight w:val="229"/>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Depreciable plant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4,249,314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3,967,911</w:t>
            </w:r>
          </w:p>
        </w:tc>
      </w:tr>
      <w:tr>
        <w:trPr>
          <w:trHeight w:val="22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179,486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106,980</w:t>
            </w:r>
          </w:p>
        </w:tc>
      </w:tr>
      <w:tr>
        <w:trPr>
          <w:trHeight w:val="230"/>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51,604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35,946</w:t>
            </w:r>
          </w:p>
        </w:tc>
      </w:tr>
      <w:tr>
        <w:trPr>
          <w:trHeight w:val="223"/>
        </w:trPr>
        <w:tc>
          <w:tcPr>
            <w:tcW w:w="8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utility plant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4,525,061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4,152,252</w:t>
            </w:r>
          </w:p>
        </w:tc>
      </w:tr>
      <w:tr>
        <w:trPr>
          <w:trHeight w:val="230"/>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1,036,450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981,598</w:t>
            </w:r>
          </w:p>
        </w:tc>
      </w:tr>
      <w:tr>
        <w:trPr>
          <w:trHeight w:val="223"/>
        </w:trPr>
        <w:tc>
          <w:tcPr>
            <w:tcW w:w="8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utility plant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3,488,611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3,170,654</w:t>
            </w:r>
          </w:p>
        </w:tc>
      </w:tr>
      <w:tr>
        <w:trPr>
          <w:trHeight w:val="250"/>
        </w:trPr>
        <w:tc>
          <w:tcPr>
            <w:tcW w:w="8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Nonutility properties and real estate investments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13,350</w:t>
            </w:r>
          </w:p>
        </w:tc>
      </w:tr>
      <w:tr>
        <w:trPr>
          <w:trHeight w:val="22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3"/>
        </w:trPr>
        <w:tc>
          <w:tcPr>
            <w:tcW w:w="8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nonutility properties and real estate investments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13,156</w:t>
            </w:r>
          </w:p>
        </w:tc>
      </w:tr>
      <w:tr>
        <w:trPr>
          <w:trHeight w:val="236"/>
        </w:trPr>
        <w:tc>
          <w:tcPr>
            <w:tcW w:w="8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9,723</w:t>
            </w: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75"/>
        </w:trPr>
        <w:tc>
          <w:tcPr>
            <w:tcW w:w="80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Customers, net of allowances for uncollectible accounts of $1,172 and $6,551 in 2024 and 2023,</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68,679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67,870</w:t>
            </w:r>
          </w:p>
        </w:tc>
      </w:tr>
      <w:tr>
        <w:trPr>
          <w:trHeight w:val="23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w:t>
            </w:r>
          </w:p>
        </w:tc>
      </w:tr>
      <w:tr>
        <w:trPr>
          <w:trHeight w:val="230"/>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w:t>
            </w: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unbilled revenue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49,543</w:t>
            </w:r>
          </w:p>
        </w:tc>
      </w:tr>
      <w:tr>
        <w:trPr>
          <w:trHeight w:val="229"/>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 held for sale</w:t>
            </w:r>
          </w:p>
        </w:tc>
        <w:tc>
          <w:tcPr>
            <w:tcW w:w="360" w:type="dxa"/>
            <w:vAlign w:val="bottom"/>
          </w:tcPr>
          <w:p>
            <w:pPr>
              <w:spacing w:after="0"/>
              <w:rPr>
                <w:sz w:val="19"/>
                <w:szCs w:val="19"/>
                <w:color w:val="auto"/>
              </w:rPr>
            </w:pPr>
          </w:p>
        </w:tc>
        <w:tc>
          <w:tcPr>
            <w:tcW w:w="17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40,850</w:t>
            </w: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11,110</w:t>
            </w: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regulatory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w:t>
            </w: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w:t>
            </w:r>
          </w:p>
        </w:tc>
      </w:tr>
      <w:tr>
        <w:trPr>
          <w:trHeight w:val="223"/>
        </w:trPr>
        <w:tc>
          <w:tcPr>
            <w:tcW w:w="80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190,714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198,389</w:t>
            </w:r>
          </w:p>
        </w:tc>
      </w:tr>
      <w:tr>
        <w:trPr>
          <w:trHeight w:val="21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Regulatory assets, less current portion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224,055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235,910</w:t>
            </w: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16,411</w:t>
            </w: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Postretirement benefit plans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66,422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33,794</w:t>
            </w: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intangible asset</w:t>
            </w:r>
          </w:p>
        </w:tc>
        <w:tc>
          <w:tcPr>
            <w:tcW w:w="36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28,386</w:t>
            </w:r>
          </w:p>
        </w:tc>
      </w:tr>
      <w:tr>
        <w:trPr>
          <w:trHeight w:val="229"/>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640,311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640,311</w:t>
            </w: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8,056</w:t>
            </w:r>
          </w:p>
        </w:tc>
      </w:tr>
      <w:tr>
        <w:trPr>
          <w:trHeight w:val="223"/>
        </w:trPr>
        <w:tc>
          <w:tcPr>
            <w:tcW w:w="80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other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977,768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962,868</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4,658,309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4,345,067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0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Capitalization and Liabilities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Capitalization:</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84"/>
        </w:trPr>
        <w:tc>
          <w:tcPr>
            <w:tcW w:w="804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Common stock, $0.001 par value; authorized 70,000,000 shares in 2024 and 2023; issued and outstanding</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4"/>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33,629,169 shares in 2024 and 32,023,004 shares in 2023</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827,796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736,191</w:t>
            </w: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537,184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495,383</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1,366,974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1,233,397</w:t>
            </w: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1,706,904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1,526,699</w:t>
            </w:r>
          </w:p>
        </w:tc>
      </w:tr>
      <w:tr>
        <w:trPr>
          <w:trHeight w:val="223"/>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capitalization</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3,073,878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2,760,096</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Lines of credit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119,124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171,500</w:t>
            </w: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48,975</w:t>
            </w: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groundwater extraction charges, purchased water and power</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24,479</w:t>
            </w: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46,121</w:t>
            </w: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interest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15,816</w:t>
            </w: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payroll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12,229</w:t>
            </w: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regulatory liabilities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w:t>
            </w: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20,795</w:t>
            </w:r>
          </w:p>
        </w:tc>
      </w:tr>
      <w:tr>
        <w:trPr>
          <w:trHeight w:val="223"/>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261,173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342,974</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276,043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238,528</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Advances for construction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155,397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146,582</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Contributions in aid of construction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340,738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326,451</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Postretirement benefit plans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46,836</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Regulatory liabilities, less current portion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483,719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461,108</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22,492</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capitalization and liabilities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4,658,309</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4,345,067</w:t>
            </w: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Years ended December 31 (in thousands, except share and per share data)</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52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52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748,439</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670,363</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620,698</w:t>
            </w:r>
          </w:p>
        </w:tc>
      </w:tr>
      <w:tr>
        <w:trPr>
          <w:trHeight w:val="20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Production Expenses: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Purchased water</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158,568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135,982</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122,334</w:t>
            </w:r>
          </w:p>
        </w:tc>
      </w:tr>
      <w:tr>
        <w:trPr>
          <w:trHeight w:val="229"/>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Power</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8,889</w:t>
            </w:r>
          </w:p>
        </w:tc>
      </w:tr>
      <w:tr>
        <w:trPr>
          <w:trHeight w:val="230"/>
        </w:trPr>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Groundwater extraction charges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73,146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62,980</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56,158</w:t>
            </w:r>
          </w:p>
        </w:tc>
      </w:tr>
      <w:tr>
        <w:trPr>
          <w:trHeight w:val="229"/>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production expenses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48,851</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47,636</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45,409</w:t>
            </w:r>
          </w:p>
        </w:tc>
      </w:tr>
      <w:tr>
        <w:trPr>
          <w:trHeight w:val="223"/>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production expenses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292,022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256,200</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232,790</w:t>
            </w:r>
          </w:p>
        </w:tc>
      </w:tr>
      <w:tr>
        <w:trPr>
          <w:trHeight w:val="22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105,830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98,656</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95,404</w:t>
            </w:r>
          </w:p>
        </w:tc>
      </w:tr>
      <w:tr>
        <w:trPr>
          <w:trHeight w:val="229"/>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30,734</w:t>
            </w:r>
          </w:p>
        </w:tc>
      </w:tr>
      <w:tr>
        <w:trPr>
          <w:trHeight w:val="23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taxes and other non-income taxes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32,572</w:t>
            </w:r>
          </w:p>
        </w:tc>
      </w:tr>
      <w:tr>
        <w:trPr>
          <w:trHeight w:val="229"/>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112,855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105,868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104,417</w:t>
            </w:r>
          </w:p>
        </w:tc>
      </w:tr>
      <w:tr>
        <w:trPr>
          <w:trHeight w:val="23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sale of nonutility properties</w:t>
            </w: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w:t>
            </w:r>
          </w:p>
        </w:tc>
      </w:tr>
      <w:tr>
        <w:trPr>
          <w:trHeight w:val="223"/>
        </w:trPr>
        <w:tc>
          <w:tcPr>
            <w:tcW w:w="6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expense</w:t>
            </w:r>
          </w:p>
        </w:tc>
        <w:tc>
          <w:tcPr>
            <w:tcW w:w="3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577,936</w:t>
            </w:r>
          </w:p>
        </w:tc>
        <w:tc>
          <w:tcPr>
            <w:tcW w:w="100" w:type="dxa"/>
            <w:vAlign w:val="bottom"/>
            <w:tcBorders>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520,928</w:t>
            </w:r>
          </w:p>
        </w:tc>
        <w:tc>
          <w:tcPr>
            <w:tcW w:w="120" w:type="dxa"/>
            <w:vAlign w:val="bottom"/>
            <w:tcBorders>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489,720</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170,503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149,435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130,978</w:t>
            </w: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on long-term debt and other interest expense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(58,062)</w:t>
            </w:r>
          </w:p>
        </w:tc>
      </w:tr>
      <w:tr>
        <w:trPr>
          <w:trHeight w:val="230"/>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non-service credit (cost)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w:t>
            </w:r>
          </w:p>
        </w:tc>
      </w:tr>
      <w:tr>
        <w:trPr>
          <w:trHeight w:val="22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8,882</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w:t>
            </w:r>
          </w:p>
        </w:tc>
      </w:tr>
      <w:tr>
        <w:trPr>
          <w:trHeight w:val="223"/>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102,937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90,943</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82,324</w:t>
            </w:r>
          </w:p>
        </w:tc>
      </w:tr>
      <w:tr>
        <w:trPr>
          <w:trHeight w:val="22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8,496</w:t>
            </w:r>
          </w:p>
        </w:tc>
      </w:tr>
      <w:tr>
        <w:trPr>
          <w:trHeight w:val="223"/>
        </w:trPr>
        <w:tc>
          <w:tcPr>
            <w:tcW w:w="6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93,967</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84,987</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73,828</w:t>
            </w:r>
          </w:p>
        </w:tc>
      </w:tr>
      <w:tr>
        <w:trPr>
          <w:trHeight w:val="21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175"/>
        </w:trPr>
        <w:tc>
          <w:tcPr>
            <w:tcW w:w="64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(loss) gain on investment, net of taxes of $(163) in 2024, $166 in 2023 and</w:t>
            </w: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43"/>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$(188) in 2022</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175"/>
        </w:trPr>
        <w:tc>
          <w:tcPr>
            <w:tcW w:w="64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Adjustment to pension benefit plans, net of taxes of $0 in 2024, $80 in 2023 and $793</w:t>
            </w: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43"/>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 2022</w:t>
            </w:r>
          </w:p>
        </w:tc>
        <w:tc>
          <w:tcPr>
            <w:tcW w:w="3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r>
      <w:tr>
        <w:trPr>
          <w:trHeight w:val="223"/>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94,136</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85,301</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75,468</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7"/>
        </w:trPr>
        <w:tc>
          <w:tcPr>
            <w:tcW w:w="6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share</w:t>
            </w: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29"/>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3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32,701,292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31,575,197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30,304,557</w:t>
            </w:r>
          </w:p>
        </w:tc>
      </w:tr>
      <w:tr>
        <w:trPr>
          <w:trHeight w:val="234"/>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32,779,573</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31,663,274</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30,423,735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STOCKHOLDERS’ EQUITY</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ectPr>
          <w:pgSz w:w="11900" w:h="16838" w:orient="portrait"/>
          <w:cols w:equalWidth="0" w:num="1">
            <w:col w:w="11240"/>
          </w:cols>
          <w:pgMar w:left="320" w:top="121" w:right="339" w:bottom="1440" w:gutter="0" w:footer="0" w:header="0"/>
        </w:sect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940" w:type="dxa"/>
            <w:vAlign w:val="bottom"/>
          </w:tcPr>
          <w:p>
            <w:pPr>
              <w:spacing w:after="0"/>
              <w:rPr>
                <w:sz w:val="16"/>
                <w:szCs w:val="16"/>
                <w:color w:val="auto"/>
              </w:rPr>
            </w:pPr>
          </w:p>
        </w:tc>
        <w:tc>
          <w:tcPr>
            <w:tcW w:w="2680" w:type="dxa"/>
            <w:vAlign w:val="bottom"/>
            <w:gridSpan w:val="4"/>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94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6"/>
                <w:szCs w:val="16"/>
                <w:color w:val="auto"/>
              </w:rPr>
            </w:pPr>
          </w:p>
        </w:tc>
        <w:tc>
          <w:tcPr>
            <w:tcW w:w="104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4"/>
        </w:trPr>
        <w:tc>
          <w:tcPr>
            <w:tcW w:w="294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December 31, 2021</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30,181,348</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Unrealized loss on investment, net of</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effect of $(188)</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Adjustment to pension benefit plans,</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of taxes of $793</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Issuance of restricted and deferred</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units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issuance, net of costs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paid ($1.44 per share)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December 31, 2022</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30,801,912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Unrealized gain on investment, net of</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effect of $166</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Adjustment to pension benefit plans,</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of taxes of $80</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Issuance of restricted and deferred</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units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issuance, net of costs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1,119,806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paid ($1.52 per share)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December 31, 2023</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32,023,004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Unrealized loss on investment, net of</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effect of $(163)</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Adjustment to pension benefit plans,</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of taxes of $0</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Issuance of restricted and deferred</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units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issuance, net of costs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1,522,289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4"/>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paid ($1.60 per share)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December 31, 2024</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33,629,169</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-5228590</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-4928235</wp:posOffset>
            </wp:positionV>
            <wp:extent cx="7132320" cy="2660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-4396740</wp:posOffset>
            </wp:positionV>
            <wp:extent cx="713232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-3985260</wp:posOffset>
            </wp:positionV>
            <wp:extent cx="71323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-3693795</wp:posOffset>
            </wp:positionV>
            <wp:extent cx="7132320"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-3394075</wp:posOffset>
            </wp:positionV>
            <wp:extent cx="713232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-2982595</wp:posOffset>
            </wp:positionV>
            <wp:extent cx="7132320" cy="2660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-2571115</wp:posOffset>
            </wp:positionV>
            <wp:extent cx="7132320" cy="265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-2159635</wp:posOffset>
            </wp:positionV>
            <wp:extent cx="71323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-1868170</wp:posOffset>
            </wp:positionV>
            <wp:extent cx="71323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-1567815</wp:posOffset>
            </wp:positionV>
            <wp:extent cx="7132320" cy="265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-1036320</wp:posOffset>
            </wp:positionV>
            <wp:extent cx="713232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-624840</wp:posOffset>
            </wp:positionV>
            <wp:extent cx="713232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400" w:type="dxa"/>
            <w:vAlign w:val="bottom"/>
            <w:gridSpan w:val="2"/>
            <w:vMerge w:val="continue"/>
          </w:tcPr>
          <w:p>
            <w:pPr>
              <w:spacing w:after="0"/>
              <w:rPr>
                <w:sz w:val="12"/>
                <w:szCs w:val="12"/>
                <w:color w:val="auto"/>
              </w:rPr>
            </w:pPr>
          </w:p>
        </w:tc>
        <w:tc>
          <w:tcPr>
            <w:tcW w:w="13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380" w:type="dxa"/>
            <w:vAlign w:val="bottom"/>
            <w:gridSpan w:val="2"/>
            <w:vMerge w:val="continue"/>
          </w:tcPr>
          <w:p>
            <w:pPr>
              <w:spacing w:after="0"/>
              <w:rPr>
                <w:sz w:val="12"/>
                <w:szCs w:val="12"/>
                <w:color w:val="auto"/>
              </w:rPr>
            </w:pPr>
          </w:p>
        </w:tc>
        <w:tc>
          <w:tcPr>
            <w:tcW w:w="14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3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606,392</w:t>
            </w:r>
          </w:p>
        </w:tc>
        <w:tc>
          <w:tcPr>
            <w:tcW w:w="12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428,260</w:t>
            </w:r>
          </w:p>
        </w:tc>
        <w:tc>
          <w:tcPr>
            <w:tcW w:w="1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1,034,519</w:t>
            </w:r>
          </w:p>
        </w:tc>
        <w:tc>
          <w:tcPr>
            <w:tcW w:w="0" w:type="dxa"/>
            <w:vAlign w:val="bottom"/>
          </w:tcPr>
          <w:p>
            <w:pPr>
              <w:spacing w:after="0"/>
              <w:rPr>
                <w:sz w:val="1"/>
                <w:szCs w:val="1"/>
                <w:color w:val="auto"/>
              </w:rPr>
            </w:pPr>
          </w:p>
        </w:tc>
      </w:tr>
      <w:tr>
        <w:trPr>
          <w:trHeight w:val="234"/>
        </w:trPr>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73,828</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73,828</w:t>
            </w:r>
          </w:p>
        </w:tc>
        <w:tc>
          <w:tcPr>
            <w:tcW w:w="0" w:type="dxa"/>
            <w:vAlign w:val="bottom"/>
          </w:tcPr>
          <w:p>
            <w:pPr>
              <w:spacing w:after="0"/>
              <w:rPr>
                <w:sz w:val="1"/>
                <w:szCs w:val="1"/>
                <w:color w:val="auto"/>
              </w:rPr>
            </w:pPr>
          </w:p>
        </w:tc>
      </w:tr>
      <w:tr>
        <w:trPr>
          <w:trHeight w:val="418"/>
        </w:trPr>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414"/>
        </w:trPr>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0" w:type="dxa"/>
            <w:vAlign w:val="bottom"/>
          </w:tcPr>
          <w:p>
            <w:pPr>
              <w:spacing w:after="0"/>
              <w:rPr>
                <w:sz w:val="1"/>
                <w:szCs w:val="1"/>
                <w:color w:val="auto"/>
              </w:rPr>
            </w:pPr>
          </w:p>
        </w:tc>
      </w:tr>
      <w:tr>
        <w:trPr>
          <w:trHeight w:val="234"/>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0" w:type="dxa"/>
            <w:vAlign w:val="bottom"/>
          </w:tcPr>
          <w:p>
            <w:pPr>
              <w:spacing w:after="0"/>
              <w:rPr>
                <w:sz w:val="1"/>
                <w:szCs w:val="1"/>
                <w:color w:val="auto"/>
              </w:rPr>
            </w:pPr>
          </w:p>
        </w:tc>
      </w:tr>
      <w:tr>
        <w:trPr>
          <w:trHeight w:val="414"/>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2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0" w:type="dxa"/>
            <w:vAlign w:val="bottom"/>
          </w:tcPr>
          <w:p>
            <w:pPr>
              <w:spacing w:after="0"/>
              <w:rPr>
                <w:sz w:val="1"/>
                <w:szCs w:val="1"/>
                <w:color w:val="auto"/>
              </w:rPr>
            </w:pPr>
          </w:p>
        </w:tc>
      </w:tr>
      <w:tr>
        <w:trPr>
          <w:trHeight w:val="230"/>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0" w:type="dxa"/>
            <w:vAlign w:val="bottom"/>
          </w:tcPr>
          <w:p>
            <w:pPr>
              <w:spacing w:after="0"/>
              <w:rPr>
                <w:sz w:val="1"/>
                <w:szCs w:val="1"/>
                <w:color w:val="auto"/>
              </w:rPr>
            </w:pPr>
          </w:p>
        </w:tc>
      </w:tr>
      <w:tr>
        <w:trPr>
          <w:trHeight w:val="229"/>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39,084</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39,085</w:t>
            </w:r>
          </w:p>
        </w:tc>
        <w:tc>
          <w:tcPr>
            <w:tcW w:w="0" w:type="dxa"/>
            <w:vAlign w:val="bottom"/>
          </w:tcPr>
          <w:p>
            <w:pPr>
              <w:spacing w:after="0"/>
              <w:rPr>
                <w:sz w:val="1"/>
                <w:szCs w:val="1"/>
                <w:color w:val="auto"/>
              </w:rPr>
            </w:pPr>
          </w:p>
        </w:tc>
      </w:tr>
      <w:tr>
        <w:trPr>
          <w:trHeight w:val="234"/>
        </w:trPr>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(43,582)</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(43,582)</w:t>
            </w:r>
          </w:p>
        </w:tc>
        <w:tc>
          <w:tcPr>
            <w:tcW w:w="0" w:type="dxa"/>
            <w:vAlign w:val="bottom"/>
          </w:tcPr>
          <w:p>
            <w:pPr>
              <w:spacing w:after="0"/>
              <w:rPr>
                <w:sz w:val="1"/>
                <w:szCs w:val="1"/>
                <w:color w:val="auto"/>
              </w:rPr>
            </w:pPr>
          </w:p>
        </w:tc>
      </w:tr>
      <w:tr>
        <w:trPr>
          <w:trHeight w:val="218"/>
        </w:trPr>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651,004</w:t>
            </w:r>
          </w:p>
        </w:tc>
        <w:tc>
          <w:tcPr>
            <w:tcW w:w="12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458,356</w:t>
            </w:r>
          </w:p>
        </w:tc>
        <w:tc>
          <w:tcPr>
            <w:tcW w:w="10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2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1,110,868</w:t>
            </w:r>
          </w:p>
        </w:tc>
        <w:tc>
          <w:tcPr>
            <w:tcW w:w="0" w:type="dxa"/>
            <w:vAlign w:val="bottom"/>
          </w:tcPr>
          <w:p>
            <w:pPr>
              <w:spacing w:after="0"/>
              <w:rPr>
                <w:sz w:val="1"/>
                <w:szCs w:val="1"/>
                <w:color w:val="auto"/>
              </w:rPr>
            </w:pPr>
          </w:p>
        </w:tc>
      </w:tr>
      <w:tr>
        <w:trPr>
          <w:trHeight w:val="234"/>
        </w:trPr>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84,987</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84,987</w:t>
            </w:r>
          </w:p>
        </w:tc>
        <w:tc>
          <w:tcPr>
            <w:tcW w:w="0" w:type="dxa"/>
            <w:vAlign w:val="bottom"/>
          </w:tcPr>
          <w:p>
            <w:pPr>
              <w:spacing w:after="0"/>
              <w:rPr>
                <w:sz w:val="1"/>
                <w:szCs w:val="1"/>
                <w:color w:val="auto"/>
              </w:rPr>
            </w:pPr>
          </w:p>
        </w:tc>
      </w:tr>
      <w:tr>
        <w:trPr>
          <w:trHeight w:val="418"/>
        </w:trPr>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414"/>
        </w:trPr>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34"/>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0" w:type="dxa"/>
            <w:vAlign w:val="bottom"/>
          </w:tcPr>
          <w:p>
            <w:pPr>
              <w:spacing w:after="0"/>
              <w:rPr>
                <w:sz w:val="1"/>
                <w:szCs w:val="1"/>
                <w:color w:val="auto"/>
              </w:rPr>
            </w:pPr>
          </w:p>
        </w:tc>
      </w:tr>
      <w:tr>
        <w:trPr>
          <w:trHeight w:val="414"/>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2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0" w:type="dxa"/>
            <w:vAlign w:val="bottom"/>
          </w:tcPr>
          <w:p>
            <w:pPr>
              <w:spacing w:after="0"/>
              <w:rPr>
                <w:sz w:val="1"/>
                <w:szCs w:val="1"/>
                <w:color w:val="auto"/>
              </w:rPr>
            </w:pPr>
          </w:p>
        </w:tc>
      </w:tr>
      <w:tr>
        <w:trPr>
          <w:trHeight w:val="229"/>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0" w:type="dxa"/>
            <w:vAlign w:val="bottom"/>
          </w:tcPr>
          <w:p>
            <w:pPr>
              <w:spacing w:after="0"/>
              <w:rPr>
                <w:sz w:val="1"/>
                <w:szCs w:val="1"/>
                <w:color w:val="auto"/>
              </w:rPr>
            </w:pPr>
          </w:p>
        </w:tc>
      </w:tr>
      <w:tr>
        <w:trPr>
          <w:trHeight w:val="230"/>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80,658</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80,659</w:t>
            </w:r>
          </w:p>
        </w:tc>
        <w:tc>
          <w:tcPr>
            <w:tcW w:w="0" w:type="dxa"/>
            <w:vAlign w:val="bottom"/>
          </w:tcPr>
          <w:p>
            <w:pPr>
              <w:spacing w:after="0"/>
              <w:rPr>
                <w:sz w:val="1"/>
                <w:szCs w:val="1"/>
                <w:color w:val="auto"/>
              </w:rPr>
            </w:pPr>
          </w:p>
        </w:tc>
      </w:tr>
      <w:tr>
        <w:trPr>
          <w:trHeight w:val="234"/>
        </w:trPr>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(47,905)</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(47,905)</w:t>
            </w:r>
          </w:p>
        </w:tc>
        <w:tc>
          <w:tcPr>
            <w:tcW w:w="0" w:type="dxa"/>
            <w:vAlign w:val="bottom"/>
          </w:tcPr>
          <w:p>
            <w:pPr>
              <w:spacing w:after="0"/>
              <w:rPr>
                <w:sz w:val="1"/>
                <w:szCs w:val="1"/>
                <w:color w:val="auto"/>
              </w:rPr>
            </w:pPr>
          </w:p>
        </w:tc>
      </w:tr>
      <w:tr>
        <w:trPr>
          <w:trHeight w:val="218"/>
        </w:trPr>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736,191</w:t>
            </w:r>
          </w:p>
        </w:tc>
        <w:tc>
          <w:tcPr>
            <w:tcW w:w="12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495,383</w:t>
            </w:r>
          </w:p>
        </w:tc>
        <w:tc>
          <w:tcPr>
            <w:tcW w:w="10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2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1,233,397</w:t>
            </w:r>
          </w:p>
        </w:tc>
        <w:tc>
          <w:tcPr>
            <w:tcW w:w="0" w:type="dxa"/>
            <w:vAlign w:val="bottom"/>
          </w:tcPr>
          <w:p>
            <w:pPr>
              <w:spacing w:after="0"/>
              <w:rPr>
                <w:sz w:val="1"/>
                <w:szCs w:val="1"/>
                <w:color w:val="auto"/>
              </w:rPr>
            </w:pPr>
          </w:p>
        </w:tc>
      </w:tr>
      <w:tr>
        <w:trPr>
          <w:trHeight w:val="234"/>
        </w:trPr>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93,967</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93,967</w:t>
            </w:r>
          </w:p>
        </w:tc>
        <w:tc>
          <w:tcPr>
            <w:tcW w:w="0" w:type="dxa"/>
            <w:vAlign w:val="bottom"/>
          </w:tcPr>
          <w:p>
            <w:pPr>
              <w:spacing w:after="0"/>
              <w:rPr>
                <w:sz w:val="1"/>
                <w:szCs w:val="1"/>
                <w:color w:val="auto"/>
              </w:rPr>
            </w:pPr>
          </w:p>
        </w:tc>
      </w:tr>
      <w:tr>
        <w:trPr>
          <w:trHeight w:val="418"/>
        </w:trPr>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414"/>
        </w:trPr>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34"/>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w:t>
            </w:r>
          </w:p>
        </w:tc>
        <w:tc>
          <w:tcPr>
            <w:tcW w:w="0" w:type="dxa"/>
            <w:vAlign w:val="bottom"/>
          </w:tcPr>
          <w:p>
            <w:pPr>
              <w:spacing w:after="0"/>
              <w:rPr>
                <w:sz w:val="1"/>
                <w:szCs w:val="1"/>
                <w:color w:val="auto"/>
              </w:rPr>
            </w:pPr>
          </w:p>
        </w:tc>
      </w:tr>
      <w:tr>
        <w:trPr>
          <w:trHeight w:val="414"/>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2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r>
        <w:trPr>
          <w:trHeight w:val="229"/>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0" w:type="dxa"/>
            <w:vAlign w:val="bottom"/>
          </w:tcPr>
          <w:p>
            <w:pPr>
              <w:spacing w:after="0"/>
              <w:rPr>
                <w:sz w:val="1"/>
                <w:szCs w:val="1"/>
                <w:color w:val="auto"/>
              </w:rPr>
            </w:pPr>
          </w:p>
        </w:tc>
      </w:tr>
      <w:tr>
        <w:trPr>
          <w:trHeight w:val="230"/>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85,006</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85,008</w:t>
            </w:r>
          </w:p>
        </w:tc>
        <w:tc>
          <w:tcPr>
            <w:tcW w:w="0" w:type="dxa"/>
            <w:vAlign w:val="bottom"/>
          </w:tcPr>
          <w:p>
            <w:pPr>
              <w:spacing w:after="0"/>
              <w:rPr>
                <w:sz w:val="1"/>
                <w:szCs w:val="1"/>
                <w:color w:val="auto"/>
              </w:rPr>
            </w:pPr>
          </w:p>
        </w:tc>
      </w:tr>
      <w:tr>
        <w:trPr>
          <w:trHeight w:val="234"/>
        </w:trPr>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(52,132)</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(52,132)</w:t>
            </w:r>
          </w:p>
        </w:tc>
        <w:tc>
          <w:tcPr>
            <w:tcW w:w="0" w:type="dxa"/>
            <w:vAlign w:val="bottom"/>
          </w:tcPr>
          <w:p>
            <w:pPr>
              <w:spacing w:after="0"/>
              <w:rPr>
                <w:sz w:val="1"/>
                <w:szCs w:val="1"/>
                <w:color w:val="auto"/>
              </w:rPr>
            </w:pPr>
          </w:p>
        </w:tc>
      </w:tr>
      <w:tr>
        <w:trPr>
          <w:trHeight w:val="223"/>
        </w:trPr>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827,796</w:t>
            </w: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537,184</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1,366,974</w:t>
            </w:r>
          </w:p>
        </w:tc>
        <w:tc>
          <w:tcPr>
            <w:tcW w:w="0" w:type="dxa"/>
            <w:vAlign w:val="bottom"/>
          </w:tcPr>
          <w:p>
            <w:pPr>
              <w:spacing w:after="0"/>
              <w:rPr>
                <w:sz w:val="1"/>
                <w:szCs w:val="1"/>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640" w:space="100"/>
            <w:col w:w="550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Years ended December 31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52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4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9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95"/>
        </w:trPr>
        <w:tc>
          <w:tcPr>
            <w:tcW w:w="6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93,967</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84,987</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73,828</w:t>
            </w:r>
          </w:p>
        </w:tc>
      </w:tr>
      <w:tr>
        <w:trPr>
          <w:trHeight w:val="21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195"/>
        </w:trPr>
        <w:tc>
          <w:tcPr>
            <w:tcW w:w="6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115,050</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108,138</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106,439</w:t>
            </w:r>
          </w:p>
        </w:tc>
      </w:tr>
      <w:tr>
        <w:trPr>
          <w:trHeight w:val="210"/>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10,355</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(8,510)</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(3,244)</w:t>
            </w:r>
          </w:p>
        </w:tc>
      </w:tr>
      <w:tr>
        <w:trPr>
          <w:trHeight w:val="195"/>
        </w:trPr>
        <w:tc>
          <w:tcPr>
            <w:tcW w:w="6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5,623</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4,647</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4,791</w:t>
            </w:r>
          </w:p>
        </w:tc>
      </w:tr>
      <w:tr>
        <w:trPr>
          <w:trHeight w:val="210"/>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Allowance for equity funds used during construction</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(2,362)</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(2,114)</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w:t>
            </w:r>
          </w:p>
        </w:tc>
      </w:tr>
      <w:tr>
        <w:trPr>
          <w:trHeight w:val="195"/>
        </w:trPr>
        <w:tc>
          <w:tcPr>
            <w:tcW w:w="6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Loss (gain) on sale of nonutility properties and other assets</w:t>
            </w:r>
          </w:p>
        </w:tc>
        <w:tc>
          <w:tcPr>
            <w:tcW w:w="9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572</w:t>
            </w:r>
          </w:p>
        </w:tc>
        <w:tc>
          <w:tcPr>
            <w:tcW w:w="100" w:type="dxa"/>
            <w:vAlign w:val="bottom"/>
          </w:tcPr>
          <w:p>
            <w:pPr>
              <w:spacing w:after="0"/>
              <w:rPr>
                <w:sz w:val="16"/>
                <w:szCs w:val="16"/>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(6,197)</w:t>
            </w:r>
          </w:p>
        </w:tc>
      </w:tr>
      <w:tr>
        <w:trPr>
          <w:trHeight w:val="21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acquired assets and liabilities: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195"/>
        </w:trPr>
        <w:tc>
          <w:tcPr>
            <w:tcW w:w="6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receivable and accrued unbilled revenue</w:t>
            </w:r>
          </w:p>
        </w:tc>
        <w:tc>
          <w:tcPr>
            <w:tcW w:w="9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(12,663)</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(10,869)</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(8,222)</w:t>
            </w:r>
          </w:p>
        </w:tc>
      </w:tr>
      <w:tr>
        <w:trPr>
          <w:trHeight w:val="210"/>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payable and other current liabilities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4,241</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w:t>
            </w:r>
          </w:p>
        </w:tc>
      </w:tr>
      <w:tr>
        <w:trPr>
          <w:trHeight w:val="195"/>
        </w:trPr>
        <w:tc>
          <w:tcPr>
            <w:tcW w:w="6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groundwater extraction charges, purchased water and power</w:t>
            </w:r>
          </w:p>
        </w:tc>
        <w:tc>
          <w:tcPr>
            <w:tcW w:w="9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639</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4,772</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2,507</w:t>
            </w:r>
          </w:p>
        </w:tc>
      </w:tr>
      <w:tr>
        <w:trPr>
          <w:trHeight w:val="210"/>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Tax receivable and payable, and other accrued taxes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(18,355)</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(22,415)</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(11,954)</w:t>
            </w:r>
          </w:p>
        </w:tc>
      </w:tr>
      <w:tr>
        <w:trPr>
          <w:trHeight w:val="195"/>
        </w:trPr>
        <w:tc>
          <w:tcPr>
            <w:tcW w:w="6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Postretirement benefits</w:t>
            </w:r>
          </w:p>
        </w:tc>
        <w:tc>
          <w:tcPr>
            <w:tcW w:w="9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(4,400)</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(7,108)</w:t>
            </w:r>
          </w:p>
        </w:tc>
      </w:tr>
      <w:tr>
        <w:trPr>
          <w:trHeight w:val="210"/>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Regulatory assets and liabilities excluding income tax temporary differences and postretirement benefits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12,278</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w:t>
            </w:r>
          </w:p>
        </w:tc>
      </w:tr>
      <w:tr>
        <w:trPr>
          <w:trHeight w:val="195"/>
        </w:trPr>
        <w:tc>
          <w:tcPr>
            <w:tcW w:w="6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Up-front service concession payments</w:t>
            </w:r>
          </w:p>
        </w:tc>
        <w:tc>
          <w:tcPr>
            <w:tcW w:w="9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(23,900)</w:t>
            </w:r>
          </w:p>
        </w:tc>
        <w:tc>
          <w:tcPr>
            <w:tcW w:w="100" w:type="dxa"/>
            <w:vAlign w:val="bottom"/>
          </w:tcPr>
          <w:p>
            <w:pPr>
              <w:spacing w:after="0"/>
              <w:rPr>
                <w:sz w:val="16"/>
                <w:szCs w:val="16"/>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noncurrent assets and liabilities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21,042</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20,756</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17,923</w:t>
            </w:r>
          </w:p>
        </w:tc>
      </w:tr>
      <w:tr>
        <w:trPr>
          <w:trHeight w:val="196"/>
        </w:trPr>
        <w:tc>
          <w:tcPr>
            <w:tcW w:w="6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 changes, net</w:t>
            </w:r>
          </w:p>
        </w:tc>
        <w:tc>
          <w:tcPr>
            <w:tcW w:w="9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7,529</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(1,339)</w:t>
            </w:r>
          </w:p>
        </w:tc>
      </w:tr>
      <w:tr>
        <w:trPr>
          <w:trHeight w:val="20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9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195,526</w:t>
            </w:r>
          </w:p>
        </w:tc>
        <w:tc>
          <w:tcPr>
            <w:tcW w:w="10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190,831</w:t>
            </w:r>
          </w:p>
        </w:tc>
        <w:tc>
          <w:tcPr>
            <w:tcW w:w="12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166,199</w:t>
            </w:r>
          </w:p>
        </w:tc>
      </w:tr>
      <w:tr>
        <w:trPr>
          <w:trHeight w:val="176"/>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0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Additions to utility plant:</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195"/>
        </w:trPr>
        <w:tc>
          <w:tcPr>
            <w:tcW w:w="6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Company-funded</w:t>
            </w:r>
          </w:p>
        </w:tc>
        <w:tc>
          <w:tcPr>
            <w:tcW w:w="9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(353,029)</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(271,772)</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(218,784)</w:t>
            </w:r>
          </w:p>
        </w:tc>
      </w:tr>
      <w:tr>
        <w:trPr>
          <w:trHeight w:val="210"/>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Contributions in aid of construction</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(24,179)</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(16,855)</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(22,935)</w:t>
            </w:r>
          </w:p>
        </w:tc>
      </w:tr>
      <w:tr>
        <w:trPr>
          <w:trHeight w:val="195"/>
        </w:trPr>
        <w:tc>
          <w:tcPr>
            <w:tcW w:w="6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Additions to nonutility assets and real estate investments</w:t>
            </w:r>
          </w:p>
        </w:tc>
        <w:tc>
          <w:tcPr>
            <w:tcW w:w="9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(24,244)</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r>
      <w:tr>
        <w:trPr>
          <w:trHeight w:val="21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for business acquisitions</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(7,537)</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r>
      <w:tr>
        <w:trPr>
          <w:trHeight w:val="195"/>
        </w:trPr>
        <w:tc>
          <w:tcPr>
            <w:tcW w:w="6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 to retire utility plant, net of salvage</w:t>
            </w:r>
          </w:p>
        </w:tc>
        <w:tc>
          <w:tcPr>
            <w:tcW w:w="9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(3,430)</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(2,097)</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(2,520)</w:t>
            </w:r>
          </w:p>
        </w:tc>
      </w:tr>
      <w:tr>
        <w:trPr>
          <w:trHeight w:val="21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9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40,572</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2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w:t>
            </w:r>
          </w:p>
        </w:tc>
      </w:tr>
      <w:tr>
        <w:trPr>
          <w:trHeight w:val="189"/>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9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(340,095)</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(322,272)</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(244,328)</w:t>
            </w:r>
          </w:p>
        </w:tc>
      </w:tr>
      <w:tr>
        <w:trPr>
          <w:trHeight w:val="18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9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195"/>
        </w:trPr>
        <w:tc>
          <w:tcPr>
            <w:tcW w:w="6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Borrowings from lines of credit</w:t>
            </w:r>
          </w:p>
        </w:tc>
        <w:tc>
          <w:tcPr>
            <w:tcW w:w="9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242,000</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146,415</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158,779</w:t>
            </w:r>
          </w:p>
        </w:tc>
      </w:tr>
      <w:tr>
        <w:trPr>
          <w:trHeight w:val="21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Repayments of lines of credit</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(295,260)</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(134,493)</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(62,197)</w:t>
            </w:r>
          </w:p>
        </w:tc>
      </w:tr>
      <w:tr>
        <w:trPr>
          <w:trHeight w:val="195"/>
        </w:trPr>
        <w:tc>
          <w:tcPr>
            <w:tcW w:w="6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Long-term borrowings</w:t>
            </w:r>
          </w:p>
        </w:tc>
        <w:tc>
          <w:tcPr>
            <w:tcW w:w="9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185,329</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70,000</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55,000</w:t>
            </w:r>
          </w:p>
        </w:tc>
      </w:tr>
      <w:tr>
        <w:trPr>
          <w:trHeight w:val="21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Repayments of long-term borrowings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(48,975)</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(4,347)</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(89,177)</w:t>
            </w:r>
          </w:p>
        </w:tc>
      </w:tr>
      <w:tr>
        <w:trPr>
          <w:trHeight w:val="195"/>
        </w:trPr>
        <w:tc>
          <w:tcPr>
            <w:tcW w:w="6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paid</w:t>
            </w:r>
          </w:p>
        </w:tc>
        <w:tc>
          <w:tcPr>
            <w:tcW w:w="9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(52,132)</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(47,905)</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(43,582)</w:t>
            </w:r>
          </w:p>
        </w:tc>
      </w:tr>
      <w:tr>
        <w:trPr>
          <w:trHeight w:val="21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Receipts of advances and contributions in aid of construction</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33,070</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22,425</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23,820</w:t>
            </w:r>
          </w:p>
        </w:tc>
      </w:tr>
      <w:tr>
        <w:trPr>
          <w:trHeight w:val="195"/>
        </w:trPr>
        <w:tc>
          <w:tcPr>
            <w:tcW w:w="6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Refunds of advances for construction</w:t>
            </w:r>
          </w:p>
        </w:tc>
        <w:tc>
          <w:tcPr>
            <w:tcW w:w="9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(2,963)</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(2,763)</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(2,859)</w:t>
            </w:r>
          </w:p>
        </w:tc>
      </w:tr>
      <w:tr>
        <w:trPr>
          <w:trHeight w:val="21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common stock, net of issuance costs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85,008</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80,659</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39,085</w:t>
            </w:r>
          </w:p>
        </w:tc>
      </w:tr>
      <w:tr>
        <w:trPr>
          <w:trHeight w:val="196"/>
        </w:trPr>
        <w:tc>
          <w:tcPr>
            <w:tcW w:w="6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changes, net</w:t>
            </w:r>
          </w:p>
        </w:tc>
        <w:tc>
          <w:tcPr>
            <w:tcW w:w="9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(1,171)</w:t>
            </w:r>
          </w:p>
        </w:tc>
        <w:tc>
          <w:tcPr>
            <w:tcW w:w="1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(515)</w:t>
            </w:r>
          </w:p>
        </w:tc>
      </w:tr>
      <w:tr>
        <w:trPr>
          <w:trHeight w:val="20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9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145,960</w:t>
            </w:r>
          </w:p>
        </w:tc>
        <w:tc>
          <w:tcPr>
            <w:tcW w:w="10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128,820</w:t>
            </w:r>
          </w:p>
        </w:tc>
        <w:tc>
          <w:tcPr>
            <w:tcW w:w="12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78,354</w:t>
            </w:r>
          </w:p>
        </w:tc>
      </w:tr>
      <w:tr>
        <w:trPr>
          <w:trHeight w:val="189"/>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change in cash and cash equivalents</w:t>
            </w:r>
          </w:p>
        </w:tc>
        <w:tc>
          <w:tcPr>
            <w:tcW w:w="9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1,391</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r>
      <w:tr>
        <w:trPr>
          <w:trHeight w:val="21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beginning of year</w:t>
            </w:r>
          </w:p>
        </w:tc>
        <w:tc>
          <w:tcPr>
            <w:tcW w:w="9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9,723</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12,344</w:t>
            </w:r>
          </w:p>
        </w:tc>
        <w:tc>
          <w:tcPr>
            <w:tcW w:w="12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12,119</w:t>
            </w:r>
          </w:p>
        </w:tc>
      </w:tr>
      <w:tr>
        <w:trPr>
          <w:trHeight w:val="190"/>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end of year</w:t>
            </w:r>
          </w:p>
        </w:tc>
        <w:tc>
          <w:tcPr>
            <w:tcW w:w="92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11,114</w:t>
            </w:r>
          </w:p>
        </w:tc>
        <w:tc>
          <w:tcPr>
            <w:tcW w:w="100" w:type="dxa"/>
            <w:vAlign w:val="bottom"/>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9,723</w:t>
            </w:r>
          </w:p>
        </w:tc>
        <w:tc>
          <w:tcPr>
            <w:tcW w:w="120" w:type="dxa"/>
            <w:vAlign w:val="bottom"/>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12,344</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75"/>
        </w:trPr>
        <w:tc>
          <w:tcPr>
            <w:tcW w:w="6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96"/>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paid (refunded) during the year for:</w:t>
            </w: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w:t>
            </w:r>
          </w:p>
        </w:tc>
        <w:tc>
          <w:tcPr>
            <w:tcW w:w="92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73,268</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67,508</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63,677</w:t>
            </w:r>
          </w:p>
        </w:tc>
      </w:tr>
      <w:tr>
        <w:trPr>
          <w:trHeight w:val="195"/>
        </w:trPr>
        <w:tc>
          <w:tcPr>
            <w:tcW w:w="6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net of amounts capitalized</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69,744</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64,608</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58,974</w:t>
            </w:r>
          </w:p>
        </w:tc>
      </w:tr>
      <w:tr>
        <w:trPr>
          <w:trHeight w:val="21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taxes</w:t>
            </w:r>
          </w:p>
        </w:tc>
        <w:tc>
          <w:tcPr>
            <w:tcW w:w="92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23,020</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6,853</w:t>
            </w:r>
          </w:p>
        </w:tc>
      </w:tr>
      <w:tr>
        <w:trPr>
          <w:trHeight w:val="196"/>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activities:</w:t>
            </w: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payables for additions to utility plant</w:t>
            </w:r>
          </w:p>
        </w:tc>
        <w:tc>
          <w:tcPr>
            <w:tcW w:w="92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41,692</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35,904</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22,561</w:t>
            </w:r>
          </w:p>
        </w:tc>
      </w:tr>
      <w:tr>
        <w:trPr>
          <w:trHeight w:val="195"/>
        </w:trPr>
        <w:tc>
          <w:tcPr>
            <w:tcW w:w="6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Utility property installed by developers</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2,465</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3,341</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2,433</w:t>
            </w:r>
          </w:p>
        </w:tc>
      </w:tr>
      <w:tr>
        <w:trPr>
          <w:trHeight w:val="21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receivable from sale of real estate investments</w:t>
            </w:r>
          </w:p>
        </w:tc>
        <w:tc>
          <w:tcPr>
            <w:tcW w:w="92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2,801</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6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selling expenses on sale of real estate investments</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2,177</w:t>
            </w:r>
          </w:p>
        </w:tc>
        <w:tc>
          <w:tcPr>
            <w:tcW w:w="100" w:type="dxa"/>
            <w:vAlign w:val="bottom"/>
          </w:tcPr>
          <w:p>
            <w:pPr>
              <w:spacing w:after="0"/>
              <w:rPr>
                <w:sz w:val="16"/>
                <w:szCs w:val="16"/>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Seller financing in asset acquisition, net of discount</w:t>
            </w:r>
          </w:p>
        </w:tc>
        <w:tc>
          <w:tcPr>
            <w:tcW w:w="92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15,400</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 and where otherwise noted)</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Organization and Operations</w:t>
      </w:r>
    </w:p>
    <w:p>
      <w:pPr>
        <w:spacing w:after="0" w:line="36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(“GAAP”) and include the accounts of SJW Group, its wholly owned subsidiaries, and one variable interest entity in which one SJW Group subsidiary is the primary beneficiary. All intercompany transactions and balances have been eliminated in consolidation. The accounting policies of SJW Group’s subsidiaries comply with the applicable uniform system of accounts prescribed by the respective regulators and conform to generally accepted accounting principles for rate-regulated public utilities.</w:t>
      </w:r>
    </w:p>
    <w:p>
      <w:pPr>
        <w:spacing w:after="0" w:line="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SJW Group is a holding company that conducts its business through the following wholly owned subsidiaries: San Jose Water Company (“SJWC”), SJWTX Holdings, Inc., SJW Land Company, SJWNE LLC, and National Water Utility Service, LLC (“NWU”). SJWTX Holdings, Inc. is a holding company for its wholly owned subsidiaries, SJWTX, Inc., doing business as The Texas Water Company (“TWC”), Texas Water Operation Services, LLC (“TWOS”) and Texas Water Resources, LLC (“TWR”). SJWNE LLC is the holding company for Connecticut Water Service, Inc. (“CTWS”) whose wholly owned subsidiaries are The Connecticut Water Company (“CWC”), The Maine Water Company (“MWC”), New England Water Utility Services, Inc. (“NEWUS”), and Chester Realty, Inc. NWU is the contracting entity for shared services among the SJW Group affiliates formed in October 2024. SJW Group, through its wholly owned subsidiaries, primarily provides water utility and other related services in California, Connecticut, Maine and Texas. SJW Group has business in property management and real estate investment activity conducted by SJW Land Company and Chester Realty, Inc.</w:t>
      </w:r>
    </w:p>
    <w:p>
      <w:pPr>
        <w:spacing w:after="0" w:line="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TWC is a public utility in the business of providing water service in Bandera, Blanco, Comal, Hays, Kendall, Medina and Travis Counties in the growing region between San Antonio and Austin, Texas. TWC additionally provides wastewater service in Comal and Kendall counties. TWC also holds a 25% equity interest in Acequia Water Supply Corporation (“Acequia”). Acequia has been determined to be a variable interest entity within the scope of Accounting Standards Codification (“ASC”) Topic 810—“Consolidation” with TWC as the primary beneficiary. As a result, Acequia has been consolidated with TWC. TWOS was created for non-tariffed service operations and TWR was formed to hold wholesale water supply assets.</w:t>
      </w:r>
    </w:p>
    <w:p>
      <w:pPr>
        <w:spacing w:after="0" w:line="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Water sales are seasonal in nature and influenced by weather conditions. The timing of precipitation and climatic conditions can cause seasonal water consumption by customers to vary significantly. Revenue is generally higher in the warm, dry summer months when water usage and sales are greater and lower in the winter months when cooler temperatures and increased rainfall curtail water usage and sales.</w:t>
      </w:r>
    </w:p>
    <w:p>
      <w:pPr>
        <w:spacing w:after="0" w:line="30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Depreciable Utility Plant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 components of depreciable plant and equipment as of December 31, 2024 and 2023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5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Source of supply</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228,621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207,537</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Pumping plant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301,280</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284,308</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treatment plant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367,836</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354,617</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Transmission and distribution plant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3,015,978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2,820,358</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plant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335,599</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301,091</w:t>
            </w:r>
          </w:p>
        </w:tc>
      </w:tr>
      <w:tr>
        <w:trPr>
          <w:trHeight w:val="223"/>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depreciable plant and equipment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4,249,314</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3,967,911</w:t>
            </w:r>
          </w:p>
        </w:tc>
      </w:tr>
      <w:tr>
        <w:trPr>
          <w:trHeight w:val="20"/>
        </w:trPr>
        <w:tc>
          <w:tcPr>
            <w:tcW w:w="8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Depreciation is computed using the straight-line method over the estimated remaining service lives of groups of assets. The estimated service lives of depreciable plant and equipment are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Lives</w:t>
            </w:r>
          </w:p>
        </w:tc>
      </w:tr>
      <w:tr>
        <w:trPr>
          <w:trHeight w:val="23"/>
        </w:trPr>
        <w:tc>
          <w:tcPr>
            <w:tcW w:w="7940" w:type="dxa"/>
            <w:vAlign w:val="bottom"/>
            <w:tcBorders>
              <w:bottom w:val="single" w:sz="8" w:color="CCEEFF"/>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Source of supply</w:t>
            </w:r>
          </w:p>
        </w:tc>
        <w:tc>
          <w:tcPr>
            <w:tcW w:w="3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 to 100 years</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Pumping plant</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 to 70 years</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treatment plant</w:t>
            </w:r>
          </w:p>
        </w:tc>
        <w:tc>
          <w:tcPr>
            <w:tcW w:w="3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to 62 years</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Transmission and distribution plant</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to 100 years</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plant</w:t>
            </w:r>
          </w:p>
        </w:tc>
        <w:tc>
          <w:tcPr>
            <w:tcW w:w="3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to 68 years</w:t>
            </w:r>
          </w:p>
        </w:tc>
      </w:tr>
    </w:tbl>
    <w:p>
      <w:pPr>
        <w:spacing w:after="0" w:line="17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For the years 2024, 2023 and 2022, depreciation expense as a percentage of the beginning of the year balance of depreciable plant was 2.9%, 2.9% and 3.3%, respectively. Depreciation expense for utility plant for the years ended December 31, 2024, 2023 and 2022 was $111,575, $104,325 and $99,413, respectively. The cost of utility plant retired (less salvage) is charged to accumulated depreciation and no gain or loss is recognized. To the extent SJW Group recovers retirement costs through rates during the life of the associated asset and before the costs are incurred, these amounts result in a regulatory liability being reported based on the amounts previously recovered through customer rates until the costs to retire those assets are incurred.</w:t>
      </w:r>
    </w:p>
    <w:p>
      <w:pPr>
        <w:spacing w:after="0" w:line="1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Allowance For Funds Used During Construction (“AFUDC”)</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AFUDC represents the capitalized costs of borrowed funds or a return on equity funds used to finance utility plant under construction and is capitalized as part of construction work in progress. AFUDC is recorded to the extent approved by the respective states’ utility regulators and is recovered through water rates as the utility plant depreciates. The amount of AFUDC debt capitalized in 2024, 2023 and 2022 was $3,524, $2,900 and $4,703, respectively. Interest on long-term debt is presented net of AFUDC debt capitalized on the Consolidated Statements of Comprehensive Income. The amount of AFUDC equity capitalized in 2024, 2023 and 2022 was $2,362, $2,114 and $1,551, respectively, reflected in “Other, net” on the Consolidated Statements of Comprehensive Income.</w:t>
      </w:r>
    </w:p>
    <w:p>
      <w:pPr>
        <w:spacing w:after="0" w:line="1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Finite-lived intangible assets are recorded at cost and are amortized using the straight-line method over the estimated useful life of the asset, ranging from 5 to 70 years. Indefinite-lived intangibles assets are not amortized, but instead are tested for impairment annually, or more frequently if events or changes in circumstances indicate that it is more likely than not that the asset is impaired. (see </w:t>
      </w:r>
      <w:r>
        <w:rPr>
          <w:rFonts w:ascii="Times New Roman" w:cs="Times New Roman" w:eastAsia="Times New Roman" w:hAnsi="Times New Roman"/>
          <w:sz w:val="18"/>
          <w:szCs w:val="18"/>
          <w:u w:val="single" w:color="auto"/>
          <w:color w:val="0000FF"/>
        </w:rPr>
        <w:t>Note 8</w:t>
      </w:r>
      <w:r>
        <w:rPr>
          <w:rFonts w:ascii="Times New Roman" w:cs="Times New Roman" w:eastAsia="Times New Roman" w:hAnsi="Times New Roman"/>
          <w:sz w:val="18"/>
          <w:szCs w:val="18"/>
          <w:color w:val="auto"/>
        </w:rPr>
        <w:t>, “Intangible Assets”).</w:t>
      </w:r>
    </w:p>
    <w:p>
      <w:pPr>
        <w:spacing w:after="0" w:line="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Nonutility Properties and Real Estate Investments</w:t>
      </w:r>
    </w:p>
    <w:p>
      <w:pPr>
        <w:spacing w:after="0" w:line="121"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Nonutility properties and real estate investments are recorded at cost and consist primarily of land and buildings. Net gains and losses from the sale of nonutility properties and real estate investments are recorded as a component of other (expense) income and operating expense, respectively, in the Consolidated Statements of Comprehensive Income. Nonutility property is property that is neither used nor useful in providing water utility services to customers and is excluded from rate base for rate-setting purposes. SJWC recognizes gain or loss on the disposition of nonutility property in accordance with California Public Utilities Commission (“CPUC”) Code Section 790, whereby the net proceeds are reinvested back into property that is useful in providing water utility services to customers. CTWS and TWC do not have regulatory restrictions on the use of proceeds from the sale of nonutility property. There is no depreciation associated with Water Utility Services nonutility property as it is all undeveloped land.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 components of nonutility properties and real estate investments are as follows as of December 31: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Wholesale water supply assets</w:t>
            </w:r>
          </w:p>
        </w:tc>
        <w:tc>
          <w:tcPr>
            <w:tcW w:w="9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8,465</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2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13,350</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13,156</w:t>
            </w:r>
          </w:p>
        </w:tc>
      </w:tr>
      <w:tr>
        <w:trPr>
          <w:trHeight w:val="20"/>
        </w:trPr>
        <w:tc>
          <w:tcPr>
            <w:tcW w:w="8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Depreciation on buildings and improvements for real estate investments is computed using the straight-line method over the estimated useful lives of the assets, ranging from 7 to 39 years.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March 2023, SJW Land Company entered into a broker agreement to sell its warehouse buildings and land property located in Knoxville, Tennessee. The company reclassified the Tennessee properties from held-and-used to held-for-sale at March 31, 2023. The company recorded the Tennessee properties at the lower of their carrying value or estimated fair value less cost to sell, and also stopped recording depreciation on assets held for sale. SJW Group’s broker provided the estimated fair value of the Tennessee properties. No impairment was recorded as the estimated fair value less cost to sell exceeded carrying value.</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2024, in two separate transactions, SJW Land Company completed the sale of the Tennessee properties for an aggregate of $44,000. The net pre-tax loss associated with these transactions for the year ended December 31, 2024 was $969 and is included in the “Other, net” line on the consolidated statements of comprehensive income. A portion of the proceeds from these sales totaling $2,801 is being held in escrow pending completion of certain post-closing obligations. Following these two transactions, SJW Group does not have any other assets classified as held for sale.</w:t>
      </w:r>
    </w:p>
    <w:p>
      <w:pPr>
        <w:spacing w:after="0" w:line="7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sale of the Tennessee properties does not represent a strategic shift that has or will have a major effect on SJW Group; therefore, the sale does not qualify for treatment as a discontinued operation.</w:t>
      </w:r>
    </w:p>
    <w:p>
      <w:pPr>
        <w:spacing w:after="0" w:line="5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The following represents the major components of the Tennessee warehouse building and land property recorded in assets held-for-sale on the Consolidated Balance Sheets as of December 31, 2023:</w:t>
      </w:r>
    </w:p>
    <w:tbl>
      <w:tblPr>
        <w:tblLayout w:type="fixed"/>
        <w:tblInd w:w="0" w:type="dxa"/>
        <w:tblCellMar>
          <w:top w:w="0" w:type="dxa"/>
          <w:left w:w="0" w:type="dxa"/>
          <w:bottom w:w="0" w:type="dxa"/>
          <w:right w:w="0" w:type="dxa"/>
        </w:tblCellMar>
      </w:tblPr>
      <w:tr>
        <w:trPr>
          <w:trHeight w:val="190"/>
        </w:trPr>
        <w:tc>
          <w:tcPr>
            <w:tcW w:w="9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9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13,170</w:t>
            </w:r>
          </w:p>
        </w:tc>
      </w:tr>
      <w:tr>
        <w:trPr>
          <w:trHeight w:val="229"/>
        </w:trPr>
        <w:tc>
          <w:tcPr>
            <w:tcW w:w="9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44,950</w:t>
            </w:r>
          </w:p>
        </w:tc>
      </w:tr>
      <w:tr>
        <w:trPr>
          <w:trHeight w:val="223"/>
        </w:trPr>
        <w:tc>
          <w:tcPr>
            <w:tcW w:w="9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58,120</w:t>
            </w:r>
          </w:p>
        </w:tc>
      </w:tr>
      <w:tr>
        <w:trPr>
          <w:trHeight w:val="229"/>
        </w:trPr>
        <w:tc>
          <w:tcPr>
            <w:tcW w:w="9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17,270</w:t>
            </w:r>
          </w:p>
        </w:tc>
      </w:tr>
      <w:tr>
        <w:trPr>
          <w:trHeight w:val="248"/>
        </w:trPr>
        <w:tc>
          <w:tcPr>
            <w:tcW w:w="9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40,850</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On October 29, 2021, SJWC sold two nonutility properties located in San Jose, California for $13,150. For the year ended December 31, 2022, SJW Group recognized the pre-tax gain on the sale of nonutility properties of $7,230, after selling expenses of $277 for one of the properties sold, and a gain of $5,442 which was deferred in 2021 pending the CPUC review. On February 15, 2022, the CPUC review was complete and SJWC recognized the deferred gain on sale of nonutility property in 2022.</w:t>
      </w:r>
    </w:p>
    <w:p>
      <w:pPr>
        <w:spacing w:after="0" w:line="7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August 2023, a non-regulated subsidiary, TWR, acquired eight wells and the associated water rights of KT Water Resources, LLC, as discussed in Note 14, “Acquisitions.” In connection with a transaction in the third quarter of 2024, TWC purchased these assets from TWR for use in utility operations. Accordingly, SJW Group reclassified $28,386 related to indefinite-lived water rights from other intangible assets to utility plant intangible assets and $11,684 from nonutility property to utility plant.</w:t>
      </w:r>
    </w:p>
    <w:p>
      <w:pPr>
        <w:spacing w:after="0" w:line="1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Business Combinations and Asset Acquisitions</w:t>
      </w:r>
    </w:p>
    <w:p>
      <w:pPr>
        <w:spacing w:after="0" w:line="16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SJW Group applies the provisions of Financial Accounting Standards Board (“FASB”) ASC Topic 805—“Business Combinations” for the accounting related to business and asset acquisitions. First, SJW Group applies the guidance in Topic 805 to determine whether a transaction represents a business combination or an acquisition of assets. If the transaction is a business combination, Topic 805 requires SJW Group to recognize separately from goodwill the assets acquired and the liabilities assumed at the acquisition date fair values. Goodwill as of the acquisition date is measured as the excess of consideration transferred over the net of the acquisition date fair values of the assets acquired and the liabilities assumed. If the transaction is an acquisition of assets, the cost of the transaction, including transaction costs, is allocated to the individual assets acquired and liabilities assumed on a relative fair value basis without recognition of goodwill. While SJW Group uses best available estimates and assumptions to accurately value assets acquired and liabilities assumed at the acquisition date, such estimates are inherently uncertain and subject to refinement. For business combinations, Topic 805 provides for a measurement period from the acquisition date of up to one year, during which we may record adjustments to the assets acquired and liabilities assumed with the corresponding offset to goodwill. Upon the conclusion of the measurement period, any subsequent adjustments are recorded to the Consolidated Statements of Comprehensive Income. Accounting for business combinations and asset acquisitions requires SJW Group to make significant estimates and assumptions, especially at the acquisition date, including estimates for intangible assets, contractual obligations assumed and pre-acquisition contingencies. Although SJW Group believes that the assumptions and estimates we make are reasonable and appropriate, they are based in part on historical experience and information obtained from the acquired company’s management and are inherently uncertain. Events and circumstances may occur that may affect the accuracy or validity of such assumptions, estimates or actual results. Examples of critical estimates in valuing certain of the intangible assets we have acquired include, but are not limited to: future expected cash flows from services; historical and expected customer attrition rates and anticipated growth in revenue from acquired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 xml:space="preserve">customers; the expected use of the acquired assets; and discount rates. See </w:t>
      </w:r>
      <w:r>
        <w:rPr>
          <w:rFonts w:ascii="Times New Roman" w:cs="Times New Roman" w:eastAsia="Times New Roman" w:hAnsi="Times New Roman"/>
          <w:sz w:val="18"/>
          <w:szCs w:val="18"/>
          <w:u w:val="single" w:color="auto"/>
          <w:color w:val="0000FF"/>
        </w:rPr>
        <w:t>Note 14</w:t>
      </w:r>
      <w:r>
        <w:rPr>
          <w:rFonts w:ascii="Times New Roman" w:cs="Times New Roman" w:eastAsia="Times New Roman" w:hAnsi="Times New Roman"/>
          <w:sz w:val="18"/>
          <w:szCs w:val="18"/>
          <w:color w:val="auto"/>
        </w:rPr>
        <w:t>, “Acquisitions” for further information on business combinations and asset acquisitions.</w:t>
      </w:r>
    </w:p>
    <w:p>
      <w:pPr>
        <w:spacing w:after="0" w:line="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Impairment of Long-Lived Assets and Goodwill</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accordance with the requirements of FASB ASC Topic 360—“Property, Plant and Equipment,” the long-lived assets of SJW Group, including property, plant and equipment and finite-lived intangible assets, are reviewed for impairment when changes in circumstances or events indicate that the carrying amount of the assets may not be recoverable. In assessing qualitative factors, SJW Group considers the impact of these key factors: change in industry and competitive environment, financial performance, and other relevant company-specific events. When such changes in circumstances or events occur, the company assesses recoverability by determining whether the carrying value of such assets will be recovered through the undiscounted expected future cash flows. To the extent an impairment exists, the asset is written down to its estimated fair value with a corresponding charge to operations in the period in which the impairment is identified. No impairments occurred during 2024 and 2023.</w:t>
      </w:r>
    </w:p>
    <w:p>
      <w:pPr>
        <w:spacing w:after="0" w:line="12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Goodwill is not amortized but is tested for impairment annually on October 1st or more frequently if an event occurs or circumstances change that would, more likely than not, reduce the fair value of a reporting unit below its carrying amount. Indefinite-lived intangible assets, other than goodwill, are not amortized but are tested for impairment annually on October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or more frequently if an event occurs or circumstances change that would, more likely than not, reduce the fair value of indefinite-lived intangible assets below their carrying amount. In performing impairment tests of goodwill and indefinite-lived intangible assets, SJW Group first performs a qualitative assessment to determine whether it is necessary to perform the quantitative impairment test. In assessing the qualitative factors, SJW Group considers the impact of these key factors: change in industry and competitive environment, financial performance, macroeconomic conditions, and other relevant Company-specific events. If SJW Group determines that as a result of the qualitative assessment it is more likely than not (&gt; 50% likelihood) that the fair value is less than carrying amount, then a quantitative test is performed. As of October 1, 2024, SJW Group performed qualitative assessments of both goodwill and indefinite-lived intangible assets and found no indicators of impairment and therefore did not perform quantitative impairment tests. No impairments of goodwill or indefinite-lived intangible assets occurred during 2024, 2023 or 2022.</w:t>
      </w:r>
    </w:p>
    <w:p>
      <w:pPr>
        <w:spacing w:after="0" w:line="1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Cash and cash equivalents primarily consisted of cash on deposit with banks and short-term, highly liquid investments with original maturities of three months or less.</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Accounts receivable are recorded at the invoiced amounts. The allowance for uncollectible accounts is SJW Group’s best estimate of credit losses in its existing accounts receivable and is determined based on current expected losses. The estimate is based on historical loss information adjusted for current conditions. Accounts balances are written off against the allowance when it is probable the receivable will not be recovered or is over a certain number of days outstanding. During the second quarter of 2024, SJW Group recorded a reduction to its allowance for credit losses of $7,822, of which $3,960 resulted in a reduction to regulatory assets and $3,862 was recorded through administrative and general expense ($2,782 net of tax or $0.08 per diluted share).</w:t>
      </w:r>
    </w:p>
    <w:p>
      <w:pPr>
        <w:spacing w:after="0" w:line="1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Financial Instruments and Investments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following instruments are not measured at fair value on the company’s Consolidated Balance Sheets but require disclosure of fair values: cash and cash equivalents, accounts receivable, accounts payable, and lines of credit. The estimated fair value of such instruments approximates their carrying value as reported on the Consolidated Balance Sheets. The fair value of such financial instruments are determined using the income approach based on the present value of estimated future cash flows. The fair value of these instruments would be categorized as Level 2 in the fair value hierarchy, with the exception of cash and cash equivalents, which would be categorized as Level 1. The fair value of long-term debt is discussed in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xml:space="preserve">, “Long-Term Debt” and pension plan assets in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“Benefit Plans.”</w:t>
      </w:r>
    </w:p>
    <w:p>
      <w:pPr>
        <w:spacing w:after="0" w:line="7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SJW Group has investments in company owned life insurance which are valued at cash surrender value of the policies as reported by the insurer. The value of these contracts is based principally on a referenced pool of investment funds that actively redeem shares, are observable and measurable, and are presented in “Investments” on SJW Group’s Consolidated Balance Sheets. As of December 31, 2024 and 2023, the value of the company owned life insurance was $8,944 and $8,220, respectively, of which $4,294 and $3,937, respectively, was related to assets to fund CTWS’ supplemental retirement plan agreements. See discussion on pension plans in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“Benefit Plans.”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Income taxes are accounted for using the asset and liability method. Deferred tax assets and liabilities are recognized for the effect of temporary differences between financial and tax reporting. Deferred tax assets and liabilities are measured using current tax rates in effect. The effect on deferred tax assets and liabilities of a change in tax rates is recognized in the period that includes the enactment date.</w:t>
      </w:r>
    </w:p>
    <w:p>
      <w:pPr>
        <w:spacing w:after="0" w:line="6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To the extent permitted by the regulators, investment tax credits resulting from public utility plant additions are deferred and amortized over the estimated useful lives of the related property. In addition, investment tax credits resulting from other asset additions are recognized in the year the property is put in service.</w:t>
      </w:r>
    </w:p>
    <w:p>
      <w:pPr>
        <w:spacing w:after="0" w:line="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Advances for Construction and Contributions in Aid of Construction</w:t>
      </w:r>
    </w:p>
    <w:p>
      <w:pPr>
        <w:spacing w:after="0" w:line="121"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In California, advances for construction received after 1981 are primarily refunded ratably over 40 years. In Connecticut and Maine, advances for construction are refunded as services are connected to the main over periods not exceeding 15 years and in Texas advances for construction are non-refundable. Estimated refunds for the next five years and thereafter are shown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Estimated Refunds</w:t>
            </w:r>
          </w:p>
        </w:tc>
      </w:tr>
      <w:tr>
        <w:trPr>
          <w:trHeight w:val="23"/>
        </w:trPr>
        <w:tc>
          <w:tcPr>
            <w:tcW w:w="9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r>
      <w:tr>
        <w:trPr>
          <w:trHeight w:val="234"/>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44,406</w:t>
            </w:r>
          </w:p>
        </w:tc>
      </w:tr>
    </w:tbl>
    <w:p>
      <w:pPr>
        <w:spacing w:after="0" w:line="17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As of December 31, 2024, advances for construction totaled $155,397 including $64,920 in non-refundable advances and $31,983 in advances that will be refunded based on service connections made, though the timing of these refunds cannot be estimated. As of December 31, 2024 and 2023, the fair value of the advances for construction refunded ratably over 40 years is $43,718 and $40,915, respectively.</w:t>
      </w:r>
    </w:p>
    <w:p>
      <w:pPr>
        <w:spacing w:after="0" w:line="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Contributions in aid of construction represent funds or property received from developers that are not refundable under applicable regulations. Depreciation applicable to utility plant constructed with these contributions is charged to contributions in aid of construction.</w:t>
      </w:r>
    </w:p>
    <w:p>
      <w:pPr>
        <w:spacing w:after="0" w:line="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Asset Retirement Obligation</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SJW Group’s asset retirement obligation is recorded as a liability included in other non-current liabilities. It reflects principally the retirement costs of wells and other anticipated clean-up costs, which by law, must be remediated upon retirement.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2023, the asset retirement obligation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8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future retirement costs</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4,303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4,198</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obligation, present value</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862</w:t>
            </w:r>
          </w:p>
        </w:tc>
      </w:tr>
    </w:tbl>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SJW Group recognizes revenue under ASC Topic 606—“Revenue from Contracts with Customers” for metered revenue of Water Utility Services, which includes billings to customers based on meter readings plus an estimate of water used between the customers’ last meter reading and the end of the accounting period. SJW Group satisfies its performance obligation upon delivery of water to the customer at which time the customer consumes the benefits provided by the company. The customer is generally billed on a quarterly, monthly, or bi-monthly basis after water delivery has occurred. The customer is charged both a service charge which is based upon meter size and covers a portion of the fixed costs of furnishing water to the customer and a consumption charge based on actual water usage. Unbilled revenue from the last meter reading date to the end of the accounting period is estimated based on the most recent usage patterns, production records and the effective tariff rates. As the company has the right to bill for services that it has provided, SJW Group estimates the dollar value of deliveries during the unbilled period and recognizes the associated revenue. Actual results could differ from those estimates, which may result in an adjustment to revenue when billed in a subsequent period.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SJW Group also recognizes revenue under ASC Topic 980-605-25—“Alternative Revenue Programs.” Under programs established by the CPUC and Public Utilities Regulatory Authority of Connecticut (“PURA”), allowing for automatic adjustment of future rates, the company recognizes revenue when it is objectively determinable, probable of recovery and expected to be collected within 24 months of the year-end in which the revenue is recognized. A reserve, based on an estimate of actual usage over the recovery period, is recorded for any amounts SJW Group estimates will not be collected within the</w:t>
      </w:r>
    </w:p>
    <w:p>
      <w:pPr>
        <w:spacing w:after="0" w:line="3"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 xml:space="preserve">24-month period. SJW Group’s alternative revenue programs include SJWC’s Water Conservation Memorandum Account (“WCMA”) and CWC’s Water Rate Adjustment mechanism (“WRA”). See further discussion on WCMA and WRA in </w:t>
      </w:r>
      <w:r>
        <w:rPr>
          <w:rFonts w:ascii="Times New Roman" w:cs="Times New Roman" w:eastAsia="Times New Roman" w:hAnsi="Times New Roman"/>
          <w:sz w:val="18"/>
          <w:szCs w:val="18"/>
          <w:u w:val="single" w:color="auto"/>
          <w:color w:val="0000FF"/>
        </w:rPr>
        <w:t>Note 3</w:t>
      </w:r>
      <w:r>
        <w:rPr>
          <w:rFonts w:ascii="Times New Roman" w:cs="Times New Roman" w:eastAsia="Times New Roman" w:hAnsi="Times New Roman"/>
          <w:sz w:val="18"/>
          <w:szCs w:val="18"/>
          <w:color w:val="auto"/>
        </w:rPr>
        <w:t>, “Regulatory Matters.”</w:t>
      </w:r>
    </w:p>
    <w:p>
      <w:pPr>
        <w:spacing w:after="0" w:line="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SJW Group’s revenues also reflect the impact of other balancing and memorandum accounts and other regulatory mechanisms that are accounted for under FASB ASC Topic 980—“Regulated Operations.” Balancing and memorandum accounts are recognized when it is probable that future recovery of previously incurred costs or future refunds that are to be credited to customers will occur through the ratemaking process. See further discussion in </w:t>
      </w:r>
      <w:r>
        <w:rPr>
          <w:rFonts w:ascii="Times New Roman" w:cs="Times New Roman" w:eastAsia="Times New Roman" w:hAnsi="Times New Roman"/>
          <w:sz w:val="18"/>
          <w:szCs w:val="18"/>
          <w:u w:val="single" w:color="auto"/>
          <w:color w:val="0000FF"/>
        </w:rPr>
        <w:t>Note 3</w:t>
      </w:r>
      <w:r>
        <w:rPr>
          <w:rFonts w:ascii="Times New Roman" w:cs="Times New Roman" w:eastAsia="Times New Roman" w:hAnsi="Times New Roman"/>
          <w:sz w:val="18"/>
          <w:szCs w:val="18"/>
          <w:color w:val="auto"/>
        </w:rPr>
        <w:t>, “Regulatory Matters.”</w:t>
      </w:r>
    </w:p>
    <w:p>
      <w:pPr>
        <w:spacing w:after="0" w:line="7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SJW Group also recognizes revenue from rental income, which represents lease rental income. Tenants pay monthly in accordance with lease agreements and SJW Group recognizes the income ratably over the lease term as this is the most representative of the pattern in which the benefit is expected to be derived from SJW Group’s underlying asset.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 of SJW Group’s revenue components are as follows for the years ended December 31:</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5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54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380" w:type="dxa"/>
            <w:vAlign w:val="bottom"/>
            <w:vMerge w:val="continue"/>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736,326</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678,168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586,918</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Alternative revenue programs,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balancing and memorandum accounts and regulatory mechanisms,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29,487</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income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0" w:type="dxa"/>
            <w:vAlign w:val="bottom"/>
          </w:tcPr>
          <w:p>
            <w:pPr>
              <w:spacing w:after="0"/>
              <w:rPr>
                <w:sz w:val="1"/>
                <w:szCs w:val="1"/>
                <w:color w:val="auto"/>
              </w:rPr>
            </w:pPr>
          </w:p>
        </w:tc>
      </w:tr>
      <w:tr>
        <w:trPr>
          <w:trHeight w:val="223"/>
        </w:trPr>
        <w:tc>
          <w:tcPr>
            <w:tcW w:w="63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748,439</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670,363</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620,698</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160"/>
        <w:spacing w:after="0" w:line="312" w:lineRule="auto"/>
        <w:rPr>
          <w:sz w:val="20"/>
          <w:szCs w:val="20"/>
          <w:color w:val="auto"/>
        </w:rPr>
      </w:pPr>
      <w:r>
        <w:rPr>
          <w:rFonts w:ascii="Times New Roman" w:cs="Times New Roman" w:eastAsia="Times New Roman" w:hAnsi="Times New Roman"/>
          <w:sz w:val="17"/>
          <w:szCs w:val="17"/>
          <w:color w:val="auto"/>
        </w:rPr>
        <w:t>Revenue also includes a surcharge collected from regulated customers that is paid to the CPUC. This surcharge is recorded both in operating revenue and administrative and general expenses. For the years ended December 31, 2024, 2023 and 2022, the surcharge was $3,668, $4,085 and $6,121, respectively.</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SJW Group calculates the fair value of service-based and performance-based restricted stock awards based on the grant date fair value of the company’s stock price reduced by the present value of the dividends expected to be declared on outstanding shares.</w:t>
      </w:r>
    </w:p>
    <w:p>
      <w:pPr>
        <w:spacing w:after="0" w:line="5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SJW Group utilizes the Monte Carlo valuation model, which requires the use of subjective assumptions, to compute the fair value of market-vesting restricted stock units.</w:t>
      </w:r>
    </w:p>
    <w:p>
      <w:pPr>
        <w:spacing w:after="0" w:line="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compensation cost for service-based restricted stock awards is charged to income on a straight-line basis over the requisite service period, which is the vesting period. For performance-based stock awards, compensation expense is charged to income on a straight-line basis over the requisite service period based on expected attainment of performance targets. Changes in the estimates of the expected attainment of performance targets will result in a change in the number of shares that are expected to vest which may cause a cumulative catch up for the amount of share-based compensation expense during each reporting period in which such estimates are altered. Forfeitures are accounted for as they occur.</w:t>
      </w:r>
    </w:p>
    <w:p>
      <w:pPr>
        <w:spacing w:after="0" w:line="1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Basic earnings per share is calculated using income available to common stockholders, divided by the weighted average number of shares outstanding during the period. Diluted earnings per share is calculated using income available to common stockholders divided by the weighted average number of shares of common stock including both shares outstanding and shares potentially issuable in connection with restricted common stock awards under SJW Group’s long-term incentive plans, shares potentially issuable under the performance stock plans assumed through the business combination with CTWS, and shares potentially issuable under SJW Group’s employee stock purchase plans. Restricted common stock units of 8,075, 14,193 and 25,127 as of December 31, 2024, 2023 and 2022, respectively, were excluded from the diluted earnings per share calculation as their effect would have been antidilutive.</w:t>
      </w:r>
    </w:p>
    <w:p>
      <w:pPr>
        <w:spacing w:after="0" w:line="1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Related-Party Transaction</w:t>
      </w:r>
    </w:p>
    <w:p>
      <w:pPr>
        <w:spacing w:after="0" w:line="162"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The Force for Good Foundation, established in 2024, is a non-consolidated not-for-profit corporation funded by SJW Group that plans to make contributions to selected charitable organizations. For the year ended December 31, 2024, SJW Group made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contributions of $3,000, which are included as an expense in the “Other, net” line of the Consolidated Statements of Comprehensive Income.</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vMerge w:val="restart"/>
          </w:tcPr>
          <w:p>
            <w:pPr>
              <w:ind w:left="600"/>
              <w:spacing w:after="0"/>
              <w:rPr>
                <w:sz w:val="20"/>
                <w:szCs w:val="20"/>
                <w:color w:val="auto"/>
              </w:rPr>
            </w:pPr>
            <w:r>
              <w:rPr>
                <w:rFonts w:ascii="Times New Roman" w:cs="Times New Roman" w:eastAsia="Times New Roman" w:hAnsi="Times New Roman"/>
                <w:sz w:val="18"/>
                <w:szCs w:val="18"/>
                <w:b w:val="1"/>
                <w:bCs w:val="1"/>
                <w:color w:val="auto"/>
              </w:rPr>
              <w:t>Standard</w:t>
            </w:r>
          </w:p>
        </w:tc>
        <w:tc>
          <w:tcPr>
            <w:tcW w:w="100" w:type="dxa"/>
            <w:vAlign w:val="bottom"/>
            <w:vMerge w:val="restart"/>
          </w:tcPr>
          <w:p>
            <w:pPr>
              <w:spacing w:after="0"/>
              <w:rPr>
                <w:sz w:val="17"/>
                <w:szCs w:val="17"/>
                <w:color w:val="auto"/>
              </w:rPr>
            </w:pPr>
          </w:p>
        </w:tc>
        <w:tc>
          <w:tcPr>
            <w:tcW w:w="3220" w:type="dxa"/>
            <w:vAlign w:val="bottom"/>
            <w:vMerge w:val="restart"/>
          </w:tcPr>
          <w:p>
            <w:pPr>
              <w:ind w:left="11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vMerge w:val="restart"/>
          </w:tcPr>
          <w:p>
            <w:pPr>
              <w:spacing w:after="0"/>
              <w:rPr>
                <w:sz w:val="17"/>
                <w:szCs w:val="17"/>
                <w:color w:val="auto"/>
              </w:rPr>
            </w:pPr>
          </w:p>
        </w:tc>
        <w:tc>
          <w:tcPr>
            <w:tcW w:w="214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Date of Adoption</w:t>
            </w:r>
          </w:p>
        </w:tc>
        <w:tc>
          <w:tcPr>
            <w:tcW w:w="100" w:type="dxa"/>
            <w:vAlign w:val="bottom"/>
            <w:vMerge w:val="restart"/>
          </w:tcPr>
          <w:p>
            <w:pPr>
              <w:spacing w:after="0"/>
              <w:rPr>
                <w:sz w:val="17"/>
                <w:szCs w:val="17"/>
                <w:color w:val="auto"/>
              </w:rPr>
            </w:pPr>
          </w:p>
        </w:tc>
        <w:tc>
          <w:tcPr>
            <w:tcW w:w="13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Application</w:t>
            </w:r>
          </w:p>
        </w:tc>
        <w:tc>
          <w:tcPr>
            <w:tcW w:w="100" w:type="dxa"/>
            <w:vAlign w:val="bottom"/>
            <w:vMerge w:val="restart"/>
          </w:tcPr>
          <w:p>
            <w:pPr>
              <w:spacing w:after="0"/>
              <w:rPr>
                <w:sz w:val="17"/>
                <w:szCs w:val="17"/>
                <w:color w:val="auto"/>
              </w:rPr>
            </w:pPr>
          </w:p>
        </w:tc>
        <w:tc>
          <w:tcPr>
            <w:tcW w:w="22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Effect on the Consolidated</w:t>
            </w:r>
          </w:p>
        </w:tc>
        <w:tc>
          <w:tcPr>
            <w:tcW w:w="0" w:type="dxa"/>
            <w:vAlign w:val="bottom"/>
          </w:tcPr>
          <w:p>
            <w:pPr>
              <w:spacing w:after="0"/>
              <w:rPr>
                <w:sz w:val="1"/>
                <w:szCs w:val="1"/>
                <w:color w:val="auto"/>
              </w:rPr>
            </w:pPr>
          </w:p>
        </w:tc>
      </w:tr>
      <w:tr>
        <w:trPr>
          <w:trHeight w:val="238"/>
        </w:trPr>
        <w:tc>
          <w:tcPr>
            <w:tcW w:w="19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32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1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2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0" w:type="dxa"/>
            <w:vAlign w:val="bottom"/>
          </w:tcPr>
          <w:p>
            <w:pPr>
              <w:spacing w:after="0"/>
              <w:rPr>
                <w:sz w:val="1"/>
                <w:szCs w:val="1"/>
                <w:color w:val="auto"/>
              </w:rPr>
            </w:pPr>
          </w:p>
        </w:tc>
      </w:tr>
      <w:tr>
        <w:trPr>
          <w:trHeight w:val="228"/>
        </w:trPr>
        <w:tc>
          <w:tcPr>
            <w:tcW w:w="20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Standards</w:t>
            </w:r>
          </w:p>
        </w:tc>
        <w:tc>
          <w:tcPr>
            <w:tcW w:w="33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ASU requires disclosure of significant</w:t>
            </w:r>
          </w:p>
        </w:tc>
        <w:tc>
          <w:tcPr>
            <w:tcW w:w="2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ASU is effective for</w:t>
            </w: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Retrospective</w:t>
            </w:r>
          </w:p>
        </w:tc>
        <w:tc>
          <w:tcPr>
            <w:tcW w:w="100" w:type="dxa"/>
            <w:vAlign w:val="bottom"/>
            <w:shd w:val="clear" w:color="auto" w:fill="CCEEFF"/>
          </w:tcPr>
          <w:p>
            <w:pPr>
              <w:spacing w:after="0"/>
              <w:rPr>
                <w:sz w:val="19"/>
                <w:szCs w:val="19"/>
                <w:color w:val="auto"/>
              </w:rPr>
            </w:pPr>
          </w:p>
        </w:tc>
        <w:tc>
          <w:tcPr>
            <w:tcW w:w="2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During the year ended</w:t>
            </w:r>
          </w:p>
        </w:tc>
        <w:tc>
          <w:tcPr>
            <w:tcW w:w="0" w:type="dxa"/>
            <w:vAlign w:val="bottom"/>
          </w:tcPr>
          <w:p>
            <w:pPr>
              <w:spacing w:after="0"/>
              <w:rPr>
                <w:sz w:val="1"/>
                <w:szCs w:val="1"/>
                <w:color w:val="auto"/>
              </w:rPr>
            </w:pPr>
          </w:p>
        </w:tc>
      </w:tr>
      <w:tr>
        <w:trPr>
          <w:trHeight w:val="58"/>
        </w:trPr>
        <w:tc>
          <w:tcPr>
            <w:tcW w:w="2020" w:type="dxa"/>
            <w:vAlign w:val="bottom"/>
            <w:gridSpan w:val="2"/>
            <w:vMerge w:val="continue"/>
            <w:shd w:val="clear" w:color="auto" w:fill="CCEEFF"/>
          </w:tcPr>
          <w:p>
            <w:pPr>
              <w:spacing w:after="0"/>
              <w:rPr>
                <w:sz w:val="5"/>
                <w:szCs w:val="5"/>
                <w:color w:val="auto"/>
              </w:rPr>
            </w:pPr>
          </w:p>
        </w:tc>
        <w:tc>
          <w:tcPr>
            <w:tcW w:w="3320" w:type="dxa"/>
            <w:vAlign w:val="bottom"/>
            <w:gridSpan w:val="2"/>
            <w:vMerge w:val="continue"/>
            <w:shd w:val="clear" w:color="auto" w:fill="CCEEFF"/>
          </w:tcPr>
          <w:p>
            <w:pPr>
              <w:spacing w:after="0"/>
              <w:rPr>
                <w:sz w:val="5"/>
                <w:szCs w:val="5"/>
                <w:color w:val="auto"/>
              </w:rPr>
            </w:pPr>
          </w:p>
        </w:tc>
        <w:tc>
          <w:tcPr>
            <w:tcW w:w="2240" w:type="dxa"/>
            <w:vAlign w:val="bottom"/>
            <w:gridSpan w:val="2"/>
            <w:vMerge w:val="continue"/>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Update (“ASU”) 2023-07</w:t>
            </w:r>
          </w:p>
        </w:tc>
        <w:tc>
          <w:tcPr>
            <w:tcW w:w="33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segment expenses, extends certain annual</w:t>
            </w:r>
          </w:p>
        </w:tc>
        <w:tc>
          <w:tcPr>
            <w:tcW w:w="22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SJW Group beginning with</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December 31, 2024, SJW</w:t>
            </w:r>
          </w:p>
        </w:tc>
        <w:tc>
          <w:tcPr>
            <w:tcW w:w="0" w:type="dxa"/>
            <w:vAlign w:val="bottom"/>
          </w:tcPr>
          <w:p>
            <w:pPr>
              <w:spacing w:after="0"/>
              <w:rPr>
                <w:sz w:val="1"/>
                <w:szCs w:val="1"/>
                <w:color w:val="auto"/>
              </w:rPr>
            </w:pPr>
          </w:p>
        </w:tc>
      </w:tr>
      <w:tr>
        <w:trPr>
          <w:trHeight w:val="175"/>
        </w:trPr>
        <w:tc>
          <w:tcPr>
            <w:tcW w:w="20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“Improvements to</w:t>
            </w:r>
          </w:p>
        </w:tc>
        <w:tc>
          <w:tcPr>
            <w:tcW w:w="33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disclosures to interim periods, and requires</w:t>
            </w:r>
          </w:p>
        </w:tc>
        <w:tc>
          <w:tcPr>
            <w:tcW w:w="22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its annual financial</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Group adopted ASU 2023-07,</w:t>
            </w:r>
          </w:p>
        </w:tc>
        <w:tc>
          <w:tcPr>
            <w:tcW w:w="0" w:type="dxa"/>
            <w:vAlign w:val="bottom"/>
          </w:tcPr>
          <w:p>
            <w:pPr>
              <w:spacing w:after="0"/>
              <w:rPr>
                <w:sz w:val="1"/>
                <w:szCs w:val="1"/>
                <w:color w:val="auto"/>
              </w:rPr>
            </w:pPr>
          </w:p>
        </w:tc>
      </w:tr>
      <w:tr>
        <w:trPr>
          <w:trHeight w:val="184"/>
        </w:trPr>
        <w:tc>
          <w:tcPr>
            <w:tcW w:w="20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Reportable Segment</w:t>
            </w:r>
          </w:p>
        </w:tc>
        <w:tc>
          <w:tcPr>
            <w:tcW w:w="33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additional qualitative disclosures regarding</w:t>
            </w:r>
          </w:p>
        </w:tc>
        <w:tc>
          <w:tcPr>
            <w:tcW w:w="22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statements for the year</w:t>
            </w: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“Improvements to Reportable</w:t>
            </w:r>
          </w:p>
        </w:tc>
        <w:tc>
          <w:tcPr>
            <w:tcW w:w="0" w:type="dxa"/>
            <w:vAlign w:val="bottom"/>
          </w:tcPr>
          <w:p>
            <w:pPr>
              <w:spacing w:after="0"/>
              <w:rPr>
                <w:sz w:val="1"/>
                <w:szCs w:val="1"/>
                <w:color w:val="auto"/>
              </w:rPr>
            </w:pPr>
          </w:p>
        </w:tc>
      </w:tr>
      <w:tr>
        <w:trPr>
          <w:trHeight w:val="180"/>
        </w:trPr>
        <w:tc>
          <w:tcPr>
            <w:tcW w:w="20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Disclosures”</w:t>
            </w:r>
          </w:p>
        </w:tc>
        <w:tc>
          <w:tcPr>
            <w:tcW w:w="33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the chief operating decision maker.</w:t>
            </w:r>
          </w:p>
        </w:tc>
        <w:tc>
          <w:tcPr>
            <w:tcW w:w="22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ending December 31, 2024.</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Segment Disclosures,”</w:t>
            </w:r>
          </w:p>
        </w:tc>
        <w:tc>
          <w:tcPr>
            <w:tcW w:w="0" w:type="dxa"/>
            <w:vAlign w:val="bottom"/>
          </w:tcPr>
          <w:p>
            <w:pPr>
              <w:spacing w:after="0"/>
              <w:rPr>
                <w:sz w:val="1"/>
                <w:szCs w:val="1"/>
                <w:color w:val="auto"/>
              </w:rPr>
            </w:pPr>
          </w:p>
        </w:tc>
      </w:tr>
      <w:tr>
        <w:trPr>
          <w:trHeight w:val="175"/>
        </w:trPr>
        <w:tc>
          <w:tcPr>
            <w:tcW w:w="1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Early adoption is permitted.</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retrospectively. Refer to Note</w:t>
            </w:r>
          </w:p>
        </w:tc>
        <w:tc>
          <w:tcPr>
            <w:tcW w:w="0" w:type="dxa"/>
            <w:vAlign w:val="bottom"/>
          </w:tcPr>
          <w:p>
            <w:pPr>
              <w:spacing w:after="0"/>
              <w:rPr>
                <w:sz w:val="1"/>
                <w:szCs w:val="1"/>
                <w:color w:val="auto"/>
              </w:rPr>
            </w:pPr>
          </w:p>
        </w:tc>
      </w:tr>
      <w:tr>
        <w:trPr>
          <w:trHeight w:val="184"/>
        </w:trPr>
        <w:tc>
          <w:tcPr>
            <w:tcW w:w="1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w w:val="99"/>
              </w:rPr>
              <w:t>13. Segment Reporting for the</w:t>
            </w:r>
          </w:p>
        </w:tc>
        <w:tc>
          <w:tcPr>
            <w:tcW w:w="0" w:type="dxa"/>
            <w:vAlign w:val="bottom"/>
          </w:tcPr>
          <w:p>
            <w:pPr>
              <w:spacing w:after="0"/>
              <w:rPr>
                <w:sz w:val="1"/>
                <w:szCs w:val="1"/>
                <w:color w:val="auto"/>
              </w:rPr>
            </w:pPr>
          </w:p>
        </w:tc>
      </w:tr>
      <w:tr>
        <w:trPr>
          <w:trHeight w:val="234"/>
        </w:trPr>
        <w:tc>
          <w:tcPr>
            <w:tcW w:w="1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required disclosures.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02" w:lineRule="exact"/>
        <w:rPr>
          <w:sz w:val="20"/>
          <w:szCs w:val="20"/>
          <w:color w:val="auto"/>
        </w:rPr>
      </w:pPr>
    </w:p>
    <w:p>
      <w:pPr>
        <w:ind w:left="20"/>
        <w:spacing w:after="0"/>
        <w:tabs>
          <w:tab w:leader="none" w:pos="2020" w:val="left"/>
        </w:tabs>
        <w:rPr>
          <w:sz w:val="20"/>
          <w:szCs w:val="20"/>
          <w:color w:val="auto"/>
        </w:rPr>
      </w:pPr>
      <w:r>
        <w:rPr>
          <w:rFonts w:ascii="Times New Roman" w:cs="Times New Roman" w:eastAsia="Times New Roman" w:hAnsi="Times New Roman"/>
          <w:sz w:val="18"/>
          <w:szCs w:val="18"/>
          <w:color w:val="auto"/>
        </w:rPr>
        <w:t>ASU 2023-09</w:t>
      </w:r>
      <w:r>
        <w:rPr>
          <w:sz w:val="20"/>
          <w:szCs w:val="20"/>
          <w:color w:val="auto"/>
        </w:rPr>
        <w:tab/>
      </w:r>
      <w:r>
        <w:rPr>
          <w:rFonts w:ascii="Times New Roman" w:cs="Times New Roman" w:eastAsia="Times New Roman" w:hAnsi="Times New Roman"/>
          <w:sz w:val="18"/>
          <w:szCs w:val="18"/>
          <w:color w:val="auto"/>
        </w:rPr>
        <w:t>The ASU amends certain income tax</w:t>
      </w:r>
    </w:p>
    <w:p>
      <w:pPr>
        <w:ind w:left="20"/>
        <w:spacing w:after="0" w:line="217" w:lineRule="auto"/>
        <w:tabs>
          <w:tab w:leader="none" w:pos="2020" w:val="left"/>
        </w:tabs>
        <w:rPr>
          <w:sz w:val="20"/>
          <w:szCs w:val="20"/>
          <w:color w:val="auto"/>
        </w:rPr>
      </w:pPr>
      <w:r>
        <w:rPr>
          <w:rFonts w:ascii="Times New Roman" w:cs="Times New Roman" w:eastAsia="Times New Roman" w:hAnsi="Times New Roman"/>
          <w:sz w:val="18"/>
          <w:szCs w:val="18"/>
          <w:color w:val="auto"/>
        </w:rPr>
        <w:t>“Improvements to</w:t>
      </w:r>
      <w:r>
        <w:rPr>
          <w:sz w:val="20"/>
          <w:szCs w:val="20"/>
          <w:color w:val="auto"/>
        </w:rPr>
        <w:tab/>
      </w:r>
      <w:r>
        <w:rPr>
          <w:rFonts w:ascii="Times New Roman" w:cs="Times New Roman" w:eastAsia="Times New Roman" w:hAnsi="Times New Roman"/>
          <w:sz w:val="17"/>
          <w:szCs w:val="17"/>
          <w:color w:val="auto"/>
        </w:rPr>
        <w:t>disclosure requirements, including adding</w:t>
      </w:r>
    </w:p>
    <w:p>
      <w:pPr>
        <w:ind w:left="20"/>
        <w:spacing w:after="0" w:line="216" w:lineRule="auto"/>
        <w:tabs>
          <w:tab w:leader="none" w:pos="2020" w:val="left"/>
        </w:tabs>
        <w:rPr>
          <w:sz w:val="20"/>
          <w:szCs w:val="20"/>
          <w:color w:val="auto"/>
        </w:rPr>
      </w:pPr>
      <w:r>
        <w:rPr>
          <w:rFonts w:ascii="Times New Roman" w:cs="Times New Roman" w:eastAsia="Times New Roman" w:hAnsi="Times New Roman"/>
          <w:sz w:val="18"/>
          <w:szCs w:val="18"/>
          <w:color w:val="auto"/>
        </w:rPr>
        <w:t>Income Tax Disclosures”</w:t>
      </w:r>
      <w:r>
        <w:rPr>
          <w:sz w:val="20"/>
          <w:szCs w:val="20"/>
          <w:color w:val="auto"/>
        </w:rPr>
        <w:tab/>
      </w:r>
      <w:r>
        <w:rPr>
          <w:rFonts w:ascii="Times New Roman" w:cs="Times New Roman" w:eastAsia="Times New Roman" w:hAnsi="Times New Roman"/>
          <w:sz w:val="17"/>
          <w:szCs w:val="17"/>
          <w:color w:val="auto"/>
        </w:rPr>
        <w:t>requirements to present the reconciliation of</w:t>
      </w:r>
    </w:p>
    <w:p>
      <w:pPr>
        <w:ind w:left="2040"/>
        <w:spacing w:after="0" w:line="219" w:lineRule="auto"/>
        <w:rPr>
          <w:sz w:val="20"/>
          <w:szCs w:val="20"/>
          <w:color w:val="auto"/>
        </w:rPr>
      </w:pPr>
      <w:r>
        <w:rPr>
          <w:rFonts w:ascii="Times New Roman" w:cs="Times New Roman" w:eastAsia="Times New Roman" w:hAnsi="Times New Roman"/>
          <w:sz w:val="18"/>
          <w:szCs w:val="18"/>
          <w:color w:val="auto"/>
        </w:rPr>
        <w:t>income tax expense computed at the</w:t>
      </w:r>
    </w:p>
    <w:p>
      <w:pPr>
        <w:ind w:left="2040" w:right="60"/>
        <w:spacing w:after="0" w:line="208" w:lineRule="auto"/>
        <w:rPr>
          <w:sz w:val="20"/>
          <w:szCs w:val="20"/>
          <w:color w:val="auto"/>
        </w:rPr>
      </w:pPr>
      <w:r>
        <w:rPr>
          <w:rFonts w:ascii="Times New Roman" w:cs="Times New Roman" w:eastAsia="Times New Roman" w:hAnsi="Times New Roman"/>
          <w:sz w:val="18"/>
          <w:szCs w:val="18"/>
          <w:color w:val="auto"/>
        </w:rPr>
        <w:t>statutory rate to actual income tax expense using both percentages and amounts and providing a disaggregation of income taxes</w:t>
      </w:r>
    </w:p>
    <w:p>
      <w:pPr>
        <w:spacing w:after="0" w:line="2" w:lineRule="exact"/>
        <w:rPr>
          <w:sz w:val="20"/>
          <w:szCs w:val="20"/>
          <w:color w:val="auto"/>
        </w:rPr>
      </w:pPr>
    </w:p>
    <w:p>
      <w:pPr>
        <w:ind w:left="2040" w:right="380"/>
        <w:spacing w:after="0" w:line="220" w:lineRule="auto"/>
        <w:rPr>
          <w:sz w:val="20"/>
          <w:szCs w:val="20"/>
          <w:color w:val="auto"/>
        </w:rPr>
      </w:pPr>
      <w:r>
        <w:rPr>
          <w:rFonts w:ascii="Times New Roman" w:cs="Times New Roman" w:eastAsia="Times New Roman" w:hAnsi="Times New Roman"/>
          <w:sz w:val="17"/>
          <w:szCs w:val="17"/>
          <w:color w:val="auto"/>
        </w:rPr>
        <w:t>paid. Further, certain disclosures are eliminated, including the current requirement to disclose information on</w:t>
      </w:r>
    </w:p>
    <w:p>
      <w:pPr>
        <w:spacing w:after="0" w:line="2" w:lineRule="exact"/>
        <w:rPr>
          <w:sz w:val="20"/>
          <w:szCs w:val="20"/>
          <w:color w:val="auto"/>
        </w:rPr>
      </w:pPr>
    </w:p>
    <w:p>
      <w:pPr>
        <w:ind w:left="2040" w:right="80"/>
        <w:spacing w:after="0" w:line="224" w:lineRule="auto"/>
        <w:rPr>
          <w:sz w:val="20"/>
          <w:szCs w:val="20"/>
          <w:color w:val="auto"/>
        </w:rPr>
      </w:pPr>
      <w:r>
        <w:rPr>
          <w:rFonts w:ascii="Times New Roman" w:cs="Times New Roman" w:eastAsia="Times New Roman" w:hAnsi="Times New Roman"/>
          <w:sz w:val="18"/>
          <w:szCs w:val="18"/>
          <w:color w:val="auto"/>
        </w:rPr>
        <w:t>changes in unrecognized tax benefits in the next 12 months.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ASU is effective for</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SJW Group beginning with its annual financial statements for the year</w:t>
      </w:r>
    </w:p>
    <w:p>
      <w:pPr>
        <w:spacing w:after="0" w:line="205" w:lineRule="auto"/>
        <w:rPr>
          <w:sz w:val="20"/>
          <w:szCs w:val="20"/>
          <w:color w:val="auto"/>
        </w:rPr>
      </w:pPr>
      <w:r>
        <w:rPr>
          <w:rFonts w:ascii="Times New Roman" w:cs="Times New Roman" w:eastAsia="Times New Roman" w:hAnsi="Times New Roman"/>
          <w:sz w:val="18"/>
          <w:szCs w:val="18"/>
          <w:color w:val="auto"/>
        </w:rPr>
        <w:t>ending December 31,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Early adoption is permitted.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Prospective, with</w:t>
            </w:r>
          </w:p>
        </w:tc>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SJW Group is currently</w:t>
            </w:r>
          </w:p>
        </w:tc>
        <w:tc>
          <w:tcPr>
            <w:tcW w:w="0" w:type="dxa"/>
            <w:vAlign w:val="bottom"/>
          </w:tcPr>
          <w:p>
            <w:pPr>
              <w:spacing w:after="0"/>
              <w:rPr>
                <w:sz w:val="1"/>
                <w:szCs w:val="1"/>
                <w:color w:val="auto"/>
              </w:rPr>
            </w:pPr>
          </w:p>
        </w:tc>
      </w:tr>
      <w:tr>
        <w:trPr>
          <w:trHeight w:val="81"/>
        </w:trPr>
        <w:tc>
          <w:tcPr>
            <w:tcW w:w="1340" w:type="dxa"/>
            <w:vAlign w:val="bottom"/>
          </w:tcPr>
          <w:p>
            <w:pPr>
              <w:spacing w:after="0" w:line="81" w:lineRule="exact"/>
              <w:rPr>
                <w:sz w:val="20"/>
                <w:szCs w:val="20"/>
                <w:color w:val="auto"/>
              </w:rPr>
            </w:pPr>
            <w:r>
              <w:rPr>
                <w:rFonts w:ascii="Times New Roman" w:cs="Times New Roman" w:eastAsia="Times New Roman" w:hAnsi="Times New Roman"/>
                <w:sz w:val="9"/>
                <w:szCs w:val="9"/>
                <w:color w:val="auto"/>
              </w:rPr>
              <w:t>retrospective</w:t>
            </w:r>
          </w:p>
        </w:tc>
        <w:tc>
          <w:tcPr>
            <w:tcW w:w="2080" w:type="dxa"/>
            <w:vAlign w:val="bottom"/>
            <w:vMerge w:val="restart"/>
          </w:tcPr>
          <w:p>
            <w:pPr>
              <w:ind w:left="100"/>
              <w:spacing w:after="0" w:line="189" w:lineRule="exact"/>
              <w:rPr>
                <w:sz w:val="20"/>
                <w:szCs w:val="20"/>
                <w:color w:val="auto"/>
              </w:rPr>
            </w:pPr>
            <w:r>
              <w:rPr>
                <w:rFonts w:ascii="Times New Roman" w:cs="Times New Roman" w:eastAsia="Times New Roman" w:hAnsi="Times New Roman"/>
                <w:sz w:val="18"/>
                <w:szCs w:val="18"/>
                <w:color w:val="auto"/>
                <w:w w:val="97"/>
              </w:rPr>
              <w:t>evaluating the requirements</w:t>
            </w:r>
          </w:p>
        </w:tc>
        <w:tc>
          <w:tcPr>
            <w:tcW w:w="0" w:type="dxa"/>
            <w:vAlign w:val="bottom"/>
          </w:tcPr>
          <w:p>
            <w:pPr>
              <w:spacing w:after="0"/>
              <w:rPr>
                <w:sz w:val="1"/>
                <w:szCs w:val="1"/>
                <w:color w:val="auto"/>
              </w:rPr>
            </w:pPr>
          </w:p>
        </w:tc>
      </w:tr>
      <w:tr>
        <w:trPr>
          <w:trHeight w:val="108"/>
        </w:trPr>
        <w:tc>
          <w:tcPr>
            <w:tcW w:w="1340" w:type="dxa"/>
            <w:vAlign w:val="bottom"/>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application also</w:t>
            </w: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340" w:type="dxa"/>
            <w:vAlign w:val="bottom"/>
            <w:vMerge w:val="continue"/>
          </w:tcPr>
          <w:p>
            <w:pPr>
              <w:spacing w:after="0"/>
              <w:rPr>
                <w:sz w:val="5"/>
                <w:szCs w:val="5"/>
                <w:color w:val="auto"/>
              </w:rPr>
            </w:pPr>
          </w:p>
        </w:tc>
        <w:tc>
          <w:tcPr>
            <w:tcW w:w="20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of ASU 2023-09.</w:t>
            </w:r>
          </w:p>
        </w:tc>
        <w:tc>
          <w:tcPr>
            <w:tcW w:w="0" w:type="dxa"/>
            <w:vAlign w:val="bottom"/>
          </w:tcPr>
          <w:p>
            <w:pPr>
              <w:spacing w:after="0"/>
              <w:rPr>
                <w:sz w:val="1"/>
                <w:szCs w:val="1"/>
                <w:color w:val="auto"/>
              </w:rPr>
            </w:pPr>
          </w:p>
        </w:tc>
      </w:tr>
      <w:tr>
        <w:trPr>
          <w:trHeight w:val="167"/>
        </w:trPr>
        <w:tc>
          <w:tcPr>
            <w:tcW w:w="1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permitted.</w:t>
            </w:r>
          </w:p>
        </w:tc>
        <w:tc>
          <w:tcPr>
            <w:tcW w:w="2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340" w:type="dxa"/>
            <w:vAlign w:val="bottom"/>
            <w:vMerge w:val="continue"/>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565" w:lineRule="exact"/>
        <w:rPr>
          <w:sz w:val="20"/>
          <w:szCs w:val="20"/>
          <w:color w:val="auto"/>
        </w:rPr>
      </w:pPr>
    </w:p>
    <w:p>
      <w:pPr>
        <w:sectPr>
          <w:pgSz w:w="11900" w:h="16838" w:orient="portrait"/>
          <w:cols w:equalWidth="0" w:num="3">
            <w:col w:w="5220" w:space="140"/>
            <w:col w:w="2000" w:space="240"/>
            <w:col w:w="36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65"/>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ASU 2024-03</w:t>
            </w:r>
          </w:p>
        </w:tc>
        <w:tc>
          <w:tcPr>
            <w:tcW w:w="3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The ASU requires disclosure, in the notes to</w:t>
            </w:r>
          </w:p>
        </w:tc>
        <w:tc>
          <w:tcPr>
            <w:tcW w:w="2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ASU is effective for</w:t>
            </w:r>
          </w:p>
        </w:tc>
        <w:tc>
          <w:tcPr>
            <w:tcW w:w="1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Prospective, with</w:t>
            </w:r>
          </w:p>
        </w:tc>
        <w:tc>
          <w:tcPr>
            <w:tcW w:w="2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SJW Group is currently</w:t>
            </w:r>
          </w:p>
        </w:tc>
        <w:tc>
          <w:tcPr>
            <w:tcW w:w="0" w:type="dxa"/>
            <w:vAlign w:val="bottom"/>
          </w:tcPr>
          <w:p>
            <w:pPr>
              <w:spacing w:after="0"/>
              <w:rPr>
                <w:sz w:val="1"/>
                <w:szCs w:val="1"/>
                <w:color w:val="auto"/>
              </w:rPr>
            </w:pPr>
          </w:p>
        </w:tc>
      </w:tr>
      <w:tr>
        <w:trPr>
          <w:trHeight w:val="81"/>
        </w:trPr>
        <w:tc>
          <w:tcPr>
            <w:tcW w:w="1680" w:type="dxa"/>
            <w:vAlign w:val="bottom"/>
            <w:shd w:val="clear" w:color="auto" w:fill="CCEEFF"/>
          </w:tcPr>
          <w:p>
            <w:pPr>
              <w:ind w:left="20"/>
              <w:spacing w:after="0" w:line="81" w:lineRule="exact"/>
              <w:rPr>
                <w:sz w:val="20"/>
                <w:szCs w:val="20"/>
                <w:color w:val="auto"/>
              </w:rPr>
            </w:pPr>
            <w:r>
              <w:rPr>
                <w:rFonts w:ascii="Times New Roman" w:cs="Times New Roman" w:eastAsia="Times New Roman" w:hAnsi="Times New Roman"/>
                <w:sz w:val="9"/>
                <w:szCs w:val="9"/>
                <w:color w:val="auto"/>
              </w:rPr>
              <w:t>“Disaggregation of</w:t>
            </w:r>
          </w:p>
        </w:tc>
        <w:tc>
          <w:tcPr>
            <w:tcW w:w="3620" w:type="dxa"/>
            <w:vAlign w:val="bottom"/>
            <w:shd w:val="clear" w:color="auto" w:fill="CCEEFF"/>
          </w:tcPr>
          <w:p>
            <w:pPr>
              <w:ind w:left="360"/>
              <w:spacing w:after="0" w:line="81" w:lineRule="exact"/>
              <w:rPr>
                <w:sz w:val="20"/>
                <w:szCs w:val="20"/>
                <w:color w:val="auto"/>
              </w:rPr>
            </w:pPr>
            <w:r>
              <w:rPr>
                <w:rFonts w:ascii="Times New Roman" w:cs="Times New Roman" w:eastAsia="Times New Roman" w:hAnsi="Times New Roman"/>
                <w:sz w:val="9"/>
                <w:szCs w:val="9"/>
                <w:color w:val="auto"/>
              </w:rPr>
              <w:t>the financial statements, of specified</w:t>
            </w:r>
          </w:p>
        </w:tc>
        <w:tc>
          <w:tcPr>
            <w:tcW w:w="2240" w:type="dxa"/>
            <w:vAlign w:val="bottom"/>
            <w:shd w:val="clear" w:color="auto" w:fill="CCEEFF"/>
          </w:tcPr>
          <w:p>
            <w:pPr>
              <w:ind w:left="60"/>
              <w:spacing w:after="0" w:line="81" w:lineRule="exact"/>
              <w:rPr>
                <w:sz w:val="20"/>
                <w:szCs w:val="20"/>
                <w:color w:val="auto"/>
              </w:rPr>
            </w:pPr>
            <w:r>
              <w:rPr>
                <w:rFonts w:ascii="Times New Roman" w:cs="Times New Roman" w:eastAsia="Times New Roman" w:hAnsi="Times New Roman"/>
                <w:sz w:val="9"/>
                <w:szCs w:val="9"/>
                <w:color w:val="auto"/>
              </w:rPr>
              <w:t>SJW Group for its annual</w:t>
            </w:r>
          </w:p>
        </w:tc>
        <w:tc>
          <w:tcPr>
            <w:tcW w:w="1400" w:type="dxa"/>
            <w:vAlign w:val="bottom"/>
            <w:shd w:val="clear" w:color="auto" w:fill="CCEEFF"/>
          </w:tcPr>
          <w:p>
            <w:pPr>
              <w:ind w:left="60"/>
              <w:spacing w:after="0" w:line="81" w:lineRule="exact"/>
              <w:rPr>
                <w:sz w:val="20"/>
                <w:szCs w:val="20"/>
                <w:color w:val="auto"/>
              </w:rPr>
            </w:pPr>
            <w:r>
              <w:rPr>
                <w:rFonts w:ascii="Times New Roman" w:cs="Times New Roman" w:eastAsia="Times New Roman" w:hAnsi="Times New Roman"/>
                <w:sz w:val="9"/>
                <w:szCs w:val="9"/>
                <w:color w:val="auto"/>
              </w:rPr>
              <w:t>retrospective</w:t>
            </w:r>
          </w:p>
        </w:tc>
        <w:tc>
          <w:tcPr>
            <w:tcW w:w="2300" w:type="dxa"/>
            <w:vAlign w:val="bottom"/>
            <w:vMerge w:val="restart"/>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evaluating the requirements</w:t>
            </w:r>
          </w:p>
        </w:tc>
        <w:tc>
          <w:tcPr>
            <w:tcW w:w="0" w:type="dxa"/>
            <w:vAlign w:val="bottom"/>
          </w:tcPr>
          <w:p>
            <w:pPr>
              <w:spacing w:after="0"/>
              <w:rPr>
                <w:sz w:val="1"/>
                <w:szCs w:val="1"/>
                <w:color w:val="auto"/>
              </w:rPr>
            </w:pPr>
          </w:p>
        </w:tc>
      </w:tr>
      <w:tr>
        <w:trPr>
          <w:trHeight w:val="108"/>
        </w:trPr>
        <w:tc>
          <w:tcPr>
            <w:tcW w:w="1680" w:type="dxa"/>
            <w:vAlign w:val="bottom"/>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Statement</w:t>
            </w:r>
          </w:p>
        </w:tc>
        <w:tc>
          <w:tcPr>
            <w:tcW w:w="3620" w:type="dxa"/>
            <w:vAlign w:val="bottom"/>
            <w:vMerge w:val="restart"/>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information about certain costs and</w:t>
            </w:r>
          </w:p>
        </w:tc>
        <w:tc>
          <w:tcPr>
            <w:tcW w:w="2240" w:type="dxa"/>
            <w:vAlign w:val="bottom"/>
            <w:vMerge w:val="restart"/>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financial statements for the</w:t>
            </w:r>
          </w:p>
        </w:tc>
        <w:tc>
          <w:tcPr>
            <w:tcW w:w="1400" w:type="dxa"/>
            <w:vAlign w:val="bottom"/>
            <w:vMerge w:val="restart"/>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application also</w:t>
            </w:r>
          </w:p>
        </w:tc>
        <w:tc>
          <w:tcPr>
            <w:tcW w:w="23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680" w:type="dxa"/>
            <w:vAlign w:val="bottom"/>
            <w:vMerge w:val="continue"/>
            <w:shd w:val="clear" w:color="auto" w:fill="CCEEFF"/>
          </w:tcPr>
          <w:p>
            <w:pPr>
              <w:spacing w:after="0"/>
              <w:rPr>
                <w:sz w:val="5"/>
                <w:szCs w:val="5"/>
                <w:color w:val="auto"/>
              </w:rPr>
            </w:pPr>
          </w:p>
        </w:tc>
        <w:tc>
          <w:tcPr>
            <w:tcW w:w="3620" w:type="dxa"/>
            <w:vAlign w:val="bottom"/>
            <w:vMerge w:val="continue"/>
            <w:shd w:val="clear" w:color="auto" w:fill="CCEEFF"/>
          </w:tcPr>
          <w:p>
            <w:pPr>
              <w:spacing w:after="0"/>
              <w:rPr>
                <w:sz w:val="5"/>
                <w:szCs w:val="5"/>
                <w:color w:val="auto"/>
              </w:rPr>
            </w:pPr>
          </w:p>
        </w:tc>
        <w:tc>
          <w:tcPr>
            <w:tcW w:w="2240" w:type="dxa"/>
            <w:vAlign w:val="bottom"/>
            <w:vMerge w:val="continue"/>
            <w:shd w:val="clear" w:color="auto" w:fill="CCEEFF"/>
          </w:tcPr>
          <w:p>
            <w:pPr>
              <w:spacing w:after="0"/>
              <w:rPr>
                <w:sz w:val="5"/>
                <w:szCs w:val="5"/>
                <w:color w:val="auto"/>
              </w:rPr>
            </w:pPr>
          </w:p>
        </w:tc>
        <w:tc>
          <w:tcPr>
            <w:tcW w:w="1400" w:type="dxa"/>
            <w:vAlign w:val="bottom"/>
            <w:vMerge w:val="continue"/>
            <w:shd w:val="clear" w:color="auto" w:fill="CCEEFF"/>
          </w:tcPr>
          <w:p>
            <w:pPr>
              <w:spacing w:after="0"/>
              <w:rPr>
                <w:sz w:val="5"/>
                <w:szCs w:val="5"/>
                <w:color w:val="auto"/>
              </w:rPr>
            </w:pPr>
          </w:p>
        </w:tc>
        <w:tc>
          <w:tcPr>
            <w:tcW w:w="23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 ASU 2024-03.</w:t>
            </w:r>
          </w:p>
        </w:tc>
        <w:tc>
          <w:tcPr>
            <w:tcW w:w="0" w:type="dxa"/>
            <w:vAlign w:val="bottom"/>
          </w:tcPr>
          <w:p>
            <w:pPr>
              <w:spacing w:after="0"/>
              <w:rPr>
                <w:sz w:val="1"/>
                <w:szCs w:val="1"/>
                <w:color w:val="auto"/>
              </w:rPr>
            </w:pPr>
          </w:p>
        </w:tc>
      </w:tr>
      <w:tr>
        <w:trPr>
          <w:trHeight w:val="184"/>
        </w:trPr>
        <w:tc>
          <w:tcPr>
            <w:tcW w:w="16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Expenses”</w:t>
            </w:r>
          </w:p>
        </w:tc>
        <w:tc>
          <w:tcPr>
            <w:tcW w:w="362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expenses. The ASU requires disclosure of</w:t>
            </w:r>
          </w:p>
        </w:tc>
        <w:tc>
          <w:tcPr>
            <w:tcW w:w="2240" w:type="dxa"/>
            <w:vAlign w:val="bottom"/>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year ending December 31,</w:t>
            </w:r>
          </w:p>
        </w:tc>
        <w:tc>
          <w:tcPr>
            <w:tcW w:w="1400" w:type="dxa"/>
            <w:vAlign w:val="bottom"/>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permitted.</w:t>
            </w:r>
          </w:p>
        </w:tc>
        <w:tc>
          <w:tcPr>
            <w:tcW w:w="23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680" w:type="dxa"/>
            <w:vAlign w:val="bottom"/>
            <w:shd w:val="clear" w:color="auto" w:fill="CCEEFF"/>
          </w:tcPr>
          <w:p>
            <w:pPr>
              <w:spacing w:after="0"/>
              <w:rPr>
                <w:sz w:val="15"/>
                <w:szCs w:val="15"/>
                <w:color w:val="auto"/>
              </w:rPr>
            </w:pPr>
          </w:p>
        </w:tc>
        <w:tc>
          <w:tcPr>
            <w:tcW w:w="362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8"/>
                <w:szCs w:val="18"/>
                <w:color w:val="auto"/>
              </w:rPr>
              <w:t>purchases of inventory, employee</w:t>
            </w:r>
          </w:p>
        </w:tc>
        <w:tc>
          <w:tcPr>
            <w:tcW w:w="2240" w:type="dxa"/>
            <w:vAlign w:val="bottom"/>
            <w:shd w:val="clear" w:color="auto" w:fill="CCEEFF"/>
          </w:tcPr>
          <w:p>
            <w:pPr>
              <w:ind w:left="60"/>
              <w:spacing w:after="0" w:line="181" w:lineRule="exact"/>
              <w:rPr>
                <w:sz w:val="20"/>
                <w:szCs w:val="20"/>
                <w:color w:val="auto"/>
              </w:rPr>
            </w:pPr>
            <w:r>
              <w:rPr>
                <w:rFonts w:ascii="Times New Roman" w:cs="Times New Roman" w:eastAsia="Times New Roman" w:hAnsi="Times New Roman"/>
                <w:sz w:val="18"/>
                <w:szCs w:val="18"/>
                <w:color w:val="auto"/>
              </w:rPr>
              <w:t>2027 and for interim</w:t>
            </w:r>
          </w:p>
        </w:tc>
        <w:tc>
          <w:tcPr>
            <w:tcW w:w="14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80" w:type="dxa"/>
            <w:vAlign w:val="bottom"/>
            <w:shd w:val="clear" w:color="auto" w:fill="CCEEFF"/>
          </w:tcPr>
          <w:p>
            <w:pPr>
              <w:spacing w:after="0"/>
              <w:rPr>
                <w:sz w:val="15"/>
                <w:szCs w:val="15"/>
                <w:color w:val="auto"/>
              </w:rPr>
            </w:pPr>
          </w:p>
        </w:tc>
        <w:tc>
          <w:tcPr>
            <w:tcW w:w="36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compensation, depreciation, and intangible</w:t>
            </w:r>
          </w:p>
        </w:tc>
        <w:tc>
          <w:tcPr>
            <w:tcW w:w="224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reporting periods for the year</w:t>
            </w:r>
          </w:p>
        </w:tc>
        <w:tc>
          <w:tcPr>
            <w:tcW w:w="14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80" w:type="dxa"/>
            <w:vAlign w:val="bottom"/>
            <w:shd w:val="clear" w:color="auto" w:fill="CCEEFF"/>
          </w:tcPr>
          <w:p>
            <w:pPr>
              <w:spacing w:after="0"/>
              <w:rPr>
                <w:sz w:val="16"/>
                <w:szCs w:val="16"/>
                <w:color w:val="auto"/>
              </w:rPr>
            </w:pPr>
          </w:p>
        </w:tc>
        <w:tc>
          <w:tcPr>
            <w:tcW w:w="362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asset amortization in interim and annual</w:t>
            </w:r>
          </w:p>
        </w:tc>
        <w:tc>
          <w:tcPr>
            <w:tcW w:w="2240" w:type="dxa"/>
            <w:vAlign w:val="bottom"/>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ending December 31, 2028.</w:t>
            </w:r>
          </w:p>
        </w:tc>
        <w:tc>
          <w:tcPr>
            <w:tcW w:w="140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680" w:type="dxa"/>
            <w:vAlign w:val="bottom"/>
            <w:shd w:val="clear" w:color="auto" w:fill="CCEEFF"/>
          </w:tcPr>
          <w:p>
            <w:pPr>
              <w:spacing w:after="0"/>
              <w:rPr>
                <w:sz w:val="15"/>
                <w:szCs w:val="15"/>
                <w:color w:val="auto"/>
              </w:rPr>
            </w:pPr>
          </w:p>
        </w:tc>
        <w:tc>
          <w:tcPr>
            <w:tcW w:w="362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8"/>
                <w:szCs w:val="18"/>
                <w:color w:val="auto"/>
              </w:rPr>
              <w:t>reporting periods. Further, other amounts</w:t>
            </w:r>
          </w:p>
        </w:tc>
        <w:tc>
          <w:tcPr>
            <w:tcW w:w="2240" w:type="dxa"/>
            <w:vAlign w:val="bottom"/>
            <w:shd w:val="clear" w:color="auto" w:fill="CCEEFF"/>
          </w:tcPr>
          <w:p>
            <w:pPr>
              <w:ind w:left="60"/>
              <w:spacing w:after="0" w:line="181" w:lineRule="exact"/>
              <w:rPr>
                <w:sz w:val="20"/>
                <w:szCs w:val="20"/>
                <w:color w:val="auto"/>
              </w:rPr>
            </w:pPr>
            <w:r>
              <w:rPr>
                <w:rFonts w:ascii="Times New Roman" w:cs="Times New Roman" w:eastAsia="Times New Roman" w:hAnsi="Times New Roman"/>
                <w:sz w:val="18"/>
                <w:szCs w:val="18"/>
                <w:color w:val="auto"/>
              </w:rPr>
              <w:t>Early adoption is permitted.</w:t>
            </w:r>
          </w:p>
        </w:tc>
        <w:tc>
          <w:tcPr>
            <w:tcW w:w="14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80" w:type="dxa"/>
            <w:vAlign w:val="bottom"/>
            <w:shd w:val="clear" w:color="auto" w:fill="CCEEFF"/>
          </w:tcPr>
          <w:p>
            <w:pPr>
              <w:spacing w:after="0"/>
              <w:rPr>
                <w:sz w:val="15"/>
                <w:szCs w:val="15"/>
                <w:color w:val="auto"/>
              </w:rPr>
            </w:pPr>
          </w:p>
        </w:tc>
        <w:tc>
          <w:tcPr>
            <w:tcW w:w="36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already required to be disclosed in</w:t>
            </w:r>
          </w:p>
        </w:tc>
        <w:tc>
          <w:tcPr>
            <w:tcW w:w="22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80" w:type="dxa"/>
            <w:vAlign w:val="bottom"/>
            <w:shd w:val="clear" w:color="auto" w:fill="CCEEFF"/>
          </w:tcPr>
          <w:p>
            <w:pPr>
              <w:spacing w:after="0"/>
              <w:rPr>
                <w:sz w:val="16"/>
                <w:szCs w:val="16"/>
                <w:color w:val="auto"/>
              </w:rPr>
            </w:pPr>
          </w:p>
        </w:tc>
        <w:tc>
          <w:tcPr>
            <w:tcW w:w="362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accordance with current U.S. GAAP would</w:t>
            </w:r>
          </w:p>
        </w:tc>
        <w:tc>
          <w:tcPr>
            <w:tcW w:w="2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680" w:type="dxa"/>
            <w:vAlign w:val="bottom"/>
            <w:shd w:val="clear" w:color="auto" w:fill="CCEEFF"/>
          </w:tcPr>
          <w:p>
            <w:pPr>
              <w:spacing w:after="0"/>
              <w:rPr>
                <w:sz w:val="15"/>
                <w:szCs w:val="15"/>
                <w:color w:val="auto"/>
              </w:rPr>
            </w:pPr>
          </w:p>
        </w:tc>
        <w:tc>
          <w:tcPr>
            <w:tcW w:w="362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8"/>
                <w:szCs w:val="18"/>
                <w:color w:val="auto"/>
              </w:rPr>
              <w:t>be included in the same disclosure as the</w:t>
            </w:r>
          </w:p>
        </w:tc>
        <w:tc>
          <w:tcPr>
            <w:tcW w:w="22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80" w:type="dxa"/>
            <w:vAlign w:val="bottom"/>
            <w:shd w:val="clear" w:color="auto" w:fill="CCEEFF"/>
          </w:tcPr>
          <w:p>
            <w:pPr>
              <w:spacing w:after="0"/>
              <w:rPr>
                <w:sz w:val="15"/>
                <w:szCs w:val="15"/>
                <w:color w:val="auto"/>
              </w:rPr>
            </w:pPr>
          </w:p>
        </w:tc>
        <w:tc>
          <w:tcPr>
            <w:tcW w:w="36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other disaggregation requirements.</w:t>
            </w:r>
          </w:p>
        </w:tc>
        <w:tc>
          <w:tcPr>
            <w:tcW w:w="22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80" w:type="dxa"/>
            <w:vAlign w:val="bottom"/>
            <w:shd w:val="clear" w:color="auto" w:fill="CCEEFF"/>
          </w:tcPr>
          <w:p>
            <w:pPr>
              <w:spacing w:after="0"/>
              <w:rPr>
                <w:sz w:val="16"/>
                <w:szCs w:val="16"/>
                <w:color w:val="auto"/>
              </w:rPr>
            </w:pPr>
          </w:p>
        </w:tc>
        <w:tc>
          <w:tcPr>
            <w:tcW w:w="362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Additionally, the ASU requires qualitative</w:t>
            </w:r>
          </w:p>
        </w:tc>
        <w:tc>
          <w:tcPr>
            <w:tcW w:w="2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680" w:type="dxa"/>
            <w:vAlign w:val="bottom"/>
            <w:shd w:val="clear" w:color="auto" w:fill="CCEEFF"/>
          </w:tcPr>
          <w:p>
            <w:pPr>
              <w:spacing w:after="0"/>
              <w:rPr>
                <w:sz w:val="15"/>
                <w:szCs w:val="15"/>
                <w:color w:val="auto"/>
              </w:rPr>
            </w:pPr>
          </w:p>
        </w:tc>
        <w:tc>
          <w:tcPr>
            <w:tcW w:w="362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8"/>
                <w:szCs w:val="18"/>
                <w:color w:val="auto"/>
              </w:rPr>
              <w:t>descriptions of amounts remaining in</w:t>
            </w:r>
          </w:p>
        </w:tc>
        <w:tc>
          <w:tcPr>
            <w:tcW w:w="22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80" w:type="dxa"/>
            <w:vAlign w:val="bottom"/>
            <w:shd w:val="clear" w:color="auto" w:fill="CCEEFF"/>
          </w:tcPr>
          <w:p>
            <w:pPr>
              <w:spacing w:after="0"/>
              <w:rPr>
                <w:sz w:val="15"/>
                <w:szCs w:val="15"/>
                <w:color w:val="auto"/>
              </w:rPr>
            </w:pPr>
          </w:p>
        </w:tc>
        <w:tc>
          <w:tcPr>
            <w:tcW w:w="36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relevant expense captions that are not</w:t>
            </w:r>
          </w:p>
        </w:tc>
        <w:tc>
          <w:tcPr>
            <w:tcW w:w="22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80" w:type="dxa"/>
            <w:vAlign w:val="bottom"/>
            <w:shd w:val="clear" w:color="auto" w:fill="CCEEFF"/>
          </w:tcPr>
          <w:p>
            <w:pPr>
              <w:spacing w:after="0"/>
              <w:rPr>
                <w:sz w:val="16"/>
                <w:szCs w:val="16"/>
                <w:color w:val="auto"/>
              </w:rPr>
            </w:pPr>
          </w:p>
        </w:tc>
        <w:tc>
          <w:tcPr>
            <w:tcW w:w="362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separately disaggregated quantitatively as</w:t>
            </w:r>
          </w:p>
        </w:tc>
        <w:tc>
          <w:tcPr>
            <w:tcW w:w="2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680" w:type="dxa"/>
            <w:vAlign w:val="bottom"/>
            <w:shd w:val="clear" w:color="auto" w:fill="CCEEFF"/>
          </w:tcPr>
          <w:p>
            <w:pPr>
              <w:spacing w:after="0"/>
              <w:rPr>
                <w:sz w:val="15"/>
                <w:szCs w:val="15"/>
                <w:color w:val="auto"/>
              </w:rPr>
            </w:pPr>
          </w:p>
        </w:tc>
        <w:tc>
          <w:tcPr>
            <w:tcW w:w="362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8"/>
                <w:szCs w:val="18"/>
                <w:color w:val="auto"/>
              </w:rPr>
              <w:t>well as disclosure of selling expenses in</w:t>
            </w:r>
          </w:p>
        </w:tc>
        <w:tc>
          <w:tcPr>
            <w:tcW w:w="22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80" w:type="dxa"/>
            <w:vAlign w:val="bottom"/>
            <w:shd w:val="clear" w:color="auto" w:fill="CCEEFF"/>
          </w:tcPr>
          <w:p>
            <w:pPr>
              <w:spacing w:after="0"/>
              <w:rPr>
                <w:sz w:val="15"/>
                <w:szCs w:val="15"/>
                <w:color w:val="auto"/>
              </w:rPr>
            </w:pPr>
          </w:p>
        </w:tc>
        <w:tc>
          <w:tcPr>
            <w:tcW w:w="36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annual periods and an entity’s definition of</w:t>
            </w:r>
          </w:p>
        </w:tc>
        <w:tc>
          <w:tcPr>
            <w:tcW w:w="22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CCEEFF"/>
          </w:tcPr>
          <w:p>
            <w:pPr>
              <w:spacing w:after="0"/>
              <w:rPr>
                <w:sz w:val="19"/>
                <w:szCs w:val="19"/>
                <w:color w:val="auto"/>
              </w:rPr>
            </w:pPr>
          </w:p>
        </w:tc>
        <w:tc>
          <w:tcPr>
            <w:tcW w:w="3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expenses.</w:t>
            </w:r>
          </w:p>
        </w:tc>
        <w:tc>
          <w:tcPr>
            <w:tcW w:w="2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53"/>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36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Regulatory Matters</w:t>
            </w:r>
          </w:p>
        </w:tc>
        <w:tc>
          <w:tcPr>
            <w:tcW w:w="2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68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Regulation</w:t>
            </w:r>
          </w:p>
        </w:tc>
        <w:tc>
          <w:tcPr>
            <w:tcW w:w="36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Water Utility Services, excluding non-tariffed activities, are subject to rate regulation based on cost recovery and meets the criteria of accounting guidance for rate-regulated operations under ASC Topic 980, which affects the timing of the recognition of certain revenues and expenses. SJW Group’s consolidated financial statements reflect the actions of regulators in the rate-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making process. The rate-making process is intended to provide revenues sufficient to recover normal operating expenses, provide funds for replacement of water infrastructure and produce a fair and reasonable return on stockholder common equity.</w:t>
      </w:r>
    </w:p>
    <w:p>
      <w:pPr>
        <w:spacing w:after="0" w:line="5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Water Utility Services, excluding non-tariffed activities, recognizes regulatory assets for incurred costs that are deemed probable of recovery from customers. Also, Water Utility Services recognizes regulatory liabilities for amounts expected to be refunded to customers in the rate-making process and for amounts collected in advance of the related expenditures. Regulatory assets or liabilities are also recognized for special revenue programs such as WCMA and WRA in accordance with guidance on alternative revenue programs under ASC Topic 980. Application of ASC 980, including determining whether recovery is probable, requires significant judgment by management and includes assessing evidence that may exist prior to regulatory authorization, including regulatory rules and decisions, historical ratemaking practices, and other facts and circumstances that would indicate that recovery or refund is probable.</w:t>
      </w:r>
    </w:p>
    <w:p>
      <w:pPr>
        <w:spacing w:after="0" w:line="8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If the regulated utility determines that it is no longer probable that regulatory assets or liabilities would be recovered or refunded through the regulatory process, or if the utility ceased to be subject to rate regulation, the affected regulatory assets and liabilities would be derecognized with a corresponding adjustment to income in the period in which that determination was made.</w:t>
      </w:r>
    </w:p>
    <w:p>
      <w:pPr>
        <w:spacing w:after="0" w:line="6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SJWC has established balancing accounts for the purpose of tracking the under-collection or over-collection associated with expense changes and the revenue authorized by the CPUC to offset those expense changes. SJWC’s Full Cost Balancing Account (“FCBA”) tracks water supply costs and energy consumption. The Monterey Water Revenue Adjustment (“MWRAM”) balancing account tracks the difference between the revenue received for actual metered sales through the tiered volumetric rate and the revenue that would have been received with the same actual metered sales if a uniform rate would have been in effect.</w:t>
      </w:r>
    </w:p>
    <w:p>
      <w:pPr>
        <w:spacing w:after="0" w:line="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SJWC also maintains memorandum accounts to track impacts due to catastrophic events, certain unforeseen water quality expenses related to new federal and state water quality standards, energy efficiency, water conservation, water tariffs, and other approved activities or as directed by the CPUC. The WCMA allows SJWC to track lost revenue, net of related water costs, associated with reduced sales due to water conservation and associated calls for water use reduction, both mandatory and voluntary. SJWC records the lost revenue captured in the WCMA balancing accounts, including amounts related to a 20-basis point reduction in the authorized return on equity per the terms of the WCMA. Applicable drought surcharges collected are used to offset the revenue losses tracked in the WCMA. Mandatory water conservation requirements from Santa Clara Valley Water District (“Valley Water”) ended on April 11, 2023, which also ended SJWC’s Mandatory Conservation Plan, that included drought allocations and surcharges. On October 2, 2023, the CPUC approved the continuation of WCMA and Water Conservation Expense Memorandum Account under the voluntary call for conservation effective April 20, 2023. All balancing accounts and memorandum accounts not included for recovery or refund in current customer rates will be reviewed by the CPUC in SJWC’s next general rate case or at the time an individual account balance reaches a threshold of 2% of authorized revenue, whichever occurs first. On December 19, 2024, the CPUC issued General Rate Case Decision No. 24-12-077, which approved a recovery of $15,792 in balancing and memorandum accounts from customers through a 12-month surcharge effective January 1, 2025.</w:t>
      </w:r>
    </w:p>
    <w:p>
      <w:pPr>
        <w:spacing w:after="0" w:line="8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CWC has been authorized by PURA to utilize WRA, a decoupling mechanism, to mitigate risks associated with changes in demand. The WRA is used to reconcile actual water demands with the demands projected in the most recent general rate case and allows the company to implement a surcharge or sur-credit as necessary to recover or refund the revenues approved in the general rate case. The WRA allows the company to defer, as a regulatory asset or liability, the amount by which actual revenues deviate from the revenues allowed in the most recent general rate proceedings.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Regulatory Assets and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assets and liabilities are comprised of the following as of December 31: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52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temporary differences (a) (q)</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180,103</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157,669</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Unrecognized pensions and other postretirement benefits (b) (q)</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24,593</w:t>
            </w: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 combinations debt premium (c) (q)</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12,313</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14,855</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benefit costs (d) (q)</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w:t>
            </w: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MWRAM (e)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9,361</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Assistance Program (“CAP”) balancing account (f)</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0" w:type="dxa"/>
            <w:vAlign w:val="bottom"/>
          </w:tcPr>
          <w:p>
            <w:pPr>
              <w:spacing w:after="0"/>
              <w:rPr>
                <w:sz w:val="1"/>
                <w:szCs w:val="1"/>
                <w:color w:val="auto"/>
              </w:rPr>
            </w:pP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Catastrophic event memorandum accounts (“CEMA”) (g)</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2022 general rate case interim memorandum account (h)</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 adjustment mechanisms (n) (q)</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Water supply costs (i)</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(j)</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14,278</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8,463</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regulatory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242,227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240,186</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regulatory asset (k)</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18,172</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regulatory assets, less current portion</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224,055</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235,910</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Regulatory liabilities: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removal (l)</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364,398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346,418</w:t>
            </w: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Future income tax benefits due to customers (m)</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84,128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88,610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Unrecognized pensions and other postretirement benefits (b)</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20,196</w:t>
            </w: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benefit costs (d)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 adjustment mechanisms (n)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Water supply costs (i)</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regulatory liabilities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484,841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464,167</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regulatory liabilities (p)</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regulatory liabilities, less current portion</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483,719</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461,108</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1" w:lineRule="exact"/>
        <w:rPr>
          <w:sz w:val="20"/>
          <w:szCs w:val="20"/>
          <w:color w:val="auto"/>
        </w:rPr>
      </w:pPr>
    </w:p>
    <w:p>
      <w:pPr>
        <w:jc w:val="both"/>
        <w:ind w:left="660" w:right="380" w:hanging="652"/>
        <w:spacing w:after="0" w:line="259" w:lineRule="auto"/>
        <w:tabs>
          <w:tab w:leader="none" w:pos="65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primarily of temporary income tax differences that are flowed through to customers, which will be recovered in future rates as these temporary differences reverse. The company expects to recover regulatory assets related to plant depreciation income tax temporary differences over the lives of the plant assets, which are between 5 to 100 years.</w:t>
      </w:r>
    </w:p>
    <w:p>
      <w:pPr>
        <w:ind w:left="660" w:right="160" w:hanging="652"/>
        <w:spacing w:after="0" w:line="261" w:lineRule="auto"/>
        <w:tabs>
          <w:tab w:leader="none" w:pos="65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actuarial losses and gains and prior service cost that have not yet been recognized as components of net periodic benefit cost for certain pension and other postretirement benefit plans.</w:t>
      </w:r>
    </w:p>
    <w:p>
      <w:pPr>
        <w:ind w:left="660" w:hanging="652"/>
        <w:spacing w:after="0"/>
        <w:tabs>
          <w:tab w:leader="none" w:pos="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debt fair value adjustments recognized through purchase accounting for the completed merger with CTWS in 2019.</w:t>
      </w:r>
    </w:p>
    <w:p>
      <w:pPr>
        <w:spacing w:after="0" w:line="4"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deferrals of pension and other postretirement benefit expense, cost of accrued benefits for vacation, and group health insurance.</w:t>
      </w:r>
    </w:p>
    <w:p>
      <w:pPr>
        <w:spacing w:after="0" w:line="11"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MWRAM is described in the previous section.</w:t>
      </w:r>
    </w:p>
    <w:p>
      <w:pPr>
        <w:spacing w:after="0" w:line="14"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associated with SJWC’s CAP.</w:t>
      </w:r>
    </w:p>
    <w:p>
      <w:pPr>
        <w:spacing w:after="0" w:line="14" w:lineRule="exact"/>
        <w:rPr>
          <w:rFonts w:ascii="Times New Roman" w:cs="Times New Roman" w:eastAsia="Times New Roman" w:hAnsi="Times New Roman"/>
          <w:sz w:val="14"/>
          <w:szCs w:val="14"/>
          <w:color w:val="auto"/>
        </w:rPr>
      </w:pPr>
    </w:p>
    <w:p>
      <w:pPr>
        <w:ind w:left="660" w:right="160" w:hanging="652"/>
        <w:spacing w:after="0" w:line="254" w:lineRule="auto"/>
        <w:tabs>
          <w:tab w:leader="none" w:pos="65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CPUC has authorized water utilities to activate CEMA accounts in order to track savings and costs related to SJWC’s response to catastrophic events, which includes external labor and materials, increases in bad debt from suspension of shutoffs for non-payment, waived deposits and reconnection fees, and divergence from actual versus authorized usage. The balances primarily relate to expenses associated with SJWC’s response to COVID-19, including bad debt.</w:t>
      </w:r>
    </w:p>
    <w:p>
      <w:pPr>
        <w:spacing w:after="0" w:line="1" w:lineRule="exact"/>
        <w:rPr>
          <w:rFonts w:ascii="Times New Roman" w:cs="Times New Roman" w:eastAsia="Times New Roman" w:hAnsi="Times New Roman"/>
          <w:sz w:val="14"/>
          <w:szCs w:val="14"/>
          <w:color w:val="auto"/>
        </w:rPr>
      </w:pPr>
    </w:p>
    <w:p>
      <w:pPr>
        <w:ind w:left="660" w:right="60" w:hanging="652"/>
        <w:spacing w:after="0" w:line="261" w:lineRule="auto"/>
        <w:tabs>
          <w:tab w:leader="none" w:pos="65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difference between revenues collected in interim rates in effect as of January 1, 2022 and revenues that would result from rates authorized in SJWC’s 2022 general rate case retroactive to January 1, 2022.</w:t>
      </w:r>
    </w:p>
    <w:p>
      <w:pPr>
        <w:ind w:left="660" w:right="240" w:hanging="652"/>
        <w:spacing w:after="0" w:line="251" w:lineRule="auto"/>
        <w:tabs>
          <w:tab w:leader="none" w:pos="64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primarily SJWC’s FCBA which tracks differences in actual water supply costs compared to amounts assumed in base rates, including applicable changes and variations in costs and quantities that affect the overall mix of the water supply.</w:t>
      </w:r>
    </w:p>
    <w:p>
      <w:pPr>
        <w:ind w:left="660" w:right="120" w:hanging="652"/>
        <w:spacing w:after="0" w:line="261" w:lineRule="auto"/>
        <w:tabs>
          <w:tab w:leader="none" w:pos="64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includes other balancing and memorandum accounts and regulatory mechanisms, deferred costs for certain information technology activities, asset retirement obligations, tank painting, well reconditioning and rate case expenses.</w:t>
      </w:r>
    </w:p>
    <w:p>
      <w:pPr>
        <w:ind w:left="660" w:right="140" w:hanging="652"/>
        <w:spacing w:after="0" w:line="254" w:lineRule="auto"/>
        <w:tabs>
          <w:tab w:leader="none" w:pos="65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primarily relates to SJWC’s balancing and memorandum account surcharge in accordance with Decision No. 24-12-077 and the current portion of CWC’s deferred well redevelopment and rate case costs. As of December 31, 2023, primarily relates to the current portion of MWRAM.</w:t>
      </w:r>
    </w:p>
    <w:p>
      <w:pPr>
        <w:ind w:left="640" w:hanging="632"/>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amounts collected in rates from customers for estimated costs to retire assets at the end of their expected useful lives before the costs are incurred.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right="40" w:hanging="652"/>
        <w:spacing w:after="0" w:line="262" w:lineRule="auto"/>
        <w:tabs>
          <w:tab w:leader="none" w:pos="65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22, 2017, the Tax Cuts and Jobs Act of 2017 (the "Tax Act”) was signed into law. The Tax Act included a reduction in the federal income tax rate from 35% to 21%. The rate reduction was effective on January 1, 2018 and resulted in a regulatory liability for the excess deferred income taxes. The benefit of amortization of excess deferred income taxes flows back to the customers under current normalization rules and agreed upon methods with the commissions.</w:t>
      </w:r>
    </w:p>
    <w:p>
      <w:pPr>
        <w:spacing w:after="0" w:line="1"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WRA and WCMA, which are described in the previous section.</w:t>
      </w:r>
    </w:p>
    <w:p>
      <w:pPr>
        <w:spacing w:after="0" w:line="11"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includes other balancing and memorandum accounts, other regulatory mechanisms and accrued tank painting costs.</w:t>
      </w:r>
    </w:p>
    <w:p>
      <w:pPr>
        <w:spacing w:after="0" w:line="14"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relates to the current portion of WRA.</w:t>
      </w:r>
    </w:p>
    <w:p>
      <w:pPr>
        <w:spacing w:after="0" w:line="14"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Generally not earning a return either by interest on the regulatory asset or as a component of rate base at the allowed rate of return.</w:t>
      </w:r>
    </w:p>
    <w:p>
      <w:pPr>
        <w:spacing w:after="0" w:line="24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8"/>
          <w:szCs w:val="18"/>
          <w:b w:val="1"/>
          <w:bCs w:val="1"/>
          <w:color w:val="auto"/>
        </w:rPr>
        <w:t>Capitalization</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SJW Group is authorized to issue 70,000,000 shares of common stock of $0.001 par value per share. At December 31, 2024 and 2023, 33,629,169 and 32,023,004, respectively, shares of common stock were issued and outstanding.</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1,000,000 shares of preferred stock of $0.001 par value per share were authorized for SJW Group. At December 31, 2024 and 2023, no shares of preferred stock were issued or outstanding.</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March 2023, SJW Group entered into Amendment No. 1 to the equity distribution agreement (the “Equity Distribution Agreement”), dated November 17, 2021, between SJW Group and J.P. Morgan Securities LLC, Janney Montgomery Scott LLC, RBC Capital Markets, LLC and Wells Fargo Securities, LLC, pursuant to which the company offered and sold shares of its common stock, $0.001 par value per share, from time to time in “at-the-market” offerings, having an aggregate gross sales price of up to $240,000. The Equity Distribution Agreement was replaced by a new equity distribution agreement in October 2024, as discussed below. Through the Equity Distribution Agreement, SJW Group issued and sold 3,151,433 shares of common stock at a weighted average price of $67.80 for a total net proceeds of $208,838 over the life of the agreement.</w:t>
      </w:r>
    </w:p>
    <w:p>
      <w:pPr>
        <w:spacing w:after="0" w:line="7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October 29, 2024, SJW Group entered into an equity distribution agreement (the, “New Equity Distribution Agreement”) with BofA Securities, Inc., J.P. Morgan Securities LLC, RBC Capital Markets, LLC and Wells Fargo Securities, LLC, pursuant to which the company may offer and sell shares of its common stock, $0.001 par value per share, from time to time in “at-the-market” offerings, having an aggregate gross sales price of up to $200,000. Since the inception of the New Equity Distribution Agreement, SJW Group has issued and sold 375,513 shares of common stock at a weighted average price of $55.46 for a total net proceeds of $20,167 and has $179,175 of aggregate gross sales price of shares remaining to issue under the New Equity Distribution Agreement as of December 31, 2024.</w:t>
      </w:r>
    </w:p>
    <w:p>
      <w:pPr>
        <w:spacing w:after="0" w:line="7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SJW Group issued and sold a total of 1,522,289 shares of common stock with a weighted average price of $57.15 per share and received $85,008 in net proceeds under the aforementioned equity distribution agreements.</w:t>
      </w:r>
    </w:p>
    <w:p>
      <w:pPr>
        <w:spacing w:after="0" w:line="29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Lines of Credit</w:t>
      </w:r>
    </w:p>
    <w:p>
      <w:pPr>
        <w:spacing w:after="0" w:line="14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SJW Group and its subsidiaries have unsecured line of credit agreements where borrowings are used to refinance existing debt, for working capital, and for general corporate purposes. A summary of the line of credit agreements as of December 31, 2024 and 2023 are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3120" w:type="dxa"/>
            <w:vAlign w:val="bottom"/>
          </w:tcPr>
          <w:p>
            <w:pPr>
              <w:spacing w:after="0"/>
              <w:rPr>
                <w:sz w:val="2"/>
                <w:szCs w:val="2"/>
                <w:color w:val="auto"/>
              </w:rPr>
            </w:pPr>
          </w:p>
        </w:tc>
        <w:tc>
          <w:tcPr>
            <w:tcW w:w="2300" w:type="dxa"/>
            <w:vAlign w:val="bottom"/>
            <w:gridSpan w:val="3"/>
          </w:tcPr>
          <w:p>
            <w:pPr>
              <w:spacing w:after="0"/>
              <w:rPr>
                <w:sz w:val="2"/>
                <w:szCs w:val="2"/>
                <w:color w:val="auto"/>
              </w:rPr>
            </w:pPr>
          </w:p>
        </w:tc>
        <w:tc>
          <w:tcPr>
            <w:tcW w:w="1280" w:type="dxa"/>
            <w:vAlign w:val="bottom"/>
            <w:gridSpan w:val="2"/>
          </w:tcPr>
          <w:p>
            <w:pPr>
              <w:spacing w:after="0"/>
              <w:rPr>
                <w:sz w:val="2"/>
                <w:szCs w:val="2"/>
                <w:color w:val="auto"/>
              </w:rPr>
            </w:pPr>
          </w:p>
        </w:tc>
        <w:tc>
          <w:tcPr>
            <w:tcW w:w="1560" w:type="dxa"/>
            <w:vAlign w:val="bottom"/>
            <w:gridSpan w:val="2"/>
          </w:tcPr>
          <w:p>
            <w:pPr>
              <w:spacing w:after="0"/>
              <w:rPr>
                <w:sz w:val="2"/>
                <w:szCs w:val="2"/>
                <w:color w:val="auto"/>
              </w:rPr>
            </w:pPr>
          </w:p>
        </w:tc>
        <w:tc>
          <w:tcPr>
            <w:tcW w:w="154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r>
      <w:tr>
        <w:trPr>
          <w:trHeight w:val="190"/>
        </w:trPr>
        <w:tc>
          <w:tcPr>
            <w:tcW w:w="3120" w:type="dxa"/>
            <w:vAlign w:val="bottom"/>
          </w:tcPr>
          <w:p>
            <w:pPr>
              <w:spacing w:after="0"/>
              <w:rPr>
                <w:sz w:val="16"/>
                <w:szCs w:val="16"/>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Line Limit</w:t>
            </w:r>
          </w:p>
        </w:tc>
        <w:tc>
          <w:tcPr>
            <w:tcW w:w="15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Amounts Outstanding</w:t>
            </w:r>
          </w:p>
        </w:tc>
        <w:tc>
          <w:tcPr>
            <w:tcW w:w="14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Unused Portion</w:t>
            </w:r>
          </w:p>
        </w:tc>
        <w:tc>
          <w:tcPr>
            <w:tcW w:w="120" w:type="dxa"/>
            <w:vAlign w:val="bottom"/>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Amounts Outstanding</w:t>
            </w:r>
          </w:p>
        </w:tc>
      </w:tr>
      <w:tr>
        <w:trPr>
          <w:trHeight w:val="22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Syndicated credit agreement:</w:t>
            </w: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2, 2029</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r>
      <w:tr>
        <w:trPr>
          <w:trHeight w:val="230"/>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SJW Group</w:t>
            </w:r>
          </w:p>
        </w:tc>
        <w:tc>
          <w:tcPr>
            <w:tcW w:w="23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9"/>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SJWC</w:t>
            </w: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w:t>
            </w:r>
          </w:p>
        </w:tc>
      </w:tr>
      <w:tr>
        <w:trPr>
          <w:trHeight w:val="230"/>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CTWS</w:t>
            </w: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53,000</w:t>
            </w:r>
          </w:p>
        </w:tc>
      </w:tr>
      <w:tr>
        <w:trPr>
          <w:trHeight w:val="23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TWC</w:t>
            </w: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23"/>
        </w:trPr>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syndicated credit agreement</w:t>
            </w: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77,000</w:t>
            </w:r>
          </w:p>
        </w:tc>
        <w:tc>
          <w:tcPr>
            <w:tcW w:w="12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223,000</w:t>
            </w:r>
          </w:p>
        </w:tc>
        <w:tc>
          <w:tcPr>
            <w:tcW w:w="12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121,500</w:t>
            </w: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CTWS credit agreement</w:t>
            </w:r>
          </w:p>
        </w:tc>
        <w:tc>
          <w:tcPr>
            <w:tcW w:w="2300" w:type="dxa"/>
            <w:vAlign w:val="bottom"/>
            <w:gridSpan w:val="3"/>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rPr>
              <w:t>August 2, 2028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CTWS credit agreement</w:t>
            </w:r>
          </w:p>
        </w:tc>
        <w:tc>
          <w:tcPr>
            <w:tcW w:w="230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color w:val="auto"/>
                <w:w w:val="99"/>
              </w:rPr>
              <w:t>May 15, 2025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48"/>
        </w:trPr>
        <w:tc>
          <w:tcPr>
            <w:tcW w:w="312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171,500</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SJW Group, SJWC, TWC, and CTWS have entered into a $300,000 credit agreement (the “Credit Agreement”) with JPMorgan Chase Bank, N.A., as Administrative Agent (“JP Morgan”), Wells Fargo Bank, National Association, as Documentation Agent, and a syndicate of banks dated August 2, 2022. Proceeds of borrowings under the Credit Agreement will be used for refinancing existing debt, working capital, and general corporate purposes. The Credit Agreement had a maturity date of August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2, 2027. On August 2, 2023, SJW Group, SJWC, TWC, and CTWS entered into the First Amendment to the Credit Agreement with JPMorgan Chase Bank which provided for, among other matters, an extension of the maturity date from August 2, 2027 to August 2, 2028. On August 2, 2024, SJW Group, SJWC, TWC, and CTWS entered into the Second Amendment to the Credit Agreement with JPMorgan Chase Bank which provided for, among other matters, an extension of the maturity date from August 2, 2028 to August 2, 2029.</w:t>
      </w:r>
    </w:p>
    <w:p>
      <w:pPr>
        <w:spacing w:after="0" w:line="7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Under the terms of the Credit Agreement, each of SJW Group, SJWC, TWC, and CTWS is a borrower with several and not joint liability. Each borrower has an initial borrowing entitlement, or sublimit, which can be periodically adjusted from time to time as set forth in the Credit Agreement. The initial sublimit of each borrower is as presented in the table above.</w:t>
      </w:r>
    </w:p>
    <w:p>
      <w:pPr>
        <w:spacing w:after="0" w:line="6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Borrowings under the Credit Agreement bear interest at either the Alternative Base Rate (as defined in the Credit Agreement and hereinafter referred to as “ABR”) or the Adjusted Term Secured Overnight Financing Rate (as defined in the Credit Agreement and hereinafter referred to as “SOFR”). ABR borrowings (which are borrowings bearing interest at a rate determined by reference to ABR) will bear interest at a rate per annum equal to ABR plus the applicable rate. SOFR borrowings (which are borrowings bearing interest at a rate determined by reference to SOFR) will bear interest at a rate per annum equal to SOFR plus the applicable rate. The applicable rate and pricing is variable depending on credit ratings of the borrower.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includes a financial covenant that requires each of the borrowers to maintain its funded debt to capitalization ratio at or below 70%.</w:t>
      </w:r>
    </w:p>
    <w:p>
      <w:pPr>
        <w:spacing w:after="0" w:line="117"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On October 31, 2022, CTWS and Citizens Bank, National Association, entered into a fifth modification to the amended and restated revolving credit facility of $10,000 to update the interest rate from London Interbank Offered Rate (“LIBOR”) plus the applicable rate to SOFR plus the applicable rate.</w:t>
      </w:r>
    </w:p>
    <w:p>
      <w:pPr>
        <w:spacing w:after="0" w:line="3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February 6, 2023, CTWS modified its existing $40,000 credit agreement with CoBank to update the interest rate from LIBOR plus the applicable rate to SOFR plus the applicable rate.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interest rate on short-term borrowings outstanding at December 31, 2024 was 6.08% compared to 6.48% at December 31, 2023.</w:t>
      </w:r>
    </w:p>
    <w:p>
      <w:pPr>
        <w:spacing w:after="0" w:line="11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All of SJW Group’s and subsidiaries’ lines of credit contain customary representations, warranties and events of default, as well as certain restrictive covenants customary for facilities of this type, including restrictions on indebtedness, liens, acquisitions and investments, restricted payments, asset sales, and fundamental changes. The lines of credit also include certain customary financial covenants such as a funded debt to capitalization ratio and a minimum interest coverage ratio. As of December 31, 2024, SJW Group and its subsidiaries were in compliance with all covenants on the lines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Table of Contents</w:t>
            </w:r>
          </w:p>
        </w:tc>
        <w:tc>
          <w:tcPr>
            <w:tcW w:w="44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912"/>
        </w:trPr>
        <w:tc>
          <w:tcPr>
            <w:tcW w:w="12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Note 6.</w:t>
            </w:r>
          </w:p>
        </w:tc>
        <w:tc>
          <w:tcPr>
            <w:tcW w:w="2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24"/>
        </w:trPr>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Long-term debt as of December 31 was as follows:</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400" w:type="dxa"/>
            <w:vAlign w:val="bottom"/>
          </w:tcPr>
          <w:p>
            <w:pPr>
              <w:spacing w:after="0"/>
              <w:rPr>
                <w:sz w:val="23"/>
                <w:szCs w:val="23"/>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40" w:type="dxa"/>
            <w:vAlign w:val="bottom"/>
          </w:tcPr>
          <w:p>
            <w:pPr>
              <w:spacing w:after="0"/>
              <w:rPr>
                <w:sz w:val="23"/>
                <w:szCs w:val="23"/>
                <w:color w:val="auto"/>
              </w:rPr>
            </w:pPr>
          </w:p>
        </w:tc>
        <w:tc>
          <w:tcPr>
            <w:tcW w:w="96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3"/>
                <w:szCs w:val="23"/>
                <w:color w:val="auto"/>
              </w:rPr>
            </w:pPr>
          </w:p>
        </w:tc>
        <w:tc>
          <w:tcPr>
            <w:tcW w:w="12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4"/>
        </w:trPr>
        <w:tc>
          <w:tcPr>
            <w:tcW w:w="40" w:type="dxa"/>
            <w:vAlign w:val="bottom"/>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56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SJW Group Senior notes (a)</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2.47% - 3.53%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2029 - 2039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560,000</w:t>
            </w:r>
          </w:p>
        </w:tc>
      </w:tr>
      <w:tr>
        <w:trPr>
          <w:trHeight w:val="229"/>
        </w:trPr>
        <w:tc>
          <w:tcPr>
            <w:tcW w:w="40" w:type="dxa"/>
            <w:vAlign w:val="bottom"/>
          </w:tcPr>
          <w:p>
            <w:pPr>
              <w:spacing w:after="0"/>
              <w:rPr>
                <w:sz w:val="19"/>
                <w:szCs w:val="19"/>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SJWC:</w:t>
            </w:r>
          </w:p>
        </w:tc>
        <w:tc>
          <w:tcPr>
            <w:tcW w:w="4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6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Senior notes (a)</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3.00% - 7.20%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2026 - 2054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505,000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470,000</w:t>
            </w:r>
          </w:p>
        </w:tc>
      </w:tr>
      <w:tr>
        <w:trPr>
          <w:trHeight w:val="230"/>
        </w:trPr>
        <w:tc>
          <w:tcPr>
            <w:tcW w:w="40" w:type="dxa"/>
            <w:vAlign w:val="bottom"/>
          </w:tcPr>
          <w:p>
            <w:pPr>
              <w:spacing w:after="0"/>
              <w:rPr>
                <w:sz w:val="19"/>
                <w:szCs w:val="19"/>
                <w:color w:val="auto"/>
              </w:rPr>
            </w:pPr>
          </w:p>
        </w:tc>
        <w:tc>
          <w:tcPr>
            <w:tcW w:w="5660" w:type="dxa"/>
            <w:vAlign w:val="bottom"/>
            <w:tcBorders>
              <w:bottom w:val="single" w:sz="8" w:color="CCEEFF"/>
            </w:tcBorders>
            <w:gridSpan w:val="4"/>
          </w:tcPr>
          <w:p>
            <w:pPr>
              <w:ind w:left="120"/>
              <w:spacing w:after="0"/>
              <w:rPr>
                <w:sz w:val="20"/>
                <w:szCs w:val="20"/>
                <w:color w:val="auto"/>
              </w:rPr>
            </w:pPr>
            <w:r>
              <w:rPr>
                <w:rFonts w:ascii="Times New Roman" w:cs="Times New Roman" w:eastAsia="Times New Roman" w:hAnsi="Times New Roman"/>
                <w:sz w:val="18"/>
                <w:szCs w:val="18"/>
                <w:color w:val="auto"/>
              </w:rPr>
              <w:t>California Pollution Control Financing Authority Revenue Bond</w:t>
            </w:r>
          </w:p>
        </w:tc>
        <w:tc>
          <w:tcPr>
            <w:tcW w:w="15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2046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70,000</w:t>
            </w:r>
          </w:p>
        </w:tc>
      </w:tr>
      <w:tr>
        <w:trPr>
          <w:trHeight w:val="223"/>
        </w:trPr>
        <w:tc>
          <w:tcPr>
            <w:tcW w:w="40" w:type="dxa"/>
            <w:vAlign w:val="bottom"/>
          </w:tcPr>
          <w:p>
            <w:pPr>
              <w:spacing w:after="0"/>
              <w:rPr>
                <w:sz w:val="19"/>
                <w:szCs w:val="19"/>
                <w:color w:val="auto"/>
              </w:rPr>
            </w:pPr>
          </w:p>
        </w:tc>
        <w:tc>
          <w:tcPr>
            <w:tcW w:w="5660" w:type="dxa"/>
            <w:vAlign w:val="bottom"/>
            <w:gridSpan w:val="4"/>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SJWC</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540,000</w:t>
            </w:r>
          </w:p>
        </w:tc>
      </w:tr>
      <w:tr>
        <w:trPr>
          <w:trHeight w:val="223"/>
        </w:trPr>
        <w:tc>
          <w:tcPr>
            <w:tcW w:w="40" w:type="dxa"/>
            <w:vAlign w:val="bottom"/>
          </w:tcPr>
          <w:p>
            <w:pPr>
              <w:spacing w:after="0"/>
              <w:rPr>
                <w:sz w:val="19"/>
                <w:szCs w:val="19"/>
                <w:color w:val="auto"/>
              </w:rPr>
            </w:pPr>
          </w:p>
        </w:tc>
        <w:tc>
          <w:tcPr>
            <w:tcW w:w="566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CTWS bank term loans</w:t>
            </w:r>
          </w:p>
        </w:tc>
        <w:tc>
          <w:tcPr>
            <w:tcW w:w="15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4.09%, 4.15%</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2027, 2037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14,389</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16,457</w:t>
            </w:r>
          </w:p>
        </w:tc>
      </w:tr>
      <w:tr>
        <w:trPr>
          <w:trHeight w:val="209"/>
        </w:trPr>
        <w:tc>
          <w:tcPr>
            <w:tcW w:w="40" w:type="dxa"/>
            <w:vAlign w:val="bottom"/>
          </w:tcPr>
          <w:p>
            <w:pPr>
              <w:spacing w:after="0"/>
              <w:rPr>
                <w:sz w:val="18"/>
                <w:szCs w:val="18"/>
                <w:color w:val="auto"/>
              </w:rPr>
            </w:pPr>
          </w:p>
        </w:tc>
        <w:tc>
          <w:tcPr>
            <w:tcW w:w="1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CWC:</w:t>
            </w:r>
          </w:p>
        </w:tc>
        <w:tc>
          <w:tcPr>
            <w:tcW w:w="44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56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Connecticut Innovations Revenue Bonds, variable rate</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2028 - 2029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22,050</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22,050</w:t>
            </w:r>
          </w:p>
        </w:tc>
      </w:tr>
      <w:tr>
        <w:trPr>
          <w:trHeight w:val="229"/>
        </w:trPr>
        <w:tc>
          <w:tcPr>
            <w:tcW w:w="40" w:type="dxa"/>
            <w:vAlign w:val="bottom"/>
          </w:tcPr>
          <w:p>
            <w:pPr>
              <w:spacing w:after="0"/>
              <w:rPr>
                <w:sz w:val="19"/>
                <w:szCs w:val="19"/>
                <w:color w:val="auto"/>
              </w:rPr>
            </w:pPr>
          </w:p>
        </w:tc>
        <w:tc>
          <w:tcPr>
            <w:tcW w:w="56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Senior notes (a)</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3.07% - 6.46%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2037 - 2054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195,000</w:t>
            </w:r>
          </w:p>
        </w:tc>
      </w:tr>
      <w:tr>
        <w:trPr>
          <w:trHeight w:val="229"/>
        </w:trPr>
        <w:tc>
          <w:tcPr>
            <w:tcW w:w="40" w:type="dxa"/>
            <w:vAlign w:val="bottom"/>
          </w:tcPr>
          <w:p>
            <w:pPr>
              <w:spacing w:after="0"/>
              <w:rPr>
                <w:sz w:val="19"/>
                <w:szCs w:val="19"/>
                <w:color w:val="auto"/>
              </w:rPr>
            </w:pPr>
          </w:p>
        </w:tc>
        <w:tc>
          <w:tcPr>
            <w:tcW w:w="56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State revolving fund loans</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 w:type="dxa"/>
            <w:vAlign w:val="bottom"/>
          </w:tcPr>
          <w:p>
            <w:pPr>
              <w:spacing w:after="0"/>
              <w:rPr>
                <w:sz w:val="19"/>
                <w:szCs w:val="19"/>
                <w:color w:val="auto"/>
              </w:rPr>
            </w:pPr>
          </w:p>
        </w:tc>
        <w:tc>
          <w:tcPr>
            <w:tcW w:w="56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Bank term loans</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4.04% - 4.75%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2028 - 2036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96,295</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96,295</w:t>
            </w:r>
          </w:p>
        </w:tc>
      </w:tr>
      <w:tr>
        <w:trPr>
          <w:trHeight w:val="223"/>
        </w:trPr>
        <w:tc>
          <w:tcPr>
            <w:tcW w:w="40" w:type="dxa"/>
            <w:vAlign w:val="bottom"/>
          </w:tcPr>
          <w:p>
            <w:pPr>
              <w:spacing w:after="0"/>
              <w:rPr>
                <w:sz w:val="19"/>
                <w:szCs w:val="19"/>
                <w:color w:val="auto"/>
              </w:rPr>
            </w:pPr>
          </w:p>
        </w:tc>
        <w:tc>
          <w:tcPr>
            <w:tcW w:w="5660" w:type="dxa"/>
            <w:vAlign w:val="bottom"/>
            <w:tcBorders>
              <w:bottom w:val="single" w:sz="8" w:color="CCEEFF"/>
            </w:tcBorders>
            <w:gridSpan w:val="4"/>
          </w:tcPr>
          <w:p>
            <w:pPr>
              <w:ind w:left="540"/>
              <w:spacing w:after="0"/>
              <w:rPr>
                <w:sz w:val="20"/>
                <w:szCs w:val="20"/>
                <w:color w:val="auto"/>
              </w:rPr>
            </w:pPr>
            <w:r>
              <w:rPr>
                <w:rFonts w:ascii="Times New Roman" w:cs="Times New Roman" w:eastAsia="Times New Roman" w:hAnsi="Times New Roman"/>
                <w:sz w:val="18"/>
                <w:szCs w:val="18"/>
                <w:color w:val="auto"/>
              </w:rPr>
              <w:t>Total CWC</w:t>
            </w:r>
          </w:p>
        </w:tc>
        <w:tc>
          <w:tcPr>
            <w:tcW w:w="1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388,672</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313,345</w:t>
            </w:r>
          </w:p>
        </w:tc>
      </w:tr>
      <w:tr>
        <w:trPr>
          <w:trHeight w:val="210"/>
        </w:trPr>
        <w:tc>
          <w:tcPr>
            <w:tcW w:w="40" w:type="dxa"/>
            <w:vAlign w:val="bottom"/>
          </w:tcPr>
          <w:p>
            <w:pPr>
              <w:spacing w:after="0"/>
              <w:rPr>
                <w:sz w:val="18"/>
                <w:szCs w:val="18"/>
                <w:color w:val="auto"/>
              </w:rPr>
            </w:pPr>
          </w:p>
        </w:tc>
        <w:tc>
          <w:tcPr>
            <w:tcW w:w="1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TWC:</w:t>
            </w:r>
          </w:p>
        </w:tc>
        <w:tc>
          <w:tcPr>
            <w:tcW w:w="44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Senior note (a)</w:t>
            </w:r>
          </w:p>
        </w:tc>
        <w:tc>
          <w:tcPr>
            <w:tcW w:w="44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29"/>
        </w:trPr>
        <w:tc>
          <w:tcPr>
            <w:tcW w:w="40" w:type="dxa"/>
            <w:vAlign w:val="bottom"/>
          </w:tcPr>
          <w:p>
            <w:pPr>
              <w:spacing w:after="0"/>
              <w:rPr>
                <w:sz w:val="19"/>
                <w:szCs w:val="19"/>
                <w:color w:val="auto"/>
              </w:rPr>
            </w:pPr>
          </w:p>
        </w:tc>
        <w:tc>
          <w:tcPr>
            <w:tcW w:w="56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Bank term loans</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4.01% - 6.47%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2041 - 2054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r>
      <w:tr>
        <w:trPr>
          <w:trHeight w:val="230"/>
        </w:trPr>
        <w:tc>
          <w:tcPr>
            <w:tcW w:w="40" w:type="dxa"/>
            <w:vAlign w:val="bottom"/>
          </w:tcPr>
          <w:p>
            <w:pPr>
              <w:spacing w:after="0"/>
              <w:rPr>
                <w:sz w:val="19"/>
                <w:szCs w:val="19"/>
                <w:color w:val="auto"/>
              </w:rPr>
            </w:pPr>
          </w:p>
        </w:tc>
        <w:tc>
          <w:tcPr>
            <w:tcW w:w="5660" w:type="dxa"/>
            <w:vAlign w:val="bottom"/>
            <w:tcBorders>
              <w:bottom w:val="single" w:sz="8" w:color="CCEEFF"/>
            </w:tcBorders>
            <w:gridSpan w:val="4"/>
          </w:tcPr>
          <w:p>
            <w:pPr>
              <w:ind w:left="100"/>
              <w:spacing w:after="0"/>
              <w:rPr>
                <w:sz w:val="20"/>
                <w:szCs w:val="20"/>
                <w:color w:val="auto"/>
              </w:rPr>
            </w:pPr>
            <w:r>
              <w:rPr>
                <w:rFonts w:ascii="Times New Roman" w:cs="Times New Roman" w:eastAsia="Times New Roman" w:hAnsi="Times New Roman"/>
                <w:sz w:val="18"/>
                <w:szCs w:val="18"/>
                <w:color w:val="auto"/>
              </w:rPr>
              <w:t>Seller financing debt</w:t>
            </w:r>
          </w:p>
        </w:tc>
        <w:tc>
          <w:tcPr>
            <w:tcW w:w="16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(b)</w:t>
            </w:r>
          </w:p>
        </w:tc>
        <w:tc>
          <w:tcPr>
            <w:tcW w:w="11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2053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 w:type="dxa"/>
            <w:vAlign w:val="bottom"/>
          </w:tcPr>
          <w:p>
            <w:pPr>
              <w:spacing w:after="0"/>
              <w:rPr>
                <w:sz w:val="19"/>
                <w:szCs w:val="19"/>
                <w:color w:val="auto"/>
              </w:rPr>
            </w:pPr>
          </w:p>
        </w:tc>
        <w:tc>
          <w:tcPr>
            <w:tcW w:w="5660" w:type="dxa"/>
            <w:vAlign w:val="bottom"/>
            <w:gridSpan w:val="4"/>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TWC</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109,000</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r>
      <w:tr>
        <w:trPr>
          <w:trHeight w:val="223"/>
        </w:trPr>
        <w:tc>
          <w:tcPr>
            <w:tcW w:w="40" w:type="dxa"/>
            <w:vAlign w:val="bottom"/>
          </w:tcPr>
          <w:p>
            <w:pPr>
              <w:spacing w:after="0"/>
              <w:rPr>
                <w:sz w:val="19"/>
                <w:szCs w:val="19"/>
                <w:color w:val="auto"/>
              </w:rPr>
            </w:pPr>
          </w:p>
        </w:tc>
        <w:tc>
          <w:tcPr>
            <w:tcW w:w="56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TWR seller financing debt</w:t>
            </w:r>
          </w:p>
        </w:tc>
        <w:tc>
          <w:tcPr>
            <w:tcW w:w="16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(b)</w:t>
            </w:r>
          </w:p>
        </w:tc>
        <w:tc>
          <w:tcPr>
            <w:tcW w:w="11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2053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29,000</w:t>
            </w:r>
          </w:p>
        </w:tc>
      </w:tr>
      <w:tr>
        <w:trPr>
          <w:trHeight w:val="209"/>
        </w:trPr>
        <w:tc>
          <w:tcPr>
            <w:tcW w:w="40" w:type="dxa"/>
            <w:vAlign w:val="bottom"/>
          </w:tcPr>
          <w:p>
            <w:pPr>
              <w:spacing w:after="0"/>
              <w:rPr>
                <w:sz w:val="18"/>
                <w:szCs w:val="18"/>
                <w:color w:val="auto"/>
              </w:rPr>
            </w:pPr>
          </w:p>
        </w:tc>
        <w:tc>
          <w:tcPr>
            <w:tcW w:w="1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MWC:</w:t>
            </w:r>
          </w:p>
        </w:tc>
        <w:tc>
          <w:tcPr>
            <w:tcW w:w="44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56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State revolving fund loans</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 - 2.23%</w:t>
            </w:r>
          </w:p>
        </w:tc>
        <w:tc>
          <w:tcPr>
            <w:tcW w:w="1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2025 - 2048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12,763</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14,239</w:t>
            </w:r>
          </w:p>
        </w:tc>
      </w:tr>
      <w:tr>
        <w:trPr>
          <w:trHeight w:val="229"/>
        </w:trPr>
        <w:tc>
          <w:tcPr>
            <w:tcW w:w="40" w:type="dxa"/>
            <w:vAlign w:val="bottom"/>
          </w:tcPr>
          <w:p>
            <w:pPr>
              <w:spacing w:after="0"/>
              <w:rPr>
                <w:sz w:val="19"/>
                <w:szCs w:val="19"/>
                <w:color w:val="auto"/>
              </w:rPr>
            </w:pPr>
          </w:p>
        </w:tc>
        <w:tc>
          <w:tcPr>
            <w:tcW w:w="56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First Mortgage Bond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40" w:type="dxa"/>
            <w:vAlign w:val="bottom"/>
          </w:tcPr>
          <w:p>
            <w:pPr>
              <w:spacing w:after="0"/>
              <w:rPr>
                <w:sz w:val="19"/>
                <w:szCs w:val="19"/>
                <w:color w:val="auto"/>
              </w:rPr>
            </w:pPr>
          </w:p>
        </w:tc>
        <w:tc>
          <w:tcPr>
            <w:tcW w:w="5660" w:type="dxa"/>
            <w:vAlign w:val="bottom"/>
            <w:tcBorders>
              <w:bottom w:val="single" w:sz="8" w:color="CCEEFF"/>
            </w:tcBorders>
            <w:gridSpan w:val="4"/>
          </w:tcPr>
          <w:p>
            <w:pPr>
              <w:ind w:left="120"/>
              <w:spacing w:after="0"/>
              <w:rPr>
                <w:sz w:val="20"/>
                <w:szCs w:val="20"/>
                <w:color w:val="auto"/>
              </w:rPr>
            </w:pPr>
            <w:r>
              <w:rPr>
                <w:rFonts w:ascii="Times New Roman" w:cs="Times New Roman" w:eastAsia="Times New Roman" w:hAnsi="Times New Roman"/>
                <w:sz w:val="18"/>
                <w:szCs w:val="18"/>
                <w:color w:val="auto"/>
              </w:rPr>
              <w:t>Bank term loans</w:t>
            </w:r>
          </w:p>
        </w:tc>
        <w:tc>
          <w:tcPr>
            <w:tcW w:w="15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3.89% - 6.47%</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2026 - 2054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49,500</w:t>
            </w:r>
          </w:p>
        </w:tc>
      </w:tr>
      <w:tr>
        <w:trPr>
          <w:trHeight w:val="223"/>
        </w:trPr>
        <w:tc>
          <w:tcPr>
            <w:tcW w:w="40" w:type="dxa"/>
            <w:vAlign w:val="bottom"/>
          </w:tcPr>
          <w:p>
            <w:pPr>
              <w:spacing w:after="0"/>
              <w:rPr>
                <w:sz w:val="19"/>
                <w:szCs w:val="19"/>
                <w:color w:val="auto"/>
              </w:rPr>
            </w:pPr>
          </w:p>
        </w:tc>
        <w:tc>
          <w:tcPr>
            <w:tcW w:w="5660" w:type="dxa"/>
            <w:vAlign w:val="bottom"/>
            <w:gridSpan w:val="4"/>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MWC</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72,763</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64,639</w:t>
            </w:r>
          </w:p>
        </w:tc>
      </w:tr>
      <w:tr>
        <w:trPr>
          <w:trHeight w:val="223"/>
        </w:trPr>
        <w:tc>
          <w:tcPr>
            <w:tcW w:w="40" w:type="dxa"/>
            <w:vAlign w:val="bottom"/>
          </w:tcPr>
          <w:p>
            <w:pPr>
              <w:spacing w:after="0"/>
              <w:rPr>
                <w:sz w:val="19"/>
                <w:szCs w:val="19"/>
                <w:color w:val="auto"/>
              </w:rPr>
            </w:pP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4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1,719,824</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1,583,441</w:t>
            </w:r>
          </w:p>
        </w:tc>
      </w:tr>
      <w:tr>
        <w:trPr>
          <w:trHeight w:val="230"/>
        </w:trPr>
        <w:tc>
          <w:tcPr>
            <w:tcW w:w="40" w:type="dxa"/>
            <w:vAlign w:val="bottom"/>
          </w:tcPr>
          <w:p>
            <w:pPr>
              <w:spacing w:after="0"/>
              <w:rPr>
                <w:sz w:val="19"/>
                <w:szCs w:val="19"/>
                <w:color w:val="auto"/>
              </w:rPr>
            </w:pPr>
          </w:p>
        </w:tc>
        <w:tc>
          <w:tcPr>
            <w:tcW w:w="56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Unamortized debt premium and discount, net</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r>
      <w:tr>
        <w:trPr>
          <w:trHeight w:val="230"/>
        </w:trPr>
        <w:tc>
          <w:tcPr>
            <w:tcW w:w="40" w:type="dxa"/>
            <w:vAlign w:val="bottom"/>
          </w:tcPr>
          <w:p>
            <w:pPr>
              <w:spacing w:after="0"/>
              <w:rPr>
                <w:sz w:val="19"/>
                <w:szCs w:val="19"/>
                <w:color w:val="auto"/>
              </w:rPr>
            </w:pPr>
          </w:p>
        </w:tc>
        <w:tc>
          <w:tcPr>
            <w:tcW w:w="56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(9,216)</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(9,350)</w:t>
            </w:r>
          </w:p>
        </w:tc>
      </w:tr>
      <w:tr>
        <w:trPr>
          <w:trHeight w:val="229"/>
        </w:trPr>
        <w:tc>
          <w:tcPr>
            <w:tcW w:w="40" w:type="dxa"/>
            <w:vAlign w:val="bottom"/>
          </w:tcPr>
          <w:p>
            <w:pPr>
              <w:spacing w:after="0"/>
              <w:rPr>
                <w:sz w:val="19"/>
                <w:szCs w:val="19"/>
                <w:color w:val="auto"/>
              </w:rPr>
            </w:pPr>
          </w:p>
        </w:tc>
        <w:tc>
          <w:tcPr>
            <w:tcW w:w="1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w:t>
            </w:r>
          </w:p>
        </w:tc>
        <w:tc>
          <w:tcPr>
            <w:tcW w:w="4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(48,975)</w:t>
            </w:r>
          </w:p>
        </w:tc>
      </w:tr>
      <w:tr>
        <w:trPr>
          <w:trHeight w:val="223"/>
        </w:trPr>
        <w:tc>
          <w:tcPr>
            <w:tcW w:w="40" w:type="dxa"/>
            <w:vAlign w:val="bottom"/>
          </w:tcPr>
          <w:p>
            <w:pPr>
              <w:spacing w:after="0"/>
              <w:rPr>
                <w:sz w:val="19"/>
                <w:szCs w:val="19"/>
                <w:color w:val="auto"/>
              </w:rPr>
            </w:pPr>
          </w:p>
        </w:tc>
        <w:tc>
          <w:tcPr>
            <w:tcW w:w="56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Total long-term debt, less current portion</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1,706,904</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1,526,699</w:t>
            </w:r>
          </w:p>
        </w:tc>
      </w:tr>
      <w:tr>
        <w:trPr>
          <w:trHeight w:val="20"/>
        </w:trPr>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99" w:lineRule="exact"/>
        <w:rPr>
          <w:sz w:val="20"/>
          <w:szCs w:val="20"/>
          <w:color w:val="auto"/>
        </w:rPr>
      </w:pPr>
    </w:p>
    <w:p>
      <w:pPr>
        <w:ind w:left="660" w:right="240" w:hanging="652"/>
        <w:spacing w:after="0" w:line="282" w:lineRule="auto"/>
        <w:tabs>
          <w:tab w:leader="none" w:pos="657"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Senior notes held by institutional investors are unsecured obligations of SJW Group, SJWC, CWC, TWC and MWC and require interest-only payments until maturity. To minimize issuance costs, the companies’ debt has primarily been placed privately.</w:t>
      </w:r>
    </w:p>
    <w:p>
      <w:pPr>
        <w:spacing w:after="0" w:line="67"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does not contain a stated interest rate but is discounted using an effective rate of 5.61%.</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table of the consolidated company’s schedule of principal payments: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Year</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8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23,757</w:t>
            </w: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w:t>
            </w: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44,502</w:t>
            </w: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8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325,425</w:t>
            </w:r>
          </w:p>
        </w:tc>
      </w:tr>
      <w:tr>
        <w:trPr>
          <w:trHeight w:val="234"/>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1,319,465</w:t>
            </w:r>
          </w:p>
        </w:tc>
      </w:tr>
    </w:tbl>
    <w:p>
      <w:pPr>
        <w:spacing w:after="0" w:line="17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estimated fair value of long-term debt as of December 31, 2024 and 2023 was $1,490,024 and $1,394,412, respectively, and was determined using a discounted cash flow analysis, based on the current rates for similar financial instruments of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same duration and creditworthiness of the company. As of December 31, 2024, $1,473,393 of the total fair value of long-term debt would be categorized as Level 2 in the fair value hierarchy, and $16,631 would be categorized as Level 3. As of December 31, 2023, $1,378,683 of the total fair value of long-term debt was categorized as Level 2 in the fair value hierarchy, and $15,729 was categorized as Level 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SJWC</w:t>
      </w:r>
    </w:p>
    <w:p>
      <w:pPr>
        <w:spacing w:after="0" w:line="11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July 14, 2022, SJWC entered into a note purchase agreement with certain affiliates of New York Life Insurance, Metropolitan Life Insurance, Northwestern Mutual Life Insurance, and John Hancock Life Insurance (collectively the “Purchasers”), pursuant to which the company sold an aggregate principal amount of $70,000 of its 4.85% Senior Notes, Series P (“Series P Notes”) to the Purchasers. The Series P Notes are unsecured obligations of SJWC and are due on February 1, 2053. Interest is payable semi-annually in arrears on February 1st and August 1st of each year. The closing of the note purchase agreement occurred on January 25, 2023.</w:t>
      </w:r>
    </w:p>
    <w:p>
      <w:pPr>
        <w:spacing w:after="0" w:line="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July 31, 2024, SJWC entered into and closed a note purchase agreement with certain institutional investors, pursuant to which the company sold an aggregate principal amount of $75,000 of its 5.63% Senior Notes, Series Q (“Series Q Notes”). The Series Q Notes are unsecured obligations of SJWC and are due on July 31, 2054. Interest is payable semi-annually in arrears on January 31st and July 31st of each year.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CWC</w:t>
      </w:r>
    </w:p>
    <w:p>
      <w:pPr>
        <w:spacing w:after="0" w:line="11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November 15, 2023, CWC entered into a note purchase agreement with certain affiliates of American United Life Insurance, The State Life Insurance, Mutual of Omaha Insurance, and United of Omaha Life Insurance, pursuant to which the company sold an aggregate principal amount of $25,000 of its 6.46% Senior Notes, Series 2023 (“Series 2023 Notes”). The Series 2023 Notes are unsecured obligations of CWC and are due on January 15, 2054. Interest is payable semi-annually in arrears on January 15th and July 15th of each year. The closing of the notes purchase agreement occurred on January 22, 2024.</w:t>
      </w:r>
    </w:p>
    <w:p>
      <w:pPr>
        <w:spacing w:after="0" w:line="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July 31, 2024, CWC entered into a note purchase agreement with certain institutional investors, pursuant to which the company sold an aggregate principal amount of $50,000 of its 5.78% Senior Notes, Series 2024 (“Series 2024 Notes”). The Series 2024 Notes are unsecured obligations of CWC and are due on July 31, 2054. Interest is payable semi-annually in arrears on January 31st and July 31st of each year. The closing of the notes purchase agreement occurred in August 2024.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TWC and TWR</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August 2023, TWR closed on an asset acquisition that included an obligation for a post-closing production payment of $29,000 to the seller over a period of up to 29 years. The repayment schedule is based on the quantity of groundwater produced from the acquired wells, subject to certain provisions in the purchase agreement. The difference between the gross obligation of $29,000 and the fair value at the date of acquisition is reflected as a debt discount and is being amortized as interest expense using the effective interest method over the life of the obligation. During the third quarter of 2024, TWC assumed the obligation in connection with an asset purchase agreement pursuant to which TWC acquired all of the net assets of TWR.</w:t>
      </w:r>
    </w:p>
    <w:p>
      <w:pPr>
        <w:spacing w:after="0" w:line="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December 6, 2024, TWC issued a promissory note to a national cooperative bank under an existing master loan agreement for a principal amount of $20,000 at a fixed interest rate of 6.47%. This note is an unsecured obligation of TWC due on November 20, 2054. Interest is payable quarterly in arrears on the 20th day of January, April, July and October of each year. In January 2025, TWC amended the existing master loan agreement to modify one of the financial covenants. All of the other terms and conditions remain the same.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MWC</w:t>
      </w:r>
    </w:p>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December 6, 2024, MWC issued a promissory note to a national cooperative bank under an existing master loan agreement for a principal amount of $15,000 at a fixed interest rate of 6.47%. This note is an unsecured obligation of MWC due on November 20, 2054. Interest is payable quarterly in arrears on the 20th day of January, April, July and October of each year.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CTWS</w:t>
      </w:r>
    </w:p>
    <w:p>
      <w:pPr>
        <w:spacing w:after="0" w:line="11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On February 6, 2023, CTWS entered into a third amendment to the amended and restated promissory note and supplement with CoBank to update the one of the stated terms regarding one of interest rate options from LIBOR plus the applicable rate to SOFR plus the applicable rate. CTWS previously locked the interest rate under this agreement to 4.09%, such that this amendment has no impact.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Covenants</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debt and credit agreements of SJW Group and its subsidiaries contain various financial and other covenants. Non-compliance with these covenants could result in accelerated due dates and termination of the agreements. In addition, the credit agreements contain customary representations and warranties and subject to customary events of default, which may result in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outstanding notes becoming immediately due and payable. As of December 31, 2024, SJW Group and its subsidiaries were in compliance with all covenants related to its long-term debt agreements.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w:t>
            </w:r>
          </w:p>
        </w:tc>
        <w:tc>
          <w:tcPr>
            <w:tcW w:w="6340" w:type="dxa"/>
            <w:vAlign w:val="bottom"/>
            <w:gridSpan w:val="2"/>
          </w:tcPr>
          <w:p>
            <w:pPr>
              <w:jc w:val="right"/>
              <w:ind w:right="489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24"/>
        </w:trPr>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income tax expense were: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01"/>
        </w:trPr>
        <w:tc>
          <w:tcPr>
            <w:tcW w:w="1000" w:type="dxa"/>
            <w:vAlign w:val="bottom"/>
          </w:tcPr>
          <w:p>
            <w:pPr>
              <w:spacing w:after="0"/>
              <w:rPr>
                <w:sz w:val="24"/>
                <w:szCs w:val="24"/>
                <w:color w:val="auto"/>
              </w:rPr>
            </w:pPr>
          </w:p>
        </w:tc>
        <w:tc>
          <w:tcPr>
            <w:tcW w:w="6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4"/>
                <w:szCs w:val="24"/>
                <w:color w:val="auto"/>
              </w:rPr>
            </w:pPr>
          </w:p>
        </w:tc>
        <w:tc>
          <w:tcPr>
            <w:tcW w:w="15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1000" w:type="dxa"/>
            <w:vAlign w:val="bottom"/>
            <w:tcBorders>
              <w:bottom w:val="single" w:sz="8" w:color="CCEEFF"/>
            </w:tcBorders>
          </w:tcPr>
          <w:p>
            <w:pPr>
              <w:spacing w:after="0"/>
              <w:rPr>
                <w:sz w:val="2"/>
                <w:szCs w:val="2"/>
                <w:color w:val="auto"/>
              </w:rPr>
            </w:pPr>
          </w:p>
        </w:tc>
        <w:tc>
          <w:tcPr>
            <w:tcW w:w="54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9"/>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5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634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8,570</w:t>
            </w:r>
          </w:p>
        </w:tc>
      </w:tr>
      <w:tr>
        <w:trPr>
          <w:trHeight w:val="230"/>
        </w:trPr>
        <w:tc>
          <w:tcPr>
            <w:tcW w:w="1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5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r>
      <w:tr>
        <w:trPr>
          <w:trHeight w:val="229"/>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5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1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5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r>
      <w:tr>
        <w:trPr>
          <w:trHeight w:val="230"/>
        </w:trPr>
        <w:tc>
          <w:tcPr>
            <w:tcW w:w="1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54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8"/>
        </w:trPr>
        <w:tc>
          <w:tcPr>
            <w:tcW w:w="100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8,496</w:t>
            </w: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following table reconciles income tax expense to the amount computed by applying the federal statutory rate to income before income taxes of $102,937, $90,943 and $82,324 in 2024, 2023 and 2022, respectively:</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54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5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at federal statutory rate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17,288</w:t>
            </w:r>
          </w:p>
        </w:tc>
      </w:tr>
      <w:tr>
        <w:trPr>
          <w:trHeight w:val="230"/>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taxes attributable to:</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 taxes, net of federal income tax benefit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w:t>
            </w:r>
          </w:p>
        </w:tc>
      </w:tr>
      <w:tr>
        <w:trPr>
          <w:trHeight w:val="229"/>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Uncertain tax positions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r>
      <w:tr>
        <w:trPr>
          <w:trHeight w:val="230"/>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flow-through</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(13,091)</w:t>
            </w:r>
          </w:p>
        </w:tc>
      </w:tr>
      <w:tr>
        <w:trPr>
          <w:trHeight w:val="229"/>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Reversal of excess deferred taxes recognized in regulatory liability</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w:t>
            </w:r>
          </w:p>
        </w:tc>
      </w:tr>
      <w:tr>
        <w:trPr>
          <w:trHeight w:val="230"/>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Pension flow-through</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30"/>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items,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r>
      <w:tr>
        <w:trPr>
          <w:trHeight w:val="223"/>
        </w:trPr>
        <w:tc>
          <w:tcPr>
            <w:tcW w:w="64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8,496</w:t>
            </w: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net deferred tax liability as of December 31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54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Advances and contributions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25,714</w:t>
            </w:r>
          </w:p>
        </w:tc>
      </w:tr>
      <w:tr>
        <w:trPr>
          <w:trHeight w:val="22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investment tax credit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29"/>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Pensions, postretirement benefits and stock-based compensation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17,844</w:t>
            </w: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premium,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r>
      <w:tr>
        <w:trPr>
          <w:trHeight w:val="229"/>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California franchise tax</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29"/>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related regulatory liability</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24,358</w:t>
            </w:r>
          </w:p>
        </w:tc>
      </w:tr>
      <w:tr>
        <w:trPr>
          <w:trHeight w:val="22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w:t>
            </w:r>
          </w:p>
        </w:tc>
      </w:tr>
      <w:tr>
        <w:trPr>
          <w:trHeight w:val="223"/>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73,732</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81,221</w:t>
            </w:r>
          </w:p>
        </w:tc>
      </w:tr>
      <w:tr>
        <w:trPr>
          <w:trHeight w:val="20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Utility plant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277,085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243,786</w:t>
            </w:r>
          </w:p>
        </w:tc>
      </w:tr>
      <w:tr>
        <w:trPr>
          <w:trHeight w:val="22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and postretirement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13,247</w:t>
            </w:r>
          </w:p>
        </w:tc>
      </w:tr>
      <w:tr>
        <w:trPr>
          <w:trHeight w:val="229"/>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gain and other-property</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w:t>
            </w: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Regulatory asset - business combinations debt premium,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r>
      <w:tr>
        <w:trPr>
          <w:trHeight w:val="229"/>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w:t>
            </w:r>
          </w:p>
        </w:tc>
      </w:tr>
      <w:tr>
        <w:trPr>
          <w:trHeight w:val="22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related regulatory asset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50,728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44,155</w:t>
            </w:r>
          </w:p>
        </w:tc>
      </w:tr>
      <w:tr>
        <w:trPr>
          <w:trHeight w:val="22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w:t>
            </w:r>
          </w:p>
        </w:tc>
      </w:tr>
      <w:tr>
        <w:trPr>
          <w:trHeight w:val="223"/>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349,775</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319,749</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276,043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238,528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Management evaluates the realizability of deferred tax assets based on all available evidence, both positive and negative. The realization of deferred tax assets is dependent on our ability to generate sufficient future taxable income during periods in which the deferred tax assets are expected to reverse. Based on all available evidence, management believes it is more likely than not that SJW Group will realize the benefits of its deferred tax assets. Net operating loss carryforwards expire beginning in 2032 and ending in 2043. As of December 31, 2024, the estimated amount of net operating loss carryforwards available to offset future taxable income for Connecticut purposes is $21,692. The estimated state tax credit carryforwards are $970, which will expire beginning in 2025 and ending in 2048.</w:t>
      </w:r>
    </w:p>
    <w:p>
      <w:pPr>
        <w:spacing w:after="0" w:line="7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change in the net deferred tax liabilities of $37,515 in 2024 resulted from other non-cash items primarily consisting of regulatory assets and liabilities relating to income tax temporary differences.</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total amount of unrecognized tax benefits, before the impact of deductions for state taxes, excluding interest and penalties was $3,707 and $4,511 as of December 31, 2024 and 2023, respectively. The amount of tax benefits, net of any federal benefits for state taxes that would impact the effective rate, if recognized, is approximately $3,150 and $4,048 as of December 31, 2024 and 2023,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5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4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w:t>
            </w:r>
          </w:p>
        </w:tc>
      </w:tr>
      <w:tr>
        <w:trPr>
          <w:trHeight w:val="229"/>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related to tax positions taken during the current year</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r>
      <w:tr>
        <w:trPr>
          <w:trHeight w:val="23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 related to tax positions taken during a prior year</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Reductions related to statute expiration</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3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Reductions related to tax positions taken in a prior year</w:t>
            </w: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94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9,004</w:t>
            </w:r>
          </w:p>
        </w:tc>
      </w:tr>
      <w:tr>
        <w:trPr>
          <w:trHeight w:val="20"/>
        </w:trPr>
        <w:tc>
          <w:tcPr>
            <w:tcW w:w="6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gross unrecognized tax benefits in 2024 was primarily due to expiry of statute of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decrease in gross unrecognized tax benefits in 2023 was primarily due to the release of uncertain tax position reserve relating to repairs tax deductions. In April 2023, the IRS issued additional tax guidance that has allowed SJW Group to revisit certain historical income tax reserves. Pursuant to the issuance of this guidance, which provided additional clarification regarding some of the uncertain tax areas, the company re-evaluated the risk relating to repair deductions. The result of the analysis led to a release of uncertain tax position reserve. The release relates to repairs expenditures which are more likely than not to be sustained on audit. The net release due to re-evaluation of the reserve was $3,125.</w:t>
      </w:r>
    </w:p>
    <w:p>
      <w:pPr>
        <w:spacing w:after="0" w:line="7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SJW Group’s policy is to classify interest and penalties associated with unrecognized tax benefits, if any, in tax expense. Accrued interest expense, net of the benefit of tax deductions which would be available on the payment of such interest, is approximately $316 as of December 31, 2024. SJW Group has not accrued any penalties for unrecognized tax benefits. The amount of interest recognized in 2024 was a decrease to expense of $139.</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SJW Group currently does not expect uncertain tax positions to change significantly over the next 12 months.</w:t>
      </w:r>
    </w:p>
    <w:p>
      <w:pPr>
        <w:spacing w:after="0" w:line="11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SJW Group files U.S. federal income tax returns and income tax returns in various states and is subject to ordinary statute of limitation of three years for federal and three or four years for different state returns. However, due to tax attribute carryforwards, SJW Group is subject to examination for tax years 2012 forward for state returns of CTWS and its subsidiaries. The statute of limitations for SJW Group returns is closed for these extended years and remains open for 2021 and forward for federal and 2020 or 2021 and forward for different states.</w:t>
      </w:r>
    </w:p>
    <w:p>
      <w:pPr>
        <w:spacing w:after="0" w:line="29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8"/>
          <w:szCs w:val="18"/>
          <w:b w:val="1"/>
          <w:bCs w:val="1"/>
          <w:color w:val="auto"/>
        </w:rPr>
        <w:t>Intangible Assets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Utility plant intangible assets consist of $28,386 of indefinite-lived water rights, $13,400 related to the purchase premium for customer relationships, and other intangibles of $9,818 as of December 31, 2024. Other intangibles primarily consist of $4,292 for service area expansions and other by TWC, $1,400 for customer relationships and $1,040 incurred in conjunction with Valley Water water contracts related to the operation of SJWC. In connection with a transaction in the third quarter of 2024, TWC purchased all assets from TWR for use in utility operations. Accordingly, SJW Group reclassified $28,386 related to indefinite life water rights from other intangible assets to utility plant intangible assets.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the intangible assets was $1,429, $1,310 and $3,869 for the years ended December 31, 2024, 2023 and 2022,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2025 through 2029 and thereafter is anticipated to be approximately $1,395 per year.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intangible assets as of December 31, 2024 and 2023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060" w:type="dxa"/>
            <w:vAlign w:val="bottom"/>
            <w:tcBorders>
              <w:bottom w:val="single" w:sz="8" w:color="CCEEFF"/>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Utility Plant Intangible Assets:</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Indefinite-lived water rights</w:t>
            </w:r>
          </w:p>
        </w:tc>
        <w:tc>
          <w:tcPr>
            <w:tcW w:w="92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premium customer relationships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0" w:type="dxa"/>
            <w:vAlign w:val="bottom"/>
          </w:tcPr>
          <w:p>
            <w:pPr>
              <w:spacing w:after="0"/>
              <w:rPr>
                <w:sz w:val="1"/>
                <w:szCs w:val="1"/>
                <w:color w:val="auto"/>
              </w:rPr>
            </w:pPr>
          </w:p>
        </w:tc>
      </w:tr>
      <w:tr>
        <w:trPr>
          <w:trHeight w:val="230"/>
        </w:trPr>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Concession fees</w:t>
            </w:r>
          </w:p>
        </w:tc>
        <w:tc>
          <w:tcPr>
            <w:tcW w:w="6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0" w:type="dxa"/>
            <w:vAlign w:val="bottom"/>
          </w:tcPr>
          <w:p>
            <w:pPr>
              <w:spacing w:after="0"/>
              <w:rPr>
                <w:sz w:val="1"/>
                <w:szCs w:val="1"/>
                <w:color w:val="auto"/>
              </w:rPr>
            </w:pPr>
          </w:p>
        </w:tc>
      </w:tr>
      <w:tr>
        <w:trPr>
          <w:trHeight w:val="230"/>
        </w:trPr>
        <w:tc>
          <w:tcPr>
            <w:tcW w:w="8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intangibles</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15,746</w:t>
            </w:r>
          </w:p>
        </w:tc>
        <w:tc>
          <w:tcPr>
            <w:tcW w:w="0" w:type="dxa"/>
            <w:vAlign w:val="bottom"/>
          </w:tcPr>
          <w:p>
            <w:pPr>
              <w:spacing w:after="0"/>
              <w:rPr>
                <w:sz w:val="1"/>
                <w:szCs w:val="1"/>
                <w:color w:val="auto"/>
              </w:rPr>
            </w:pPr>
          </w:p>
        </w:tc>
      </w:tr>
      <w:tr>
        <w:trPr>
          <w:trHeight w:val="223"/>
        </w:trPr>
        <w:tc>
          <w:tcPr>
            <w:tcW w:w="8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Utility plant intangible assets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35,946</w:t>
            </w:r>
          </w:p>
        </w:tc>
        <w:tc>
          <w:tcPr>
            <w:tcW w:w="0" w:type="dxa"/>
            <w:vAlign w:val="bottom"/>
          </w:tcPr>
          <w:p>
            <w:pPr>
              <w:spacing w:after="0"/>
              <w:rPr>
                <w:sz w:val="1"/>
                <w:szCs w:val="1"/>
                <w:color w:val="auto"/>
              </w:rPr>
            </w:pPr>
          </w:p>
        </w:tc>
      </w:tr>
      <w:tr>
        <w:trPr>
          <w:trHeight w:val="229"/>
        </w:trPr>
        <w:tc>
          <w:tcPr>
            <w:tcW w:w="8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Purchase premium customer relationships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0" w:type="dxa"/>
            <w:vAlign w:val="bottom"/>
          </w:tcPr>
          <w:p>
            <w:pPr>
              <w:spacing w:after="0"/>
              <w:rPr>
                <w:sz w:val="1"/>
                <w:szCs w:val="1"/>
                <w:color w:val="auto"/>
              </w:rPr>
            </w:pPr>
          </w:p>
        </w:tc>
      </w:tr>
      <w:tr>
        <w:trPr>
          <w:trHeight w:val="230"/>
        </w:trPr>
        <w:tc>
          <w:tcPr>
            <w:tcW w:w="8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Concession fees</w:t>
            </w:r>
          </w:p>
        </w:tc>
        <w:tc>
          <w:tcPr>
            <w:tcW w:w="9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 intangibles</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10,361</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Utility plant net intangible assets</w:t>
            </w:r>
          </w:p>
        </w:tc>
        <w:tc>
          <w:tcPr>
            <w:tcW w:w="920" w:type="dxa"/>
            <w:vAlign w:val="bottom"/>
            <w:tcBorders>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15,057</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Other Intangible Asset:</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6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Indefinite-lived water rights</w:t>
            </w:r>
          </w:p>
        </w:tc>
        <w:tc>
          <w:tcPr>
            <w:tcW w:w="92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28,386</w:t>
            </w: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w:t>
            </w:r>
          </w:p>
        </w:tc>
        <w:tc>
          <w:tcPr>
            <w:tcW w:w="67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1300" w:type="dxa"/>
            <w:vAlign w:val="bottom"/>
            <w:vMerge w:val="continue"/>
          </w:tcPr>
          <w:p>
            <w:pPr>
              <w:spacing w:after="0"/>
              <w:rPr>
                <w:sz w:val="24"/>
                <w:szCs w:val="24"/>
                <w:color w:val="auto"/>
              </w:rPr>
            </w:pPr>
          </w:p>
        </w:tc>
        <w:tc>
          <w:tcPr>
            <w:tcW w:w="67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SJWC purchases water from Valley Water under terms of a master contract expiring in 2051. Delivery schedules for purchased water are based on a contract year beginning July 1, and are negotiated every three years under terms of the master contract with Valley Water. For the years ended December 31, 2024, 2023 and 2022, SJWC purchased from Valley Water 17.0 billion gallons ($117,698), 18.3 billion gallons ($111,173) and 18.2 billion gallons ($96,793), respectively, of contract water. On June 12, 2024, the Valley Water Board of Directors approved treated water deliveries reflecting the contractual delivery schedule reduced by 23% through June 30, 2025. Based on current prices and estimated deliveries, SJWC is committed to purchase from</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Valley Water a minimum of 90% of the reduced delivery schedule, or 18.9 billion gallons ($135,975) of water at the current contract water rate of</w:t>
      </w:r>
    </w:p>
    <w:p>
      <w:pPr>
        <w:spacing w:after="0" w:line="2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$7.194 million per billion gallons for the year ending December 31, 2025. Additionally, SJWC purchases non-contract water from Valley Water on an “as needed” basis if the water supply is available.</w:t>
      </w:r>
    </w:p>
    <w:p>
      <w:pPr>
        <w:spacing w:after="0" w:line="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SJWC operates the Cupertino municipal water system under a service concession arrangement. The system is adjacent to the SJWC service area and has approximately 4,700 service connections. The original agreement commenced in October 1997 and expired on September 30, 2024. Effective October 2024, SJWC entered into a new 12-year agreement with the City of Cupertino subject to an additional term of eight years if agreed to by the parties. SJWC paid an upfront concession fee of $22.1 million in 2024 and agreed to pay, beginning in 2024, an annual investment rent of $1.8 million, subject to annual adjustment based on a specified construction cost index. The concession fees are amortized as reductions to operating revenue over the applicable contract term and the annual investment rent payments are amortized as reductions to operating revenue over the annual period to which they relate. Under the terms of the agreement, SJWC assumes responsibility for all maintenance and operating costs of the system, while receiving all payments for water service.</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CWC is able, but under no obligation, to purchase up to one million gallons of water per day from the South Central Connecticut Regional Water Authority (“RWA”), at the then-current wholesale rates per the agreement, $3.1 million per billion gallons as of December 31, 2024. CWC has an agreement with The Metropolitan District (“MDC”) to purchase water from MDC to serve the Unionville system. The agreement became effective on October 6, 2000 and has a term of fifty years beginning May 19, 2003, the date the water supply facilities related to the agreement were placed in service. CWC agrees to purchase 0.28 billion gallons of water annually from MDC. The rate charged by the MDC at December 31, 2024 was three dollars and eighty cents per hundred cubic feet.</w:t>
      </w:r>
    </w:p>
    <w:p>
      <w:pPr>
        <w:spacing w:after="0" w:line="7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TWC has long-term contracts with the GBRA. The terms of the agreements expire in 2037, 2040, 2044 and 2050, respectively. The agreements, which are take-or-pay contracts, provide TWC with 7,602 acre-feet per year of water supply from Canyon Lake. The water rate may be adjusted by GBRA at any time, provided they give TWC a 60-day written notice on the proposed adjustment. TWC also has raw water supply agreements with the Lower Colorado River Authority and West Travis County Public Utility Agency expiring in 2059 and 2046, respectively, to provide for 350 acre-feet of water per year from Lake Austin and the Colorado River, respectively, at prices that may be adjusted periodically by the agencies.</w:t>
      </w:r>
    </w:p>
    <w:p>
      <w:pPr>
        <w:spacing w:after="0" w:line="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MWC has an agreement with the Kennebec Water District for potable water service. The agreement has been in place for 20 years and was extended on November 7, 2020 for a new term of up to 20 years. MWC guarantees a minimum consumption of 0.05 billion gallons of water annually. Water sales to MWC are billed at a wholesale discount of twenty cents per hundred cubic feet of water below Kennebec Water District's tariffed rates. The current tariff rate was one dollar and fifty-one cents per hundred cubic feet as of December 31, 2024</w:t>
      </w:r>
      <w:r>
        <w:rPr>
          <w:rFonts w:ascii="Times New Roman" w:cs="Times New Roman" w:eastAsia="Times New Roman" w:hAnsi="Times New Roman"/>
          <w:sz w:val="18"/>
          <w:szCs w:val="18"/>
          <w:color w:val="00FFFF"/>
        </w:rPr>
        <w:t>.</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December 31, 2024, SJWC had 395 employees, of whom 241 were members of unions. In the first quarter of 2023, SJWC executed three-year bargaining agreements with the International Union of Operating Engineers (“OE”), representing certain employees in the engineering department, and the Utility Workers of America (“UWUA”), representing the majority of all nonadministrative employees at SJWC covering the period from January 1, 2023 through December 31, 2025. The agreements include a 6% wage increase provided in 2023, 3.5% in 2024 and 5.5% in 2025 for union employees.</w:t>
      </w:r>
    </w:p>
    <w:p>
      <w:pPr>
        <w:spacing w:after="0" w:line="25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SJW Group and its subsidiaries are subject to ordinary routine litigation incidental to its business. In October 2023, CWC, a subsidiary of SJW Group, was named as a defendant in a putative class action lawsuit alleging that the water provided by CWC contained contaminants. The case is currently pending in the State of Connecticut Superior Court. CWC is vigorously defending itself in this lawsuit. At this time, SJW Group is unable to provide a reasonable estimate of any loss.</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SJWC and CWC are plaintiffs in a lawsuit against manufacturers of certain PFAS compounds for damages, contribution and reimbursement of costs incurred and continuing to be incurred to address the presence of such PFAS compounds in public water supply systems owned and operated by these utility subsidiaries and throughout their respective service areas. The lawsuit is part of Multi-District Litigation (“MDL”), that commenced on December 7, 2018, in the United States District Court for the District of South Carolina. MWC has submitted timely claims as a settlement class member.</w:t>
      </w:r>
    </w:p>
    <w:p>
      <w:pPr>
        <w:spacing w:after="0" w:line="7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February 8, 2024, the MDL court approved settlements involving defendants The Chemours Company, Corteva, Inc., and DuPont de Nemours, Inc. to resolve claims brought in the MDL against them by public water systems, including SJWC and CWC. On March 29, 2024, the MDL court approved a similar settlement involving defendant 3M. On November 22, 2024, the MDL court approved settlements involving defendants Tyco Fire Products LP, Chemgaurd, Inc., and BASF Corporation. SJW Group is monitoring and evaluating the ongoing litigation and settlement activity with the PFAS manufacturers for potential impacts to the various claims that these utility subsidiaries have asserted.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8"/>
          <w:szCs w:val="18"/>
          <w:b w:val="1"/>
          <w:bCs w:val="1"/>
          <w:color w:val="auto"/>
        </w:rPr>
        <w:t>Benefit Plans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Pension Plans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SJW Group maintains noncontributory defined benefit pension plans for its eligible employees. SJWC employees hired before March 31, 2008 and CWC and MWC employees hired before January 1, 2009 are entitled to benefits under the pension plans based on the employee’s years of service and compensation. For SJWC employees hired on or after March 31, 2008, benefits are determined using a cash balance formula based upon compensation credits and interest credits for each employee. Effective January 1, 2023, TWC employees became eligible to participate under SJWC’s cash balance plan. Interest is credited based on the annual yield on 30-year Treasury bonds as of October for the preceding plan year with a minimum annual rate of 3.25% and a maximum annual rate of 6.00%. For the year ended December 31, 2024, the interest credits assumption was 4.00%. Certain employees hired before March 1, 2012, and covered by a plan merged into the CWC plan in 2013 are also entitled to benefits based on the employee’s years of service and compensation. CTWS employees hired on or after January 1, 2009 are entitled to an additional 1.5% of eligible compensation to their company sponsored savings plan. SJW Group does not have multi-employer plans.</w:t>
      </w:r>
    </w:p>
    <w:p>
      <w:pPr>
        <w:spacing w:after="0" w:line="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pension plans are administered by their respective committees where the investment strategy of the investments of the various pension and postretirement benefit plans are reviewed and approved to achieve the goals of income generation and long-term capital preservation. SJW Group engages third-party investment consultants and managers to assist with, among other things, asset allocation strategy, investment policy advice, performance monitoring, and investment manager due diligence. Individual investment decisions have been delegated by the pension plan committees to the investment managers who are also monitored by an investment consultant. Investment managers are not permitted to invest outside of the asset class or strategy under the pension plans’ investment guidelines. The committees ensure that the plans establish a target mix that is expected to achieve its investment objectives by assuring a broad diversification of investment assets among investment types, while minimizing volatility of the target asset mix, unless market conditions make such a change appropriate to reduce risk. The pension plans require a minimum portion of plan assets to be allocated to fixed income securities and provide guidelines and restrictions on equity investments for the assets.</w:t>
      </w:r>
    </w:p>
    <w:p>
      <w:pPr>
        <w:spacing w:after="0" w:line="8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Plan assets are marked to market at each measurement date, resulting in unrealized actuarial gains or losses. Unrealized actuarial gains and losses on pension assets are amortized over the expected future working lifetime of participants for actuarial expense calculation purposes.</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Generally, it is expected of the investment managers that the performance of the assets held in the pension plans, computed on a total annual rate of return basis, should meet or exceed specific performance standards over a three-to-five-year period and/or full market cycle. These standards include specific absolute and risk-adjusted performance standards over a three-to-five-year period and/or full market cycle. The expected long-term rate of return on the pension plan assets is between 6.25% and 6.75% for the year ended December 31, 2024.</w:t>
      </w:r>
    </w:p>
    <w:p>
      <w:pPr>
        <w:spacing w:after="0" w:line="7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SJW Group calculates the market-related value of defined benefit pension plan assets, which is defined under FASB ASC Topic 715—“Compensation— Retirement Benefits,” as a balance used to calculate the expected return on plan assets, using fair value. The fair value is based on quoted prices in active markets for identical assets and significant observable inputs.</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Certain senior management hired before March 31, 2008 for SJWC and January 1, 2009 for CWC are eligible to receive additional retirement benefits under the supplemental executive retirement plans and retirement contracts (collectively, “SERP”). SJWC’s senior management hired on or after March 31, 2008 are eligible to receive additional retirement benefits under SJWC’s Cash Balance Executive Supplemental Retirement Plan (“Cash Balance Executive Supplemental Retirement Plan”). Both of the plans are non-qualified plans in which only senior management and other designated members of management may participate. The annual cost of the plans has been included in the determination of the net periodic benefit cost shown below. The SERP and Cash Balance Executive Supplemental Retirement Plan had a projected benefit obligation of $40,328 and $43,001 as of December 31, 2024 and 2023, respectively, and net periodic pension cost of $3,879, $3,257 and $4,400 for 2024, 2023 and 2022, respectively. For the years ended December 31, 2024, 2023 and 2022, the amounts not recognized as a component of net periodic benefit cost was $169, $314, and $1,640, respectively, recorded as other comprehensive income on the consolidated financial statements. SJWC’s non-qualified plans are unfunded while CWC’s SERP is funded through investments consisting primarily of life insurance contracts and assets in a Rabbi Trust. As of December 31, 2024 and 2023, total investments made to fund CWC’s SERP were $7,336 and $6,843, respectively, which is included in “Investments” in SJW Group’s Consolidated Balance Sheets. The life insurance contracts are valued at cash surrender value of the policies as reported by the insurer. As of December 31, 2024 and 2023, the value of the life insurance contracts was $4,294 and $3,937, respectively.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fair values of the Rabbi Trust investment assets to fund CWC’s SERP by major categories as of December 31, 2024 and 2023:</w:t>
      </w:r>
    </w:p>
    <w:p>
      <w:pPr>
        <w:spacing w:after="0" w:line="200" w:lineRule="exact"/>
        <w:rPr>
          <w:sz w:val="20"/>
          <w:szCs w:val="20"/>
          <w:color w:val="auto"/>
        </w:rPr>
      </w:pPr>
    </w:p>
    <w:p>
      <w:pPr>
        <w:spacing w:after="0" w:line="333"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0" w:type="dxa"/>
            <w:vAlign w:val="bottom"/>
            <w:gridSpan w:val="10"/>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w:t>
            </w:r>
          </w:p>
        </w:tc>
        <w:tc>
          <w:tcPr>
            <w:tcW w:w="0" w:type="dxa"/>
            <w:vAlign w:val="bottom"/>
          </w:tcPr>
          <w:p>
            <w:pPr>
              <w:spacing w:after="0"/>
              <w:rPr>
                <w:sz w:val="1"/>
                <w:szCs w:val="1"/>
                <w:color w:val="auto"/>
              </w:rPr>
            </w:pPr>
          </w:p>
        </w:tc>
      </w:tr>
      <w:tr>
        <w:trPr>
          <w:trHeight w:val="23"/>
        </w:trPr>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Quoted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40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60"/>
        </w:trPr>
        <w:tc>
          <w:tcPr>
            <w:tcW w:w="120" w:type="dxa"/>
            <w:vAlign w:val="bottom"/>
          </w:tcPr>
          <w:p>
            <w:pPr>
              <w:spacing w:after="0"/>
              <w:rPr>
                <w:sz w:val="13"/>
                <w:szCs w:val="13"/>
                <w:color w:val="auto"/>
              </w:rPr>
            </w:pPr>
          </w:p>
        </w:tc>
        <w:tc>
          <w:tcPr>
            <w:tcW w:w="406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4"/>
        </w:trPr>
        <w:tc>
          <w:tcPr>
            <w:tcW w:w="120" w:type="dxa"/>
            <w:vAlign w:val="bottom"/>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0" w:type="dxa"/>
            <w:vAlign w:val="bottom"/>
            <w:tcBorders>
              <w:top w:val="single" w:sz="8" w:color="auto"/>
              <w:bottom w:val="single" w:sz="8" w:color="CCEEFF"/>
            </w:tcBorders>
          </w:tcPr>
          <w:p>
            <w:pPr>
              <w:spacing w:after="0"/>
              <w:rPr>
                <w:sz w:val="2"/>
                <w:szCs w:val="2"/>
                <w:color w:val="auto"/>
              </w:rPr>
            </w:pPr>
          </w:p>
        </w:tc>
        <w:tc>
          <w:tcPr>
            <w:tcW w:w="120" w:type="dxa"/>
            <w:vAlign w:val="bottom"/>
            <w:tcBorders>
              <w:top w:val="single" w:sz="8" w:color="auto"/>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4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0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1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3"/>
        </w:trPr>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gridSpan w:val="10"/>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2023</w:t>
            </w:r>
          </w:p>
        </w:tc>
        <w:tc>
          <w:tcPr>
            <w:tcW w:w="0" w:type="dxa"/>
            <w:vAlign w:val="bottom"/>
          </w:tcPr>
          <w:p>
            <w:pPr>
              <w:spacing w:after="0"/>
              <w:rPr>
                <w:sz w:val="1"/>
                <w:szCs w:val="1"/>
                <w:color w:val="auto"/>
              </w:rPr>
            </w:pPr>
          </w:p>
        </w:tc>
      </w:tr>
      <w:tr>
        <w:trPr>
          <w:trHeight w:val="23"/>
        </w:trPr>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Quoted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37"/>
        </w:trPr>
        <w:tc>
          <w:tcPr>
            <w:tcW w:w="41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Inputs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20"/>
              <w:spacing w:after="0" w:line="137"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60"/>
        </w:trPr>
        <w:tc>
          <w:tcPr>
            <w:tcW w:w="4180" w:type="dxa"/>
            <w:vAlign w:val="bottom"/>
            <w:gridSpan w:val="5"/>
            <w:vMerge w:val="continue"/>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4"/>
        </w:trPr>
        <w:tc>
          <w:tcPr>
            <w:tcW w:w="120" w:type="dxa"/>
            <w:vAlign w:val="bottom"/>
            <w:tcBorders>
              <w:top w:val="single" w:sz="8" w:color="auto"/>
              <w:bottom w:val="single" w:sz="8" w:color="CCEEFF"/>
            </w:tcBorders>
          </w:tcPr>
          <w:p>
            <w:pPr>
              <w:spacing w:after="0"/>
              <w:rPr>
                <w:sz w:val="2"/>
                <w:szCs w:val="2"/>
                <w:color w:val="auto"/>
              </w:rPr>
            </w:pPr>
          </w:p>
        </w:tc>
        <w:tc>
          <w:tcPr>
            <w:tcW w:w="20" w:type="dxa"/>
            <w:vAlign w:val="bottom"/>
            <w:tcBorders>
              <w:top w:val="single" w:sz="8" w:color="auto"/>
              <w:bottom w:val="single" w:sz="8" w:color="CCEEFF"/>
            </w:tcBorders>
          </w:tcPr>
          <w:p>
            <w:pPr>
              <w:spacing w:after="0"/>
              <w:rPr>
                <w:sz w:val="2"/>
                <w:szCs w:val="2"/>
                <w:color w:val="auto"/>
              </w:rPr>
            </w:pPr>
          </w:p>
        </w:tc>
        <w:tc>
          <w:tcPr>
            <w:tcW w:w="800" w:type="dxa"/>
            <w:vAlign w:val="bottom"/>
            <w:tcBorders>
              <w:top w:val="single" w:sz="8" w:color="auto"/>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2,053</w:t>
            </w:r>
          </w:p>
        </w:tc>
        <w:tc>
          <w:tcPr>
            <w:tcW w:w="16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2,053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709</w:t>
            </w:r>
          </w:p>
        </w:tc>
        <w:tc>
          <w:tcPr>
            <w:tcW w:w="16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2,833</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2,833</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Borders>
              <w:top w:val="single" w:sz="8" w:color="auto"/>
              <w:bottom w:val="single" w:sz="8" w:color="auto"/>
            </w:tcBorders>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Other Postretirement Benefits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to providing pension and savings benefits, the company also provides health care and life insurance benefits for eligible retired employees under the respective employer-sponsored postretirement benefits other than pension plans. The benefits are paid by the company and not from plan assets due to limitations imposed by Internal Revenue Service.</w:t>
      </w:r>
    </w:p>
    <w:p>
      <w:pPr>
        <w:spacing w:after="0" w:line="1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Flexible Spending Plan</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SJW Group sponsors flexible spending account plans for its employees for the purpose of providing eligible employees with the opportunity to choose from among the fringe benefits available under the plans. The flexible spending plan is intended to qualify as a cafeteria plan under the provisions of the Internal Revenue Code Section 125. The flexible spending plan allows employees to save pre-tax income in a Health Care Spending Account (“HCSA”) and/or a Dependent Care Spending Account (“DCSA”) to help defray the cost of out-of-pocket medical and dependent care expenses. The annual maximum limit under the HCSA and DCSA plans is $3.2 and $5, respectively.</w:t>
      </w:r>
    </w:p>
    <w:p>
      <w:pPr>
        <w:spacing w:after="0" w:line="1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Savings Plans for Employees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SJW Group also sponsors salary deferral plans which are defined contribution plans that allow employees to defer and contribute a portion of their earnings to the plan. Contributions, not to exceed set limits, are matched by the company. SJW Group contributions were $4,221, $3,902 and $3,003 in 2024, 2023 and 2022, respectively. All of the company’s contributions are invested at the direction of the employees in funds offered under the plans.</w:t>
      </w:r>
    </w:p>
    <w:p>
      <w:pPr>
        <w:spacing w:after="0" w:line="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Special Deferral Election Plans and Deferral Election Program</w:t>
      </w:r>
    </w:p>
    <w:p>
      <w:pPr>
        <w:spacing w:after="0" w:line="12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SJW Group maintains a special deferral election plan and a deferred compensation plan and agreements for senior management and a deferral election program for non-employee directors allowing for the deferral of a portion of their earnings each year and to realize an investment return on those funds during the deferral period. Senior management and non-employee directors have to make an election on the deferral and distribution method of the deferrals before services are rendered. CWC’s deferred compensation plan allows the company to make discretionary contributions. Senior management and non-employee directors had deferred $8,216 and $8,148 under the plans as of December 31, 2024 and 2023, respectively. As of December 31, 2024 and 2023, $6,276 and $6,223, respectively, of the total amount deferred is related to CWC agreements.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Assumptions Utilized on Actuarial Calculations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cost for the defined benefit plans and other postretirement benefits was calculated using the following assumptions: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23"/>
        </w:trPr>
        <w:tc>
          <w:tcPr>
            <w:tcW w:w="41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1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41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4.99 - 5.03</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4.95 - 5.24</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2.65 - 2.82</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4.95 - 5.01</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4.96 - 5.21</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2.61 - 2.76</w:t>
            </w: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6.25, 6.75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6.00, 6.75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6.50, 6.75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4.20, 6.25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4.20, 6.00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4.20, 6.00</w:t>
            </w:r>
          </w:p>
        </w:tc>
      </w:tr>
      <w:tr>
        <w:trPr>
          <w:trHeight w:val="234"/>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4.50, 5.00</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4.50, 5.00</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4.00, 4.50</w:t>
            </w:r>
          </w:p>
        </w:tc>
        <w:tc>
          <w:tcPr>
            <w:tcW w:w="100" w:type="dxa"/>
            <w:vAlign w:val="bottom"/>
          </w:tcPr>
          <w:p>
            <w:pPr>
              <w:spacing w:after="0"/>
              <w:rPr>
                <w:sz w:val="20"/>
                <w:szCs w:val="20"/>
                <w:color w:val="auto"/>
              </w:rPr>
            </w:pPr>
          </w:p>
        </w:tc>
        <w:tc>
          <w:tcPr>
            <w:tcW w:w="12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7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expected rate of return on plan assets was determined based on a review of historical returns, for the pension plans and for medium- to large-sized defined benefit pension funds with similar asset allocations. This review generated separate expected returns for each asset class. These expected future returns were then blended based on the pension plans’ target asset allocations.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obligations for the defined benefit plans and other postretirement benefits were calculated using the following assumptions as of December 31: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3260" w:type="dxa"/>
            <w:vAlign w:val="bottom"/>
            <w:gridSpan w:val="4"/>
          </w:tcPr>
          <w:p>
            <w:pPr>
              <w:ind w:left="108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316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23"/>
        </w:trPr>
        <w:tc>
          <w:tcPr>
            <w:tcW w:w="47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47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478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5.55 - 5.63</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4.99 - 5.03</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5.48 - 5.58</w:t>
            </w:r>
          </w:p>
        </w:tc>
        <w:tc>
          <w:tcPr>
            <w:tcW w:w="1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4.95 - 5.01</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4.50 - 5.00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4.50 - 5.00</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15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7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SJW Group utilized each plan’s projected benefit stream in conjunction with the FTSE Pension Discount Curve in determining the discount rate used in calculating the pension and other postretirement benefits liabilities at the measurement date.</w:t>
      </w:r>
    </w:p>
    <w:p>
      <w:pPr>
        <w:spacing w:after="0" w:line="54"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SJW Group has adopted MP-2021, Mortality Improvement Scales to determine mortality assumptions. The tables and scales reflect increasing life expectancies of participants in the United States. See also “Reconciliation of Funded Status” below.</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other postretirement benefits, the assumed healthcare cost trend rate for 2025 is 8.00%, grading down gradually to 4.50% by 2032.</w:t>
      </w:r>
    </w:p>
    <w:p>
      <w:pPr>
        <w:spacing w:after="0" w:line="1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Net Periodic Pension Costs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costs for the defined benefit plans and other postretirement benefits for the years ended December 31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760" w:type="dxa"/>
            <w:vAlign w:val="bottom"/>
          </w:tcPr>
          <w:p>
            <w:pPr>
              <w:spacing w:after="0"/>
              <w:rPr>
                <w:sz w:val="16"/>
                <w:szCs w:val="16"/>
                <w:color w:val="auto"/>
              </w:rPr>
            </w:pPr>
          </w:p>
        </w:tc>
      </w:tr>
      <w:tr>
        <w:trPr>
          <w:trHeight w:val="23"/>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4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net periodic benefit cost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0"/>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7,569</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r>
      <w:tr>
        <w:trPr>
          <w:trHeight w:val="229"/>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r>
      <w:tr>
        <w:trPr>
          <w:trHeight w:val="230"/>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r>
      <w:tr>
        <w:trPr>
          <w:trHeight w:val="230"/>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actuarial (gain) loss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Recognition of significant event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8,588</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Reconciliation of Funded Status</w:t>
      </w:r>
    </w:p>
    <w:p>
      <w:pPr>
        <w:spacing w:after="0" w:line="121"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For the defined benefit plans and other postretirement benefits, the benefit obligation is the projected benefit obligation and the accumulated benefit obligation, respectively. The projected benefit obligations and the funded status of the defined benefit pension and other postretirement plans as of December 31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3"/>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23"/>
        </w:trPr>
        <w:tc>
          <w:tcPr>
            <w:tcW w:w="47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47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benefit obligation</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297,834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289,123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25,830</w:t>
            </w:r>
          </w:p>
        </w:tc>
      </w:tr>
      <w:tr>
        <w:trPr>
          <w:trHeight w:val="230"/>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29"/>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r>
      <w:tr>
        <w:trPr>
          <w:trHeight w:val="229"/>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Actuarial loss (gain)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r>
      <w:tr>
        <w:trPr>
          <w:trHeight w:val="230"/>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Implicit rate subsidy</w:t>
            </w:r>
          </w:p>
        </w:tc>
        <w:tc>
          <w:tcPr>
            <w:tcW w:w="360" w:type="dxa"/>
            <w:vAlign w:val="bottom"/>
          </w:tcPr>
          <w:p>
            <w:pPr>
              <w:spacing w:after="0"/>
              <w:rPr>
                <w:sz w:val="19"/>
                <w:szCs w:val="19"/>
                <w:color w:val="auto"/>
              </w:rPr>
            </w:pPr>
          </w:p>
        </w:tc>
        <w:tc>
          <w:tcPr>
            <w:tcW w:w="180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9"/>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36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30"/>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Administrative expenses paid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Benefits paid and settlements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23"/>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287,044</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297,834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25,080</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24,264</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6"/>
        </w:trPr>
        <w:tc>
          <w:tcPr>
            <w:tcW w:w="47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Change in plan assets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30"/>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of assets at beginning of year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285,504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251,960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21,207</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17,952</w:t>
            </w:r>
          </w:p>
        </w:tc>
      </w:tr>
      <w:tr>
        <w:trPr>
          <w:trHeight w:val="229"/>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w:t>
            </w:r>
          </w:p>
        </w:tc>
      </w:tr>
      <w:tr>
        <w:trPr>
          <w:trHeight w:val="229"/>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Employer contributions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r>
      <w:tr>
        <w:trPr>
          <w:trHeight w:val="230"/>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36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9"/>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Administrative expenses paid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Benefits paid and settlements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r>
      <w:tr>
        <w:trPr>
          <w:trHeight w:val="223"/>
        </w:trPr>
        <w:tc>
          <w:tcPr>
            <w:tcW w:w="4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307,947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23,225</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21,207</w:t>
            </w:r>
          </w:p>
        </w:tc>
      </w:tr>
      <w:tr>
        <w:trPr>
          <w:trHeight w:val="248"/>
        </w:trPr>
        <w:tc>
          <w:tcPr>
            <w:tcW w:w="4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Funded status at end of year</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net actuarial gain on the benefit obligation was related primarily to a gain from changes in the discount rate of $21,129 and a $6,005 loss from pension data changes. For the year ended December 31, 2023, the net actuarial gain of the benefit obligation was related primarily to a gain from changes of discount rate of $1,188 and a $1,993 loss from pension data changes.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recognized on the balance sheet as of December 31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3"/>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23"/>
        </w:trPr>
        <w:tc>
          <w:tcPr>
            <w:tcW w:w="47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47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w:t>
            </w:r>
          </w:p>
        </w:tc>
      </w:tr>
      <w:tr>
        <w:trPr>
          <w:trHeight w:val="223"/>
        </w:trPr>
        <w:tc>
          <w:tcPr>
            <w:tcW w:w="47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20,903</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w:t>
            </w:r>
          </w:p>
        </w:tc>
      </w:tr>
      <w:tr>
        <w:trPr>
          <w:trHeight w:val="20"/>
        </w:trPr>
        <w:tc>
          <w:tcPr>
            <w:tcW w:w="4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2023, the accumulated benefit obligation of the defined benefit pension plans was $263,607 and $270,209, respectively.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provides selected information about plans with projected benefit obligation and accumulated benefit obligation in excess of plan assets as of December 31:</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Benefits:</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Plans with projected benefit obligation in excess of plan assets:</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43,001</w:t>
            </w:r>
          </w:p>
        </w:tc>
      </w:tr>
      <w:tr>
        <w:trPr>
          <w:trHeight w:val="229"/>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9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Plans with accumulated benefit obligation in excess of plan assets: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39,652</w:t>
            </w:r>
          </w:p>
        </w:tc>
      </w:tr>
      <w:tr>
        <w:trPr>
          <w:trHeight w:val="230"/>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9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Postretirement Benefits:</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Plans with accumulated benefit obligation in excess of plan assets: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15,580</w:t>
            </w:r>
          </w:p>
        </w:tc>
      </w:tr>
      <w:tr>
        <w:trPr>
          <w:trHeight w:val="229"/>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9,401</w:t>
            </w:r>
          </w:p>
        </w:tc>
      </w:tr>
    </w:tbl>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SJW Group recognizes regulatory assets and liabilities that represent actuarial losses and gains and prior service cost that have not yet been recognized as components of net periodic benefit cost for certain of its pension and other postretirement benefit plans, in accordance with ASC Topic 980. SJW Group recorded regulatory assets of $3,177 and $24,593 as of December 31, 2024 and 2023, respectively, and regulatory liabilities of $27,872 and $20,196 as of December 31, 2024 and 2023, respectively. As of December 31, 2024 and 2023, the amounts deferred in regulatory assets that have not yet been recognized as components of net periodic benefit cost include net loss of $3,150 and $24,552, respectively, and prior service cost of $27 and $41, respectively. As of December 31, 2024 and 2023, the amounts deferred in regulatory liabilities that have not yet been recognized as components of net periodic benefit cost include net gain of $27,872 and $20,196, respectively.</w:t>
      </w:r>
    </w:p>
    <w:p>
      <w:pPr>
        <w:spacing w:after="0" w:line="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Plan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assets as of December 31 were as follows: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3"/>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23"/>
        </w:trPr>
        <w:tc>
          <w:tcPr>
            <w:tcW w:w="44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0"/>
        </w:trPr>
        <w:tc>
          <w:tcPr>
            <w:tcW w:w="44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assets at end of year:</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116,987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101,498</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5,368</w:t>
            </w:r>
          </w:p>
        </w:tc>
        <w:tc>
          <w:tcPr>
            <w:tcW w:w="100" w:type="dxa"/>
            <w:vAlign w:val="bottom"/>
          </w:tcPr>
          <w:p>
            <w:pPr>
              <w:spacing w:after="0"/>
              <w:rPr>
                <w:sz w:val="19"/>
                <w:szCs w:val="19"/>
                <w:color w:val="auto"/>
              </w:rPr>
            </w:pP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5,596</w:t>
            </w:r>
          </w:p>
        </w:tc>
      </w:tr>
      <w:tr>
        <w:trPr>
          <w:trHeight w:val="230"/>
        </w:trPr>
        <w:tc>
          <w:tcPr>
            <w:tcW w:w="4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38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179,103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174,155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16,737</w:t>
            </w:r>
          </w:p>
        </w:tc>
        <w:tc>
          <w:tcPr>
            <w:tcW w:w="100" w:type="dxa"/>
            <w:vAlign w:val="bottom"/>
          </w:tcPr>
          <w:p>
            <w:pPr>
              <w:spacing w:after="0"/>
              <w:rPr>
                <w:sz w:val="19"/>
                <w:szCs w:val="19"/>
                <w:color w:val="auto"/>
              </w:rPr>
            </w:pP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14,424</w:t>
            </w:r>
          </w:p>
        </w:tc>
      </w:tr>
      <w:tr>
        <w:trPr>
          <w:trHeight w:val="229"/>
        </w:trPr>
        <w:tc>
          <w:tcPr>
            <w:tcW w:w="4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Cash and equivalents</w:t>
            </w:r>
          </w:p>
        </w:tc>
        <w:tc>
          <w:tcPr>
            <w:tcW w:w="38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11,857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9,851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spacing w:after="0"/>
              <w:rPr>
                <w:sz w:val="19"/>
                <w:szCs w:val="19"/>
                <w:color w:val="auto"/>
              </w:rPr>
            </w:pP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1,187</w:t>
            </w:r>
          </w:p>
        </w:tc>
      </w:tr>
      <w:tr>
        <w:trPr>
          <w:trHeight w:val="230"/>
        </w:trPr>
        <w:tc>
          <w:tcPr>
            <w:tcW w:w="44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307,947</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285,504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23,225</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21,207</w:t>
            </w:r>
          </w:p>
        </w:tc>
      </w:tr>
      <w:tr>
        <w:trPr>
          <w:trHeight w:val="20"/>
        </w:trPr>
        <w:tc>
          <w:tcPr>
            <w:tcW w:w="4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fair values of plan assets by major categories as of December 31, 2024 and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Quoted</w:t>
            </w: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640" w:type="dxa"/>
            <w:vAlign w:val="bottom"/>
            <w:gridSpan w:val="2"/>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6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5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360" w:type="dxa"/>
            <w:vAlign w:val="bottom"/>
          </w:tcPr>
          <w:p>
            <w:pPr>
              <w:spacing w:after="0"/>
              <w:rPr>
                <w:sz w:val="12"/>
                <w:szCs w:val="12"/>
                <w:color w:val="auto"/>
              </w:rPr>
            </w:pPr>
          </w:p>
        </w:tc>
        <w:tc>
          <w:tcPr>
            <w:tcW w:w="12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6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64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4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12,977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 (a)</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195,840</w:t>
            </w:r>
          </w:p>
        </w:tc>
        <w:tc>
          <w:tcPr>
            <w:tcW w:w="100" w:type="dxa"/>
            <w:vAlign w:val="bottom"/>
          </w:tcPr>
          <w:p>
            <w:pPr>
              <w:spacing w:after="0"/>
              <w:rPr>
                <w:sz w:val="19"/>
                <w:szCs w:val="19"/>
                <w:color w:val="auto"/>
              </w:rPr>
            </w:pPr>
          </w:p>
        </w:tc>
        <w:tc>
          <w:tcPr>
            <w:tcW w:w="15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195,840</w:t>
            </w: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(b)</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122,355</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46,549</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75,806</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331,172</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255,366</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75,806</w:t>
            </w:r>
          </w:p>
        </w:tc>
        <w:tc>
          <w:tcPr>
            <w:tcW w:w="120" w:type="dxa"/>
            <w:vAlign w:val="bottom"/>
          </w:tcPr>
          <w:p>
            <w:pPr>
              <w:spacing w:after="0"/>
              <w:rPr>
                <w:sz w:val="19"/>
                <w:szCs w:val="19"/>
                <w:color w:val="auto"/>
              </w:rPr>
            </w:pPr>
          </w:p>
        </w:tc>
        <w:tc>
          <w:tcPr>
            <w:tcW w:w="152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1"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Actively managed portfolio of equity securities with the goal to exceed the benchmark performance.</w:t>
      </w:r>
    </w:p>
    <w:p>
      <w:pPr>
        <w:spacing w:after="0" w:line="11"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Actively managed portfolio of fixed income securities with the goal to exceed the benchmark performance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2023</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Quoted</w:t>
            </w: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640" w:type="dxa"/>
            <w:vAlign w:val="bottom"/>
            <w:gridSpan w:val="2"/>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6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5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360" w:type="dxa"/>
            <w:vAlign w:val="bottom"/>
          </w:tcPr>
          <w:p>
            <w:pPr>
              <w:spacing w:after="0"/>
              <w:rPr>
                <w:sz w:val="12"/>
                <w:szCs w:val="12"/>
                <w:color w:val="auto"/>
              </w:rPr>
            </w:pPr>
          </w:p>
        </w:tc>
        <w:tc>
          <w:tcPr>
            <w:tcW w:w="12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6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64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4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11,038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188,579</w:t>
            </w:r>
          </w:p>
        </w:tc>
        <w:tc>
          <w:tcPr>
            <w:tcW w:w="100" w:type="dxa"/>
            <w:vAlign w:val="bottom"/>
          </w:tcPr>
          <w:p>
            <w:pPr>
              <w:spacing w:after="0"/>
              <w:rPr>
                <w:sz w:val="19"/>
                <w:szCs w:val="19"/>
                <w:color w:val="auto"/>
              </w:rPr>
            </w:pPr>
          </w:p>
        </w:tc>
        <w:tc>
          <w:tcPr>
            <w:tcW w:w="15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188,579</w:t>
            </w: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107,094</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39,048</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68,046</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306,711</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238,665</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68,046</w:t>
            </w:r>
          </w:p>
        </w:tc>
        <w:tc>
          <w:tcPr>
            <w:tcW w:w="120" w:type="dxa"/>
            <w:vAlign w:val="bottom"/>
          </w:tcPr>
          <w:p>
            <w:pPr>
              <w:spacing w:after="0"/>
              <w:rPr>
                <w:sz w:val="19"/>
                <w:szCs w:val="19"/>
                <w:color w:val="auto"/>
              </w:rPr>
            </w:pPr>
          </w:p>
        </w:tc>
        <w:tc>
          <w:tcPr>
            <w:tcW w:w="152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2025, SJW Group expects to make required and discretionary cash contributions of up to $6,680 to the pension plans and other postretirement benefit plans.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expected to be paid in the next five years and in the aggregate for the five years thereafter are: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180" w:type="dxa"/>
            <w:vAlign w:val="bottom"/>
          </w:tcPr>
          <w:p>
            <w:pPr>
              <w:spacing w:after="0"/>
              <w:rPr>
                <w:sz w:val="13"/>
                <w:szCs w:val="13"/>
                <w:color w:val="auto"/>
              </w:rPr>
            </w:pPr>
          </w:p>
        </w:tc>
        <w:tc>
          <w:tcPr>
            <w:tcW w:w="16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Other Postretirement</w:t>
            </w:r>
          </w:p>
        </w:tc>
        <w:tc>
          <w:tcPr>
            <w:tcW w:w="0" w:type="dxa"/>
            <w:vAlign w:val="bottom"/>
          </w:tcPr>
          <w:p>
            <w:pPr>
              <w:spacing w:after="0"/>
              <w:rPr>
                <w:sz w:val="1"/>
                <w:szCs w:val="1"/>
                <w:color w:val="auto"/>
              </w:rPr>
            </w:pPr>
          </w:p>
        </w:tc>
      </w:tr>
      <w:tr>
        <w:trPr>
          <w:trHeight w:val="195"/>
        </w:trPr>
        <w:tc>
          <w:tcPr>
            <w:tcW w:w="110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0" w:type="dxa"/>
            <w:vAlign w:val="bottom"/>
          </w:tcPr>
          <w:p>
            <w:pPr>
              <w:spacing w:after="0"/>
              <w:rPr>
                <w:sz w:val="1"/>
                <w:szCs w:val="1"/>
                <w:color w:val="auto"/>
              </w:rPr>
            </w:pPr>
          </w:p>
        </w:tc>
      </w:tr>
      <w:tr>
        <w:trPr>
          <w:trHeight w:val="228"/>
        </w:trPr>
        <w:tc>
          <w:tcPr>
            <w:tcW w:w="1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6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0" w:type="dxa"/>
            <w:vAlign w:val="bottom"/>
          </w:tcPr>
          <w:p>
            <w:pPr>
              <w:spacing w:after="0"/>
              <w:rPr>
                <w:sz w:val="1"/>
                <w:szCs w:val="1"/>
                <w:color w:val="auto"/>
              </w:rPr>
            </w:pPr>
          </w:p>
        </w:tc>
      </w:tr>
      <w:tr>
        <w:trPr>
          <w:trHeight w:val="230"/>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0" w:type="dxa"/>
            <w:vAlign w:val="bottom"/>
          </w:tcPr>
          <w:p>
            <w:pPr>
              <w:spacing w:after="0"/>
              <w:rPr>
                <w:sz w:val="1"/>
                <w:szCs w:val="1"/>
                <w:color w:val="auto"/>
              </w:rPr>
            </w:pPr>
          </w:p>
        </w:tc>
      </w:tr>
      <w:tr>
        <w:trPr>
          <w:trHeight w:val="229"/>
        </w:trPr>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0" w:type="dxa"/>
            <w:vAlign w:val="bottom"/>
          </w:tcPr>
          <w:p>
            <w:pPr>
              <w:spacing w:after="0"/>
              <w:rPr>
                <w:sz w:val="1"/>
                <w:szCs w:val="1"/>
                <w:color w:val="auto"/>
              </w:rPr>
            </w:pPr>
          </w:p>
        </w:tc>
      </w:tr>
      <w:tr>
        <w:trPr>
          <w:trHeight w:val="230"/>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0" w:type="dxa"/>
            <w:vAlign w:val="bottom"/>
          </w:tcPr>
          <w:p>
            <w:pPr>
              <w:spacing w:after="0"/>
              <w:rPr>
                <w:sz w:val="1"/>
                <w:szCs w:val="1"/>
                <w:color w:val="auto"/>
              </w:rPr>
            </w:pPr>
          </w:p>
        </w:tc>
      </w:tr>
      <w:tr>
        <w:trPr>
          <w:trHeight w:val="230"/>
        </w:trPr>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0" w:type="dxa"/>
            <w:vAlign w:val="bottom"/>
          </w:tcPr>
          <w:p>
            <w:pPr>
              <w:spacing w:after="0"/>
              <w:rPr>
                <w:sz w:val="1"/>
                <w:szCs w:val="1"/>
                <w:color w:val="auto"/>
              </w:rPr>
            </w:pPr>
          </w:p>
        </w:tc>
      </w:tr>
      <w:tr>
        <w:trPr>
          <w:trHeight w:val="234"/>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2030 - 2034</w:t>
            </w:r>
          </w:p>
        </w:tc>
        <w:tc>
          <w:tcPr>
            <w:tcW w:w="6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9,656</w:t>
            </w:r>
          </w:p>
        </w:tc>
        <w:tc>
          <w:tcPr>
            <w:tcW w:w="0" w:type="dxa"/>
            <w:vAlign w:val="bottom"/>
          </w:tcPr>
          <w:p>
            <w:pPr>
              <w:spacing w:after="0"/>
              <w:rPr>
                <w:sz w:val="1"/>
                <w:szCs w:val="1"/>
                <w:color w:val="auto"/>
              </w:rPr>
            </w:pPr>
          </w:p>
        </w:tc>
      </w:tr>
      <w:tr>
        <w:trPr>
          <w:trHeight w:val="549"/>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w:t>
            </w:r>
          </w:p>
        </w:tc>
        <w:tc>
          <w:tcPr>
            <w:tcW w:w="6900" w:type="dxa"/>
            <w:vAlign w:val="bottom"/>
            <w:gridSpan w:val="2"/>
          </w:tcPr>
          <w:p>
            <w:pPr>
              <w:jc w:val="right"/>
              <w:ind w:right="5630"/>
              <w:spacing w:after="0"/>
              <w:rPr>
                <w:sz w:val="20"/>
                <w:szCs w:val="20"/>
                <w:color w:val="auto"/>
              </w:rPr>
            </w:pPr>
            <w:r>
              <w:rPr>
                <w:rFonts w:ascii="Times New Roman" w:cs="Times New Roman" w:eastAsia="Times New Roman" w:hAnsi="Times New Roman"/>
                <w:sz w:val="18"/>
                <w:szCs w:val="18"/>
                <w:b w:val="1"/>
                <w:bCs w:val="1"/>
                <w:color w:val="auto"/>
              </w:rPr>
              <w:t>Equity Plans</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SJW Group’s long-term incentive plans provide employees, non-employee board members or the board of directors of any parent or subsidiary, consultants, and other independent advisors who provide services to the company or subsidiary the opportunity to acquire an equity interest in SJW Group. SJW Group also maintains stock plans in connection with its acquisition of CTWS which are no longer granting new stock awards. In addition, shares are issued to employees under SJW Group’s employee stock purchase plan.</w:t>
      </w:r>
    </w:p>
    <w:p>
      <w:pPr>
        <w:spacing w:after="0" w:line="7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April 26, 2023, SJW Group adopted the successor plans, the 2023 Long-Term Incentive Plan and the 2023 Employee Stock Purchase Plan, to replace the Amended and Restated Long-Term Incentive Plan (the “Predecessor Incentive Plan”) and the 2014 Employee Stock Purchase Plan (the “Predecessor ESPP”), respectively. The Predecessor Incentive Plan terminated on April 23, 2023 and the Predecessor ESPP terminated on July 31, 2023. Each outstanding award under the Predecessor Incentive Plan will remain outstanding under the Predecessor Incentive Plan and shall be governed solely by the terms of the documents evidencing such awards. The 2023 Long-Term Incentive Plan reserves a total of 1,142,000 shares of SJW Group’s common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stock for issuance to employees, non-employee board members or the board of directors of any parent or subsidiary, consultants, and other independent advisors who provide services to the SJW Group and its subsidiaries. The 2023 Employee Stock Purchase Plan reserves for a total of 500,000 shares of SJW Group’s common stock for issuance for eligible employees to purchase common stock at a discount through accumulated payroll deductions. Remaining reserves for both of the predecessor plans were terminated with the adoption of the successor plans.</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 participant in the plans generally may not receive plan awards covering an aggregate of more than 600,000 shares of common stock in any calendar year. Additionally, awards granted under the plans may be conditioned upon the attainment of specified Company performance goals. The types of awards included in the plans are restricted stock awards, restricted stock units, performance shares, or other share-based awards. In addition, shares are issued to employees under the employee stock purchase plan (“ESPP”) that was approved by SJW Group stockholders.</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December 31, 2024, 2023 and 2022, 1,142,770, 1,080,759 and 1,013,782 shares have been issued pursuant to the plans, and 191,177, 150,704 and 162,502 shares are issuable upon the vesting of outstanding restricted stock units, performance-based stock units, and deferred restricted stock units for the years ended 2024, 2023 and 2022, respectively. The remaining shares available for issuance under the plans are 1,030,998 as of December 31, 2024. The compensation costs charged to income is recognized on a straight-line basis over the requisite service period.</w:t>
      </w:r>
    </w:p>
    <w:p>
      <w:pPr>
        <w:spacing w:after="0" w:line="7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 summary of compensation costs charged to income and proceeds from share-based compensation, which are recorded to additional paid-in capital and common stock, by award type, are presented below for the years ended December 31:</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52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costs charged to income:</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ESPP</w:t>
            </w:r>
          </w:p>
        </w:tc>
        <w:tc>
          <w:tcPr>
            <w:tcW w:w="98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2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stock and deferred restricted stock</w:t>
            </w: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compensation costs charged to income</w:t>
            </w:r>
          </w:p>
        </w:tc>
        <w:tc>
          <w:tcPr>
            <w:tcW w:w="98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4,791</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 proceeds</w:t>
            </w:r>
          </w:p>
        </w:tc>
        <w:tc>
          <w:tcPr>
            <w:tcW w:w="980" w:type="dxa"/>
            <w:vAlign w:val="bottom"/>
            <w:tcBorders>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Restricted Stock and Deferred Restricted Stock</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 summary of SJW Group’s outstanding restricted and deferred restricted stock awards under the Plan as of December 31, 2024, and changes during the year ended December 31, 2024, are presented below:</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7"/>
        </w:trPr>
        <w:tc>
          <w:tcPr>
            <w:tcW w:w="8060" w:type="dxa"/>
            <w:vAlign w:val="bottom"/>
          </w:tcPr>
          <w:p>
            <w:pPr>
              <w:spacing w:after="0"/>
              <w:rPr>
                <w:sz w:val="11"/>
                <w:szCs w:val="11"/>
                <w:color w:val="auto"/>
              </w:rPr>
            </w:pPr>
          </w:p>
        </w:tc>
        <w:tc>
          <w:tcPr>
            <w:tcW w:w="152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jc w:val="right"/>
              <w:ind w:right="196"/>
              <w:spacing w:after="0" w:line="137"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90"/>
        </w:trPr>
        <w:tc>
          <w:tcPr>
            <w:tcW w:w="806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3"/>
        </w:trPr>
        <w:tc>
          <w:tcPr>
            <w:tcW w:w="80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72.65</w:t>
            </w:r>
          </w:p>
        </w:tc>
        <w:tc>
          <w:tcPr>
            <w:tcW w:w="0" w:type="dxa"/>
            <w:vAlign w:val="bottom"/>
          </w:tcPr>
          <w:p>
            <w:pPr>
              <w:spacing w:after="0"/>
              <w:rPr>
                <w:sz w:val="1"/>
                <w:szCs w:val="1"/>
                <w:color w:val="auto"/>
              </w:rPr>
            </w:pP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116,598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(14,114)</w:t>
            </w:r>
          </w:p>
        </w:tc>
        <w:tc>
          <w:tcPr>
            <w:tcW w:w="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191,177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vested as of December 31, 2024</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summary of the status of SJW Group’s nonvested restricted and deferred restricted stock awards under the plans as of December 31, 2024, and changes during the year ended December 31, 2024, are presented below:</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8060" w:type="dxa"/>
            <w:vAlign w:val="bottom"/>
          </w:tcPr>
          <w:p>
            <w:pPr>
              <w:spacing w:after="0"/>
              <w:rPr>
                <w:sz w:val="12"/>
                <w:szCs w:val="12"/>
                <w:color w:val="auto"/>
              </w:rPr>
            </w:pPr>
          </w:p>
        </w:tc>
        <w:tc>
          <w:tcPr>
            <w:tcW w:w="152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center"/>
              <w:ind w:right="57"/>
              <w:spacing w:after="0" w:line="146"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January 1, 2024</w:t>
            </w:r>
          </w:p>
        </w:tc>
        <w:tc>
          <w:tcPr>
            <w:tcW w:w="15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123,545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73.93</w:t>
            </w:r>
          </w:p>
        </w:tc>
        <w:tc>
          <w:tcPr>
            <w:tcW w:w="0" w:type="dxa"/>
            <w:vAlign w:val="bottom"/>
          </w:tcPr>
          <w:p>
            <w:pPr>
              <w:spacing w:after="0"/>
              <w:rPr>
                <w:sz w:val="1"/>
                <w:szCs w:val="1"/>
                <w:color w:val="auto"/>
              </w:rPr>
            </w:pP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116,598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(70,366)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(10,621)</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65.54</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2024</w:t>
            </w:r>
          </w:p>
        </w:tc>
        <w:tc>
          <w:tcPr>
            <w:tcW w:w="15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159,156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Total fair value of restricted stock awards for all plans that were vested for the years ended 2024, 2023 and 2022 were $4,788, $4,170 and $4,369, respectively. As of December 31, 2024, the total unrecognized compensation costs related to restricted 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restricted stock plans amounted to $5,485. This cost is expected to be recognized over a weighted-average period of 1.72 years.</w:t>
      </w:r>
    </w:p>
    <w:p>
      <w:pPr>
        <w:spacing w:after="0" w:line="11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2024, 2023 and 2022, 33,670, 15,955 and 11,551, respectively, of performance-based and market-based restricted stock awards were issued upon the attainment of certain performance metrics and service-based vesting under the Plan. Based upon actual attainment relative to the target performance metric, the number of shares issuable can range between 0% to 150% of the target number of shares for performance-based restricted stock awards, or between 0% and 200% of the target number of shares for market-based restricted stock awards. As of December 31, 2024, 30,770 performance-based and market-based restricted stock awards vested and 29,199 remained outstanding.</w:t>
      </w:r>
    </w:p>
    <w:p>
      <w:pPr>
        <w:spacing w:after="0" w:line="1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ESPP allows eligible employees to purchase shares of SJW Group’s common stock at 85% of the fair value of shares on the purchase date. Under the ESPP, employees can designate up to a maximum of 10% of their base compensation for the purchase of shares of common stock, subject to certain restrictions. A total of 500,000 shares of SJW Group’s common stock have been reserved for issuance under the ESPP. The remaining shares available for issuance under the ESPP are 457,147 as of December 31, 2024.</w:t>
      </w:r>
    </w:p>
    <w:p>
      <w:pPr>
        <w:spacing w:after="0" w:line="7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2023 and 2022, a total of 42,853, 34,122 and 36,585 shares, respectively, were issued under the ESPP. The plan has no look-back provisions.</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Segment Reporting</w:t>
      </w:r>
    </w:p>
    <w:p>
      <w:pPr>
        <w:spacing w:after="0" w:line="121"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SJW Group’s single reportable segment provides water utility and utility-related services to its customers through SJW Group’s subsidiaries, SJWC, CWC, TWC, MWC, and Acequia, which are aggregated and referred to as “Water Utility Services.” Water Utility Services’ activities are water utility operations with both regulated and non-tariffed businesses. Other business activities that do not comprise separately reportable segments primarily include SJWC’s City of Cupertino service concession arrangement operations, property management and investment activity conducted by SJW Land Company and Chester Realty, Inc., contract water and sewer operations and other water-related services provided by NEWUS and are referred to as “Other Services.”</w:t>
      </w:r>
    </w:p>
    <w:p>
      <w:pPr>
        <w:spacing w:after="0" w:line="6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SJW Group’s operating segments have been determined based on information used by the chief operating decision maker. SJW Group’s chief operating decision maker (“CODM”) includes the Chairman, President, and Chief Executive Officer; the Chief Financial Officer and Treasurer; the Chief Operating Officer; the Senior Vice President and Chief Administrative Officer; and the Vice President and General Counsel. However, ultimate decision-making authority rests with the Chairman, President, and Chief Executive Officer. The CODM reviews financial information presented on a consolidated basis that is accompanied by certain disaggregated information about operating revenue, expenses, net income, and total assets. The CODM uses the net income to assess the financial performance of the segments and allocate resources (including employees, financial, or capital resources) in the budgeting and forecasting process.</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Previously, SJW Group presented a separate reportable segment for Real Estate Services and also presented a disaggregation of regulated and non-tariffed activities within the Water Utility Services reportable segment. Considering the sale of the Tennessee properties, as discussed in Note 2, which were part of the Real Estate Services segment, management has updated its segment presentation and has recast the prior periods presented to conform with the current period presentation. Under the current presentation, the activities of Water Utility Services previously presented as “non-tariffed” are generally presented as “Other Services” along with the real estate activity. Certain allocated assets, such as goodwill, revenue and expenses have been included in the reportable segment amounts. Certain corporate costs and expenses are not allocated to Water Utility Services or Other Services and are shown separately to reconcile to the applicable consolidated amounts.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14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540" w:type="dxa"/>
            <w:vAlign w:val="bottom"/>
          </w:tcPr>
          <w:p>
            <w:pPr>
              <w:spacing w:after="0"/>
              <w:rPr>
                <w:sz w:val="10"/>
                <w:szCs w:val="10"/>
                <w:color w:val="auto"/>
              </w:rPr>
            </w:pPr>
          </w:p>
        </w:tc>
        <w:tc>
          <w:tcPr>
            <w:tcW w:w="16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Water Utility Services</w:t>
            </w:r>
          </w:p>
        </w:tc>
        <w:tc>
          <w:tcPr>
            <w:tcW w:w="16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Other Services (1)</w:t>
            </w:r>
          </w:p>
        </w:tc>
        <w:tc>
          <w:tcPr>
            <w:tcW w:w="16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4"/>
                <w:szCs w:val="14"/>
                <w:b w:val="1"/>
                <w:bCs w:val="1"/>
                <w:color w:val="auto"/>
              </w:rPr>
              <w:t>Unallocated Corporate</w:t>
            </w:r>
          </w:p>
        </w:tc>
        <w:tc>
          <w:tcPr>
            <w:tcW w:w="154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4540" w:type="dxa"/>
            <w:vAlign w:val="bottom"/>
          </w:tcPr>
          <w:p>
            <w:pPr>
              <w:spacing w:after="0"/>
              <w:rPr>
                <w:sz w:val="17"/>
                <w:szCs w:val="17"/>
                <w:color w:val="auto"/>
              </w:rPr>
            </w:pPr>
          </w:p>
        </w:tc>
        <w:tc>
          <w:tcPr>
            <w:tcW w:w="1640" w:type="dxa"/>
            <w:vAlign w:val="bottom"/>
            <w:gridSpan w:val="3"/>
            <w:vMerge w:val="continue"/>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0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732,580</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15,859</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748,439</w:t>
            </w:r>
          </w:p>
        </w:tc>
        <w:tc>
          <w:tcPr>
            <w:tcW w:w="0" w:type="dxa"/>
            <w:vAlign w:val="bottom"/>
          </w:tcPr>
          <w:p>
            <w:pPr>
              <w:spacing w:after="0"/>
              <w:rPr>
                <w:sz w:val="1"/>
                <w:szCs w:val="1"/>
                <w:color w:val="auto"/>
              </w:rPr>
            </w:pPr>
          </w:p>
        </w:tc>
      </w:tr>
      <w:tr>
        <w:trPr>
          <w:trHeight w:val="270"/>
        </w:trPr>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Production expenses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286,763</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292,022</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97,420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105,830</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Maintenance</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31,301</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taxes and other non-income taxes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35,928</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111,709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112,855</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long-term debt and other interest expense</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71,390</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(3)</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108,517</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(17,615)</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93,967</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377,208</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377,237</w:t>
            </w:r>
          </w:p>
        </w:tc>
        <w:tc>
          <w:tcPr>
            <w:tcW w:w="0" w:type="dxa"/>
            <w:vAlign w:val="bottom"/>
          </w:tcPr>
          <w:p>
            <w:pPr>
              <w:spacing w:after="0"/>
              <w:rPr>
                <w:sz w:val="1"/>
                <w:szCs w:val="1"/>
                <w:color w:val="auto"/>
              </w:rPr>
            </w:pPr>
          </w:p>
        </w:tc>
      </w:tr>
      <w:tr>
        <w:trPr>
          <w:trHeight w:val="512"/>
        </w:trPr>
        <w:tc>
          <w:tcPr>
            <w:tcW w:w="4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540" w:type="dxa"/>
            <w:vAlign w:val="bottom"/>
          </w:tcPr>
          <w:p>
            <w:pPr>
              <w:spacing w:after="0"/>
              <w:rPr>
                <w:sz w:val="10"/>
                <w:szCs w:val="10"/>
                <w:color w:val="auto"/>
              </w:rPr>
            </w:pPr>
          </w:p>
        </w:tc>
        <w:tc>
          <w:tcPr>
            <w:tcW w:w="16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Water Utility Services</w:t>
            </w:r>
          </w:p>
        </w:tc>
        <w:tc>
          <w:tcPr>
            <w:tcW w:w="16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Other Services (1)</w:t>
            </w:r>
          </w:p>
        </w:tc>
        <w:tc>
          <w:tcPr>
            <w:tcW w:w="164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Unallocated Corporate</w:t>
            </w:r>
          </w:p>
        </w:tc>
        <w:tc>
          <w:tcPr>
            <w:tcW w:w="154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540" w:type="dxa"/>
            <w:vAlign w:val="bottom"/>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0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652,045</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18,318</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670,363</w:t>
            </w:r>
          </w:p>
        </w:tc>
        <w:tc>
          <w:tcPr>
            <w:tcW w:w="0" w:type="dxa"/>
            <w:vAlign w:val="bottom"/>
          </w:tcPr>
          <w:p>
            <w:pPr>
              <w:spacing w:after="0"/>
              <w:rPr>
                <w:sz w:val="1"/>
                <w:szCs w:val="1"/>
                <w:color w:val="auto"/>
              </w:rPr>
            </w:pPr>
          </w:p>
        </w:tc>
      </w:tr>
      <w:tr>
        <w:trPr>
          <w:trHeight w:val="270"/>
        </w:trPr>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Production expenses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251,898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256,200</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93,255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98,656</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Maintenance</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23,972</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25,729</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taxes and other non-income taxes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34,475</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104,329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105,868</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long-term debt and other interest expense</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66,144</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11,293</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(3)</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95,365</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(15,867)</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84,987</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288,627</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24,244</w:t>
            </w:r>
          </w:p>
        </w:tc>
        <w:tc>
          <w:tcPr>
            <w:tcW w:w="100" w:type="dxa"/>
            <w:vAlign w:val="bottom"/>
          </w:tcPr>
          <w:p>
            <w:pPr>
              <w:spacing w:after="0"/>
              <w:rPr>
                <w:sz w:val="20"/>
                <w:szCs w:val="20"/>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560" w:type="dxa"/>
            <w:vAlign w:val="bottom"/>
          </w:tcPr>
          <w:p>
            <w:pPr>
              <w:spacing w:after="0"/>
              <w:rPr>
                <w:sz w:val="10"/>
                <w:szCs w:val="10"/>
                <w:color w:val="auto"/>
              </w:rPr>
            </w:pPr>
          </w:p>
        </w:tc>
        <w:tc>
          <w:tcPr>
            <w:tcW w:w="16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Water Utility Services</w:t>
            </w:r>
          </w:p>
        </w:tc>
        <w:tc>
          <w:tcPr>
            <w:tcW w:w="16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Other Services (1)</w:t>
            </w:r>
          </w:p>
        </w:tc>
        <w:tc>
          <w:tcPr>
            <w:tcW w:w="164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Unallocated Corporate</w:t>
            </w:r>
          </w:p>
        </w:tc>
        <w:tc>
          <w:tcPr>
            <w:tcW w:w="154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4560" w:type="dxa"/>
            <w:vAlign w:val="bottom"/>
          </w:tcPr>
          <w:p>
            <w:pPr>
              <w:spacing w:after="0"/>
              <w:rPr>
                <w:sz w:val="17"/>
                <w:szCs w:val="17"/>
                <w:color w:val="auto"/>
              </w:rPr>
            </w:pPr>
          </w:p>
        </w:tc>
        <w:tc>
          <w:tcPr>
            <w:tcW w:w="1640" w:type="dxa"/>
            <w:vAlign w:val="bottom"/>
            <w:gridSpan w:val="3"/>
            <w:vMerge w:val="continue"/>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154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603,000</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17,698</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620,698</w:t>
            </w: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Production expenses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228,806</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232,790</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90,874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95,404</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Maintenance</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29,063</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30,734</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taxes and other non-income taxes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32,572</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99,412</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104,417</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long-term debt and other interest expense</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37,958</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58,062</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sale of nonutility property</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(6,197)</w:t>
            </w:r>
          </w:p>
        </w:tc>
        <w:tc>
          <w:tcPr>
            <w:tcW w:w="12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(6,197)</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12,756</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8,496</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(3)</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(9,408)</w:t>
            </w:r>
          </w:p>
        </w:tc>
        <w:tc>
          <w:tcPr>
            <w:tcW w:w="0" w:type="dxa"/>
            <w:vAlign w:val="bottom"/>
          </w:tcPr>
          <w:p>
            <w:pPr>
              <w:spacing w:after="0"/>
              <w:rPr>
                <w:sz w:val="1"/>
                <w:szCs w:val="1"/>
                <w:color w:val="auto"/>
              </w:rPr>
            </w:pPr>
          </w:p>
        </w:tc>
      </w:tr>
      <w:tr>
        <w:trPr>
          <w:trHeight w:val="248"/>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85,668</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73,828</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241,719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242,350</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1" w:lineRule="exact"/>
        <w:rPr>
          <w:sz w:val="20"/>
          <w:szCs w:val="20"/>
          <w:color w:val="auto"/>
        </w:rPr>
      </w:pPr>
    </w:p>
    <w:p>
      <w:pPr>
        <w:ind w:left="660" w:right="40" w:hanging="652"/>
        <w:spacing w:after="0" w:line="259" w:lineRule="auto"/>
        <w:tabs>
          <w:tab w:leader="none" w:pos="321"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Services” category includes the accounts of SJW Land Co, Chester Reality, Inc., SJWC’s Cupertino service concession arrangement operations, TWOS, TWR, and NEWUS, on a stand-alone basis.</w:t>
      </w:r>
    </w:p>
    <w:p>
      <w:pPr>
        <w:ind w:left="320" w:hanging="312"/>
        <w:spacing w:after="0"/>
        <w:tabs>
          <w:tab w:leader="none" w:pos="3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“Unallocated Corporate” category includes the accounts of SJW Group, SJWNE LLC, SJWTX Holdings, Inc., CTWS, NWU on a stand-alone basis.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comprised of pension non-service credit (cost) and items of miscellaneous non-operating income (expense).</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SJW Group’s assets for the Water Utility Services reportable segment and all other are as follows as of December 31: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760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Utility Services (reportable segment)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4,567,182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4,199,610</w:t>
            </w:r>
          </w:p>
        </w:tc>
        <w:tc>
          <w:tcPr>
            <w:tcW w:w="0" w:type="dxa"/>
            <w:vAlign w:val="bottom"/>
          </w:tcPr>
          <w:p>
            <w:pPr>
              <w:spacing w:after="0"/>
              <w:rPr>
                <w:sz w:val="1"/>
                <w:szCs w:val="1"/>
                <w:color w:val="auto"/>
              </w:rPr>
            </w:pPr>
          </w:p>
        </w:tc>
      </w:tr>
      <w:tr>
        <w:trPr>
          <w:trHeight w:val="229"/>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Services</w:t>
            </w:r>
          </w:p>
        </w:tc>
        <w:tc>
          <w:tcPr>
            <w:tcW w:w="6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87,316</w:t>
            </w:r>
          </w:p>
        </w:tc>
        <w:tc>
          <w:tcPr>
            <w:tcW w:w="0" w:type="dxa"/>
            <w:vAlign w:val="bottom"/>
          </w:tcPr>
          <w:p>
            <w:pPr>
              <w:spacing w:after="0"/>
              <w:rPr>
                <w:sz w:val="1"/>
                <w:szCs w:val="1"/>
                <w:color w:val="auto"/>
              </w:rPr>
            </w:pP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66,074</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58,141</w:t>
            </w:r>
          </w:p>
        </w:tc>
        <w:tc>
          <w:tcPr>
            <w:tcW w:w="0" w:type="dxa"/>
            <w:vAlign w:val="bottom"/>
          </w:tcPr>
          <w:p>
            <w:pPr>
              <w:spacing w:after="0"/>
              <w:rPr>
                <w:sz w:val="1"/>
                <w:szCs w:val="1"/>
                <w:color w:val="auto"/>
              </w:rPr>
            </w:pPr>
          </w:p>
        </w:tc>
      </w:tr>
      <w:tr>
        <w:trPr>
          <w:trHeight w:val="223"/>
        </w:trPr>
        <w:tc>
          <w:tcPr>
            <w:tcW w:w="1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64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4,658,309</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4,345,067</w:t>
            </w:r>
          </w:p>
        </w:tc>
        <w:tc>
          <w:tcPr>
            <w:tcW w:w="0" w:type="dxa"/>
            <w:vAlign w:val="bottom"/>
          </w:tcPr>
          <w:p>
            <w:pPr>
              <w:spacing w:after="0"/>
              <w:rPr>
                <w:sz w:val="1"/>
                <w:szCs w:val="1"/>
                <w:color w:val="auto"/>
              </w:rPr>
            </w:pPr>
          </w:p>
        </w:tc>
      </w:tr>
      <w:tr>
        <w:trPr>
          <w:trHeight w:val="20"/>
        </w:trPr>
        <w:tc>
          <w:tcPr>
            <w:tcW w:w="1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14.</w:t>
            </w:r>
          </w:p>
        </w:tc>
        <w:tc>
          <w:tcPr>
            <w:tcW w:w="6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Acquisitions</w:t>
            </w: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1200" w:type="dxa"/>
            <w:vAlign w:val="bottom"/>
            <w:vMerge w:val="continue"/>
          </w:tcPr>
          <w:p>
            <w:pPr>
              <w:spacing w:after="0"/>
              <w:rPr>
                <w:sz w:val="24"/>
                <w:szCs w:val="24"/>
                <w:color w:val="auto"/>
              </w:rPr>
            </w:pPr>
          </w:p>
        </w:tc>
        <w:tc>
          <w:tcPr>
            <w:tcW w:w="64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KT Water</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January 13, 2023, TWC reached an agreement to acquire KT Water Development Ltd. (“KT Water Development”) and SJWTX Holdings, Inc. reached an agreement to acquire KT Water Resources L.P. (“KT Water Resources”). The agreement between SJWTX Holdings, Inc. and KT Water Resources, LP, was assigned to TWR prior to closing. KT Water Development was an investor-owned water utility providing water to approximately 1,725 people through over 570 service connections in the Rockwall Ranch subdivision in southern Comal County, Texas. KT Water Resources was a wholesale groundwater resource supplier to KT Water Development formed to develop wholesale water supplies for the fast-growing utilities of Comal County, Texas. The Public Utility Commission of Texas (“PUCT”) approved the proposed KT Water Development acquisition on July 24, 2023. The acquisition of KT Water Resources did not require PUCT approval. Both transactions closed on August 14, 2023. Further information regarding each of the acquisitions is set forth below.</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KT Water Development</w:t>
      </w:r>
    </w:p>
    <w:p>
      <w:pPr>
        <w:spacing w:after="0" w:line="11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purchase price of KT Water Development was $7,338, all of which was cash, and was determined in accordance with a fair market value process defined under the Texas Water Code. The transaction was accounted for as a business combination in accordance with ASC Topic 805. The transaction consideration was allocated to utility plant. The final purchase price allocation was completed during the quarter ended March 31, 2024, with no change from the preliminary purchase price allocation.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 costs were not material. The results of KT Water Development have been included in SJW Group’s consolidated statements of comprehensive income since the acquisition date and were not material. Pro forma financial information has not been presented because the acquisition was not material to SJW Group’s consolidated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KT Water Resources</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total purchase price of KT Water Resources was $39,891, consisting of a $24,491 up-front cash payment and an obligation for a post-closing production payment with an acquisition date fair value of $15,400. Considering transaction costs of $170, the total cost of the acquisition was $40,061. The KT Water Resources acquisition was accounted for as an asset acquisition in accordance with ASC Topic 805.</w:t>
      </w:r>
    </w:p>
    <w:p>
      <w:pPr>
        <w:spacing w:after="0" w:line="6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total cost was allocated as follows based on the fair values of the assets acquired: $28,386 to other intangible asset, $11,684 to nonutility property, and $9 to other current liabilities. The other intangible asset represents indefinite-lived water rights. The nonutility property consists of wells, land, easements, and construction work in progress.</w:t>
      </w:r>
    </w:p>
    <w:p>
      <w:pPr>
        <w:spacing w:after="0" w:line="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post-closing production payment represents an obligation to pay a total amount of $29,000 to the seller over a period up to 29 years. The repayment schedule is based on the quantity of groundwater produced from the acquired wells, subject to certain provisions in the purchase agreement. The fair value of the post-closing payment as of the acquisition date was determined by discounting forecasted repayments based on management’s estimates of future groundwater production. The difference between the fair value of $15,400 and the gross obligation of $29,000 was recorded as a debt discount and is being amortized as interest expense using the effective interest method over the life of the obligation. The post-closing production payment obligation is classified as long-term debt in the Consolidated Balance Sheets. In connection with a transaction in the third quarter of 2024, TWC purchased these assets from TWR for use in utility operations and assumed the post-closing payment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 SCHEDULE</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w w:val="96"/>
              </w:rPr>
              <w:t>Schedule I</w:t>
            </w:r>
          </w:p>
        </w:tc>
      </w:tr>
      <w:tr>
        <w:trPr>
          <w:trHeight w:val="270"/>
        </w:trPr>
        <w:tc>
          <w:tcPr>
            <w:tcW w:w="8040" w:type="dxa"/>
            <w:vAlign w:val="bottom"/>
          </w:tcPr>
          <w:p>
            <w:pPr>
              <w:jc w:val="center"/>
              <w:ind w:left="3090"/>
              <w:spacing w:after="0"/>
              <w:rPr>
                <w:sz w:val="20"/>
                <w:szCs w:val="20"/>
                <w:color w:val="auto"/>
              </w:rPr>
            </w:pPr>
            <w:r>
              <w:rPr>
                <w:rFonts w:ascii="Times New Roman" w:cs="Times New Roman" w:eastAsia="Times New Roman" w:hAnsi="Times New Roman"/>
                <w:sz w:val="18"/>
                <w:szCs w:val="18"/>
                <w:b w:val="1"/>
                <w:bCs w:val="1"/>
                <w:color w:val="auto"/>
                <w:w w:val="99"/>
              </w:rPr>
              <w:t>SJW Group (Parent Only)</w:t>
            </w:r>
          </w:p>
        </w:tc>
        <w:tc>
          <w:tcPr>
            <w:tcW w:w="3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8040" w:type="dxa"/>
            <w:vAlign w:val="bottom"/>
          </w:tcPr>
          <w:p>
            <w:pPr>
              <w:jc w:val="center"/>
              <w:ind w:left="3070"/>
              <w:spacing w:after="0"/>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3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8040" w:type="dxa"/>
            <w:vAlign w:val="bottom"/>
          </w:tcPr>
          <w:p>
            <w:pPr>
              <w:jc w:val="center"/>
              <w:ind w:left="30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3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01"/>
        </w:trPr>
        <w:tc>
          <w:tcPr>
            <w:tcW w:w="8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6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
        </w:trPr>
        <w:tc>
          <w:tcPr>
            <w:tcW w:w="8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80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r>
      <w:tr>
        <w:trPr>
          <w:trHeight w:val="20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in subsidiaries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1,877,922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1,753,250</w:t>
            </w:r>
          </w:p>
        </w:tc>
        <w:tc>
          <w:tcPr>
            <w:tcW w:w="20" w:type="dxa"/>
            <w:vAlign w:val="bottom"/>
          </w:tcPr>
          <w:p>
            <w:pPr>
              <w:spacing w:after="0"/>
              <w:rPr>
                <w:sz w:val="19"/>
                <w:szCs w:val="19"/>
                <w:color w:val="auto"/>
              </w:rPr>
            </w:pPr>
          </w:p>
        </w:tc>
      </w:tr>
      <w:tr>
        <w:trPr>
          <w:trHeight w:val="270"/>
        </w:trPr>
        <w:tc>
          <w:tcPr>
            <w:tcW w:w="80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0" w:type="dxa"/>
            <w:vAlign w:val="bottom"/>
          </w:tcPr>
          <w:p>
            <w:pPr>
              <w:spacing w:after="0"/>
              <w:rPr>
                <w:sz w:val="19"/>
                <w:szCs w:val="19"/>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Intercompany receivables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20" w:type="dxa"/>
            <w:vAlign w:val="bottom"/>
          </w:tcPr>
          <w:p>
            <w:pPr>
              <w:spacing w:after="0"/>
              <w:rPr>
                <w:sz w:val="19"/>
                <w:szCs w:val="19"/>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Intercompany notes receivable</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69,746</w:t>
            </w:r>
          </w:p>
        </w:tc>
        <w:tc>
          <w:tcPr>
            <w:tcW w:w="20" w:type="dxa"/>
            <w:vAlign w:val="bottom"/>
          </w:tcPr>
          <w:p>
            <w:pPr>
              <w:spacing w:after="0"/>
              <w:rPr>
                <w:sz w:val="19"/>
                <w:szCs w:val="19"/>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0" w:type="dxa"/>
            <w:vAlign w:val="bottom"/>
          </w:tcPr>
          <w:p>
            <w:pPr>
              <w:spacing w:after="0"/>
              <w:rPr>
                <w:sz w:val="19"/>
                <w:szCs w:val="19"/>
                <w:color w:val="auto"/>
              </w:rPr>
            </w:pPr>
          </w:p>
        </w:tc>
      </w:tr>
      <w:tr>
        <w:trPr>
          <w:trHeight w:val="223"/>
        </w:trPr>
        <w:tc>
          <w:tcPr>
            <w:tcW w:w="80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78,075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73,096</w:t>
            </w:r>
          </w:p>
        </w:tc>
        <w:tc>
          <w:tcPr>
            <w:tcW w:w="20" w:type="dxa"/>
            <w:vAlign w:val="bottom"/>
          </w:tcPr>
          <w:p>
            <w:pPr>
              <w:spacing w:after="0"/>
              <w:rPr>
                <w:sz w:val="19"/>
                <w:szCs w:val="19"/>
                <w:color w:val="auto"/>
              </w:rPr>
            </w:pPr>
          </w:p>
        </w:tc>
      </w:tr>
      <w:tr>
        <w:trPr>
          <w:trHeight w:val="20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 w:type="dxa"/>
            <w:vAlign w:val="bottom"/>
          </w:tcPr>
          <w:p>
            <w:pPr>
              <w:spacing w:after="0"/>
              <w:rPr>
                <w:sz w:val="19"/>
                <w:szCs w:val="19"/>
                <w:color w:val="auto"/>
              </w:rPr>
            </w:pPr>
          </w:p>
        </w:tc>
      </w:tr>
      <w:tr>
        <w:trPr>
          <w:trHeight w:val="223"/>
        </w:trPr>
        <w:tc>
          <w:tcPr>
            <w:tcW w:w="8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other assets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 w:type="dxa"/>
            <w:vAlign w:val="bottom"/>
          </w:tcPr>
          <w:p>
            <w:pPr>
              <w:spacing w:after="0"/>
              <w:rPr>
                <w:sz w:val="19"/>
                <w:szCs w:val="19"/>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1,956,219</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1,826,539</w:t>
            </w:r>
          </w:p>
        </w:tc>
        <w:tc>
          <w:tcPr>
            <w:tcW w:w="20" w:type="dxa"/>
            <w:vAlign w:val="bottom"/>
          </w:tcPr>
          <w:p>
            <w:pPr>
              <w:spacing w:after="0"/>
              <w:rPr>
                <w:sz w:val="19"/>
                <w:szCs w:val="19"/>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0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Capitalization and Liabilities</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Capitalization:</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5"/>
        </w:trPr>
        <w:tc>
          <w:tcPr>
            <w:tcW w:w="804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Common stock, $0.001 par value; authorized 70,000,000 shares in 2024 and 2023; issued and outstanding</w:t>
            </w: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33,629,169 shares in 2024 and 32,023,004 shares in 2023</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1"/>
                <w:szCs w:val="21"/>
                <w:color w:val="auto"/>
              </w:rPr>
            </w:pPr>
          </w:p>
        </w:tc>
      </w:tr>
      <w:tr>
        <w:trPr>
          <w:trHeight w:val="230"/>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827,796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736,191</w:t>
            </w:r>
          </w:p>
        </w:tc>
        <w:tc>
          <w:tcPr>
            <w:tcW w:w="20" w:type="dxa"/>
            <w:vAlign w:val="bottom"/>
          </w:tcPr>
          <w:p>
            <w:pPr>
              <w:spacing w:after="0"/>
              <w:rPr>
                <w:sz w:val="19"/>
                <w:szCs w:val="19"/>
                <w:color w:val="auto"/>
              </w:rPr>
            </w:pPr>
          </w:p>
        </w:tc>
      </w:tr>
      <w:tr>
        <w:trPr>
          <w:trHeight w:val="230"/>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537,184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495,383</w:t>
            </w:r>
          </w:p>
        </w:tc>
        <w:tc>
          <w:tcPr>
            <w:tcW w:w="20" w:type="dxa"/>
            <w:vAlign w:val="bottom"/>
          </w:tcPr>
          <w:p>
            <w:pPr>
              <w:spacing w:after="0"/>
              <w:rPr>
                <w:sz w:val="19"/>
                <w:szCs w:val="19"/>
                <w:color w:val="auto"/>
              </w:rPr>
            </w:pPr>
          </w:p>
        </w:tc>
      </w:tr>
      <w:tr>
        <w:trPr>
          <w:trHeight w:val="229"/>
        </w:trPr>
        <w:tc>
          <w:tcPr>
            <w:tcW w:w="8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20" w:type="dxa"/>
            <w:vAlign w:val="bottom"/>
          </w:tcPr>
          <w:p>
            <w:pPr>
              <w:spacing w:after="0"/>
              <w:rPr>
                <w:sz w:val="19"/>
                <w:szCs w:val="19"/>
                <w:color w:val="auto"/>
              </w:rPr>
            </w:pPr>
          </w:p>
        </w:tc>
      </w:tr>
      <w:tr>
        <w:trPr>
          <w:trHeight w:val="223"/>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1,366,974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1,233,397</w:t>
            </w:r>
          </w:p>
        </w:tc>
        <w:tc>
          <w:tcPr>
            <w:tcW w:w="20" w:type="dxa"/>
            <w:vAlign w:val="bottom"/>
          </w:tcPr>
          <w:p>
            <w:pPr>
              <w:spacing w:after="0"/>
              <w:rPr>
                <w:sz w:val="19"/>
                <w:szCs w:val="19"/>
                <w:color w:val="auto"/>
              </w:rPr>
            </w:pPr>
          </w:p>
        </w:tc>
      </w:tr>
      <w:tr>
        <w:trPr>
          <w:trHeight w:val="229"/>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557,430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557,028</w:t>
            </w:r>
          </w:p>
        </w:tc>
        <w:tc>
          <w:tcPr>
            <w:tcW w:w="20" w:type="dxa"/>
            <w:vAlign w:val="bottom"/>
          </w:tcPr>
          <w:p>
            <w:pPr>
              <w:spacing w:after="0"/>
              <w:rPr>
                <w:sz w:val="19"/>
                <w:szCs w:val="19"/>
                <w:color w:val="auto"/>
              </w:rPr>
            </w:pPr>
          </w:p>
        </w:tc>
      </w:tr>
      <w:tr>
        <w:trPr>
          <w:trHeight w:val="223"/>
        </w:trPr>
        <w:tc>
          <w:tcPr>
            <w:tcW w:w="8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capitalization</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1,924,404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1,790,425</w:t>
            </w:r>
          </w:p>
        </w:tc>
        <w:tc>
          <w:tcPr>
            <w:tcW w:w="20" w:type="dxa"/>
            <w:vAlign w:val="bottom"/>
          </w:tcPr>
          <w:p>
            <w:pPr>
              <w:spacing w:after="0"/>
              <w:rPr>
                <w:sz w:val="19"/>
                <w:szCs w:val="19"/>
                <w:color w:val="auto"/>
              </w:rPr>
            </w:pPr>
          </w:p>
        </w:tc>
      </w:tr>
      <w:tr>
        <w:trPr>
          <w:trHeight w:val="20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Line of credit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tcPr>
          <w:p>
            <w:pPr>
              <w:spacing w:after="0"/>
              <w:rPr>
                <w:sz w:val="19"/>
                <w:szCs w:val="19"/>
                <w:color w:val="auto"/>
              </w:rPr>
            </w:pP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Intercompany payables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Intercompany notes payable</w:t>
            </w:r>
          </w:p>
        </w:tc>
        <w:tc>
          <w:tcPr>
            <w:tcW w:w="38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0" w:type="dxa"/>
            <w:vAlign w:val="bottom"/>
          </w:tcPr>
          <w:p>
            <w:pPr>
              <w:spacing w:after="0"/>
              <w:rPr>
                <w:sz w:val="19"/>
                <w:szCs w:val="19"/>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interest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20" w:type="dxa"/>
            <w:vAlign w:val="bottom"/>
          </w:tcPr>
          <w:p>
            <w:pPr>
              <w:spacing w:after="0"/>
              <w:rPr>
                <w:sz w:val="19"/>
                <w:szCs w:val="19"/>
                <w:color w:val="auto"/>
              </w:rPr>
            </w:pP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payable</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16,427</w:t>
            </w:r>
          </w:p>
        </w:tc>
        <w:tc>
          <w:tcPr>
            <w:tcW w:w="20" w:type="dxa"/>
            <w:vAlign w:val="bottom"/>
          </w:tcPr>
          <w:p>
            <w:pPr>
              <w:spacing w:after="0"/>
              <w:rPr>
                <w:sz w:val="19"/>
                <w:szCs w:val="19"/>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0" w:type="dxa"/>
            <w:vAlign w:val="bottom"/>
          </w:tcPr>
          <w:p>
            <w:pPr>
              <w:spacing w:after="0"/>
              <w:rPr>
                <w:sz w:val="19"/>
                <w:szCs w:val="19"/>
                <w:color w:val="auto"/>
              </w:rPr>
            </w:pPr>
          </w:p>
        </w:tc>
      </w:tr>
      <w:tr>
        <w:trPr>
          <w:trHeight w:val="223"/>
        </w:trPr>
        <w:tc>
          <w:tcPr>
            <w:tcW w:w="80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32,037</w:t>
            </w:r>
          </w:p>
        </w:tc>
        <w:tc>
          <w:tcPr>
            <w:tcW w:w="20" w:type="dxa"/>
            <w:vAlign w:val="bottom"/>
          </w:tcPr>
          <w:p>
            <w:pPr>
              <w:spacing w:after="0"/>
              <w:rPr>
                <w:sz w:val="19"/>
                <w:szCs w:val="19"/>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20" w:type="dxa"/>
            <w:vAlign w:val="bottom"/>
          </w:tcPr>
          <w:p>
            <w:pPr>
              <w:spacing w:after="0"/>
              <w:rPr>
                <w:sz w:val="19"/>
                <w:szCs w:val="19"/>
                <w:color w:val="auto"/>
              </w:rPr>
            </w:pP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0" w:type="dxa"/>
            <w:vAlign w:val="bottom"/>
          </w:tcPr>
          <w:p>
            <w:pPr>
              <w:spacing w:after="0"/>
              <w:rPr>
                <w:sz w:val="19"/>
                <w:szCs w:val="19"/>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capitalization and liabilities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1,956,219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1,826,539</w:t>
            </w:r>
          </w:p>
        </w:tc>
        <w:tc>
          <w:tcPr>
            <w:tcW w:w="20" w:type="dxa"/>
            <w:vAlign w:val="bottom"/>
          </w:tcPr>
          <w:p>
            <w:pPr>
              <w:spacing w:after="0"/>
              <w:rPr>
                <w:sz w:val="21"/>
                <w:szCs w:val="2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Schedule I</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 SCHEDULE</w:t>
      </w:r>
    </w:p>
    <w:p>
      <w:pPr>
        <w:spacing w:after="0" w:line="63"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7"/>
          <w:szCs w:val="17"/>
          <w:b w:val="1"/>
          <w:bCs w:val="1"/>
          <w:color w:val="auto"/>
        </w:rPr>
        <w:t>Schedule I</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SJW Group (Parent Only)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INCOME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(in thousands)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54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54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r>
      <w:tr>
        <w:trPr>
          <w:trHeight w:val="230"/>
        </w:trPr>
        <w:tc>
          <w:tcPr>
            <w:tcW w:w="6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Property taxes and other non-income taxes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3"/>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expense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on long-term debt and other interest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(17,795)</w:t>
            </w:r>
          </w:p>
        </w:tc>
      </w:tr>
      <w:tr>
        <w:trPr>
          <w:trHeight w:val="22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 on intercompany notes receivable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9"/>
        </w:trPr>
        <w:tc>
          <w:tcPr>
            <w:tcW w:w="6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23"/>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before income taxes and equity earnings from subsidiaries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(20,205)</w:t>
            </w:r>
          </w:p>
        </w:tc>
      </w:tr>
      <w:tr>
        <w:trPr>
          <w:trHeight w:val="229"/>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benefit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(5,523)</w:t>
            </w:r>
          </w:p>
        </w:tc>
      </w:tr>
      <w:tr>
        <w:trPr>
          <w:trHeight w:val="23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earnings from subsidiaries, net of taxes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108,918</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95,808</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88,510</w:t>
            </w:r>
          </w:p>
        </w:tc>
      </w:tr>
      <w:tr>
        <w:trPr>
          <w:trHeight w:val="223"/>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SJW Group net income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93,967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84,987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73,828</w:t>
            </w:r>
          </w:p>
        </w:tc>
      </w:tr>
      <w:tr>
        <w:trPr>
          <w:trHeight w:val="23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r>
      <w:tr>
        <w:trPr>
          <w:trHeight w:val="223"/>
        </w:trPr>
        <w:tc>
          <w:tcPr>
            <w:tcW w:w="64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SJW Group comprehensive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94,136</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85,301</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75,468</w:t>
            </w:r>
          </w:p>
        </w:tc>
      </w:tr>
      <w:tr>
        <w:trPr>
          <w:trHeight w:val="20"/>
        </w:trPr>
        <w:tc>
          <w:tcPr>
            <w:tcW w:w="6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Schedule I</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 SCHEDULE</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SJW Group (Parent Only)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93,967</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84,987</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73,828</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used in operating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Earnings from investment in subsidiaries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(108,918)</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(95,808)</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(88,510)</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13"/>
        </w:trPr>
        <w:tc>
          <w:tcPr>
            <w:tcW w:w="6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acquired assets and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 and other current liabilities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Intercompany receivables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(3,916)</w:t>
            </w:r>
          </w:p>
        </w:tc>
        <w:tc>
          <w:tcPr>
            <w:tcW w:w="0" w:type="dxa"/>
            <w:vAlign w:val="bottom"/>
          </w:tcPr>
          <w:p>
            <w:pPr>
              <w:spacing w:after="0"/>
              <w:rPr>
                <w:sz w:val="1"/>
                <w:szCs w:val="1"/>
                <w:color w:val="auto"/>
              </w:rPr>
            </w:pPr>
          </w:p>
        </w:tc>
      </w:tr>
      <w:tr>
        <w:trPr>
          <w:trHeight w:val="213"/>
        </w:trPr>
        <w:tc>
          <w:tcPr>
            <w:tcW w:w="6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Tax payable and other accrued taxes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6,883</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interest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6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Return on capital from investments in subsidiaries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90,600</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50,550</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55,950</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changes, net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07"/>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77,743</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37,610</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45,521</w:t>
            </w:r>
          </w:p>
        </w:tc>
        <w:tc>
          <w:tcPr>
            <w:tcW w:w="0" w:type="dxa"/>
            <w:vAlign w:val="bottom"/>
          </w:tcPr>
          <w:p>
            <w:pPr>
              <w:spacing w:after="0"/>
              <w:rPr>
                <w:sz w:val="1"/>
                <w:szCs w:val="1"/>
                <w:color w:val="auto"/>
              </w:rPr>
            </w:pPr>
          </w:p>
        </w:tc>
      </w:tr>
      <w:tr>
        <w:trPr>
          <w:trHeight w:val="19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to subsidiaries for notes receivable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(173,374)</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(148,392)</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(27,713)</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Repayments from subsidiaries for notes receivable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169,001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91,740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20,634</w:t>
            </w:r>
          </w:p>
        </w:tc>
        <w:tc>
          <w:tcPr>
            <w:tcW w:w="0" w:type="dxa"/>
            <w:vAlign w:val="bottom"/>
          </w:tcPr>
          <w:p>
            <w:pPr>
              <w:spacing w:after="0"/>
              <w:rPr>
                <w:sz w:val="1"/>
                <w:szCs w:val="1"/>
                <w:color w:val="auto"/>
              </w:rPr>
            </w:pPr>
          </w:p>
        </w:tc>
      </w:tr>
      <w:tr>
        <w:trPr>
          <w:trHeight w:val="213"/>
        </w:trPr>
        <w:tc>
          <w:tcPr>
            <w:tcW w:w="6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Investments in subsidiaries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(97,000)</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(25,500)</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(25,892)</w:t>
            </w:r>
          </w:p>
        </w:tc>
        <w:tc>
          <w:tcPr>
            <w:tcW w:w="0" w:type="dxa"/>
            <w:vAlign w:val="bottom"/>
          </w:tcPr>
          <w:p>
            <w:pPr>
              <w:spacing w:after="0"/>
              <w:rPr>
                <w:sz w:val="1"/>
                <w:szCs w:val="1"/>
                <w:color w:val="auto"/>
              </w:rPr>
            </w:pPr>
          </w:p>
        </w:tc>
      </w:tr>
      <w:tr>
        <w:trPr>
          <w:trHeight w:val="212"/>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(101,373)</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(82,152)</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(32,971)</w:t>
            </w:r>
          </w:p>
        </w:tc>
        <w:tc>
          <w:tcPr>
            <w:tcW w:w="0" w:type="dxa"/>
            <w:vAlign w:val="bottom"/>
          </w:tcPr>
          <w:p>
            <w:pPr>
              <w:spacing w:after="0"/>
              <w:rPr>
                <w:sz w:val="1"/>
                <w:szCs w:val="1"/>
                <w:color w:val="auto"/>
              </w:rPr>
            </w:pPr>
          </w:p>
        </w:tc>
      </w:tr>
      <w:tr>
        <w:trPr>
          <w:trHeight w:val="194"/>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Borrowings from subsidiaries for notes payable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27,098</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15,355</w:t>
            </w:r>
          </w:p>
        </w:tc>
        <w:tc>
          <w:tcPr>
            <w:tcW w:w="0" w:type="dxa"/>
            <w:vAlign w:val="bottom"/>
          </w:tcPr>
          <w:p>
            <w:pPr>
              <w:spacing w:after="0"/>
              <w:rPr>
                <w:sz w:val="1"/>
                <w:szCs w:val="1"/>
                <w:color w:val="auto"/>
              </w:rPr>
            </w:pPr>
          </w:p>
        </w:tc>
      </w:tr>
      <w:tr>
        <w:trPr>
          <w:trHeight w:val="21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to subsidiaries for notes payable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(28,824)</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(3,140)</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(20,901)</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Borrowings from lines of credit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lines of credit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(42,000)</w:t>
            </w:r>
          </w:p>
        </w:tc>
        <w:tc>
          <w:tcPr>
            <w:tcW w:w="10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net of issuance costs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80,659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39,085</w:t>
            </w:r>
          </w:p>
        </w:tc>
        <w:tc>
          <w:tcPr>
            <w:tcW w:w="0" w:type="dxa"/>
            <w:vAlign w:val="bottom"/>
          </w:tcPr>
          <w:p>
            <w:pPr>
              <w:spacing w:after="0"/>
              <w:rPr>
                <w:sz w:val="1"/>
                <w:szCs w:val="1"/>
                <w:color w:val="auto"/>
              </w:rPr>
            </w:pPr>
          </w:p>
        </w:tc>
      </w:tr>
      <w:tr>
        <w:trPr>
          <w:trHeight w:val="21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issuance costs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paid</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(52,132)</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(47,905)</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(43,582)</w:t>
            </w:r>
          </w:p>
        </w:tc>
        <w:tc>
          <w:tcPr>
            <w:tcW w:w="0" w:type="dxa"/>
            <w:vAlign w:val="bottom"/>
          </w:tcPr>
          <w:p>
            <w:pPr>
              <w:spacing w:after="0"/>
              <w:rPr>
                <w:sz w:val="1"/>
                <w:szCs w:val="1"/>
                <w:color w:val="auto"/>
              </w:rPr>
            </w:pPr>
          </w:p>
        </w:tc>
      </w:tr>
      <w:tr>
        <w:trPr>
          <w:trHeight w:val="207"/>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(used in) by financing activities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24,068</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40,268</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(10,267)</w:t>
            </w:r>
          </w:p>
        </w:tc>
        <w:tc>
          <w:tcPr>
            <w:tcW w:w="0" w:type="dxa"/>
            <w:vAlign w:val="bottom"/>
          </w:tcPr>
          <w:p>
            <w:pPr>
              <w:spacing w:after="0"/>
              <w:rPr>
                <w:sz w:val="1"/>
                <w:szCs w:val="1"/>
                <w:color w:val="auto"/>
              </w:rPr>
            </w:pPr>
          </w:p>
        </w:tc>
      </w:tr>
      <w:tr>
        <w:trPr>
          <w:trHeight w:val="212"/>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(4,274)</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2,283</w:t>
            </w:r>
          </w:p>
        </w:tc>
        <w:tc>
          <w:tcPr>
            <w:tcW w:w="0" w:type="dxa"/>
            <w:vAlign w:val="bottom"/>
          </w:tcPr>
          <w:p>
            <w:pPr>
              <w:spacing w:after="0"/>
              <w:rPr>
                <w:sz w:val="1"/>
                <w:szCs w:val="1"/>
                <w:color w:val="auto"/>
              </w:rPr>
            </w:pPr>
          </w:p>
        </w:tc>
      </w:tr>
      <w:tr>
        <w:trPr>
          <w:trHeight w:val="214"/>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year</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5,142</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2,859</w:t>
            </w:r>
          </w:p>
        </w:tc>
        <w:tc>
          <w:tcPr>
            <w:tcW w:w="0" w:type="dxa"/>
            <w:vAlign w:val="bottom"/>
          </w:tcPr>
          <w:p>
            <w:pPr>
              <w:spacing w:after="0"/>
              <w:rPr>
                <w:sz w:val="1"/>
                <w:szCs w:val="1"/>
                <w:color w:val="auto"/>
              </w:rPr>
            </w:pPr>
          </w:p>
        </w:tc>
      </w:tr>
      <w:tr>
        <w:trPr>
          <w:trHeight w:val="233"/>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year</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5,142</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Cash paid (refunded) during the year for:</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4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17,919</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17,465</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17,512</w:t>
            </w:r>
          </w:p>
        </w:tc>
        <w:tc>
          <w:tcPr>
            <w:tcW w:w="0" w:type="dxa"/>
            <w:vAlign w:val="bottom"/>
          </w:tcPr>
          <w:p>
            <w:pPr>
              <w:spacing w:after="0"/>
              <w:rPr>
                <w:sz w:val="1"/>
                <w:szCs w:val="1"/>
                <w:color w:val="auto"/>
              </w:rPr>
            </w:pPr>
          </w:p>
        </w:tc>
      </w:tr>
      <w:tr>
        <w:trPr>
          <w:trHeight w:val="21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(4,870)</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(5,483)</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from investment in subsidiaries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5,879</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3,778</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Schedule I</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 SCHEDULE</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SJW Group (Parent Only)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xml:space="preserve">, “Lines of Credit” and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“Long-term Debt” for additional information on SJW Group’s revolving credit facility and outstanding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table of the SJW Group’s schedule of principal payments on long-term debt:</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Year</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9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9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9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9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9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310,000</w:t>
            </w:r>
          </w:p>
        </w:tc>
      </w:tr>
      <w:tr>
        <w:trPr>
          <w:trHeight w:val="234"/>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9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Dividends and Other Distributions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SJW Group is a legal entity separate and distinct from its various subsidiaries. As a holding company with no significant operations of its own, SJW Group’s principal sources of funds are dividends or other distributions from its operating subsidiaries, borrowings and the issuance of equity. The rights of SJW Group and, consequently, its creditors and shareholders, to participate in any distribution of assets of any of its subsidiaries are subject to certain prior claims of creditors of such subsidiary.</w:t>
      </w:r>
    </w:p>
    <w:p>
      <w:pPr>
        <w:spacing w:after="0" w:line="7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The abilities of certain of SJW Group’s subsidiaries to transfer funds to SJW Group in the form of cash dividends, loans or advances are subject to certain contractual and regulatory restrictions. SJW Group and its subsidiaries are subject to debt covenants that could limit their respective abilities to pay dividends. For a discussion on these covenants, see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“Long-term Debt” to SJW Group and Subsidiaries Notes to Consolidated Financial Statements. In addition, CTWS and its regulated subsidiaries are prohibited from paying dividends if not in compliance with minimum equity requirements under commitments made by SJW Group as part of the approval granted by the PURA and the Maine Public Utilities Commission in connection with the acquisition of CTWS.</w:t>
      </w:r>
    </w:p>
    <w:p>
      <w:pPr>
        <w:spacing w:after="0" w:line="7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December 31, 2024, the restricted net assets of SJW Group’s subsidiaries were approximately $494,699 or 36% of consolidated net assets of SJW Group.</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 SCHEDULE</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VALUATION AND QUALIFYING ACCOUNTS AND RESERVES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80" w:type="dxa"/>
            <w:vAlign w:val="bottom"/>
          </w:tcPr>
          <w:p>
            <w:pPr>
              <w:spacing w:after="0"/>
              <w:rPr>
                <w:sz w:val="13"/>
                <w:szCs w:val="13"/>
                <w:color w:val="auto"/>
              </w:rPr>
            </w:pPr>
          </w:p>
        </w:tc>
        <w:tc>
          <w:tcPr>
            <w:tcW w:w="11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15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c>
          <w:tcPr>
            <w:tcW w:w="15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(Credited) charged to expense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(Credited) charged to regulatory asset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written off</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Recoveries of accounts written off</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end of period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3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Reserve for litigation and claims: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638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Charged to expense</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Revision to accrual, due to settlements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Payments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end of period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Evaluation of Disclosure Control and Procedures</w:t>
      </w:r>
    </w:p>
    <w:p>
      <w:pPr>
        <w:spacing w:after="0" w:line="12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SJW Group’s management, with the participation of its Chief Executive Officer and Chief Financial Officer, evaluated the effectiveness of SJW Group’s disclosure controls and procedures (as defined in Rules 13a-15(e) and 15d-15(e) under the Securities Exchange Act of 1934, as amended, the “Exchange Act”), as of the end of the period covered by this report. Based on that evaluation, the Chief Executive Officer and Chief Financial Officer concluded that SJW Group’s disclosure controls and procedures as of the end of the period covered by this report have been designed and are functioning effectively to provide reasonable assurance that the information required to be disclosed by SJW Group in the reports that it files or submits under the Exchange Act is recorded, processed, summarized and reported, within the time periods specified in the SEC’s rules and forms, and that such information is accumulated and communicated to management, including our Chief Executive Officer and Chief Financial Officer, or persons performing similar functions, as appropriate to allow timely decisions regarding required disclosure. SJW Group believes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1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SJW Group’s management is responsible for establishing and maintaining an adequate internal control structure over financial reporting and for an assessment of the effectiveness of internal control over financial reporting, as such items are defined in Rule 13a-15(f) and 15d-15(f) under the Exchange Act.</w:t>
      </w:r>
    </w:p>
    <w:p>
      <w:pPr>
        <w:spacing w:after="0" w:line="6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Management has utilized the criteria established in “Internal Control-Integrated Framework (2013)” issued by the Committee of Sponsoring Organizations of the Treadway Commission to evaluate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SJW Group’s management has performed an assessment of the effectiveness of internal control over financial reporting as of December 31, 2024. Based on this assessment, management has concluded SJW Group’s internal control over financial reporting as of December 31, 2024 was effective.</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Our independent registered public accounting firm, DELOITTE &amp; TOUCHE LLP (PCAOB ID No. 34), has issued an auditors’ report on the effectiveness of our internal control over financial reporting, which is included in </w:t>
      </w:r>
      <w:r>
        <w:rPr>
          <w:rFonts w:ascii="Times New Roman" w:cs="Times New Roman" w:eastAsia="Times New Roman" w:hAnsi="Times New Roman"/>
          <w:sz w:val="18"/>
          <w:szCs w:val="18"/>
          <w:u w:val="single" w:color="auto"/>
          <w:color w:val="0000FF"/>
        </w:rPr>
        <w:t>Item 8</w:t>
      </w:r>
      <w:r>
        <w:rPr>
          <w:rFonts w:ascii="Times New Roman" w:cs="Times New Roman" w:eastAsia="Times New Roman" w:hAnsi="Times New Roman"/>
          <w:sz w:val="18"/>
          <w:szCs w:val="18"/>
          <w:color w:val="auto"/>
        </w:rPr>
        <w:t xml:space="preserve"> of this report.</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Changes in Internal Controls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has been no change in internal control over financial reporting during the fourth fiscal quarter of 2024 that has materially affected, or is reasonably likely to materially affect, the internal controls over financial reporting of SJW Group.</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121" w:lineRule="exact"/>
        <w:rPr>
          <w:sz w:val="20"/>
          <w:szCs w:val="20"/>
          <w:color w:val="auto"/>
        </w:rPr>
      </w:pPr>
    </w:p>
    <w:p>
      <w:pPr>
        <w:ind w:right="1240"/>
        <w:spacing w:after="0" w:line="312" w:lineRule="auto"/>
        <w:rPr>
          <w:sz w:val="20"/>
          <w:szCs w:val="20"/>
          <w:color w:val="auto"/>
        </w:rPr>
      </w:pPr>
      <w:r>
        <w:rPr>
          <w:rFonts w:ascii="Times New Roman" w:cs="Times New Roman" w:eastAsia="Times New Roman" w:hAnsi="Times New Roman"/>
          <w:sz w:val="17"/>
          <w:szCs w:val="17"/>
          <w:color w:val="auto"/>
        </w:rPr>
        <w:t xml:space="preserve">SJW Group intends to post information about the operating and financial performance of SJW Group and its subsidiaries on its website </w:t>
      </w:r>
      <w:r>
        <w:rPr>
          <w:rFonts w:ascii="Times New Roman" w:cs="Times New Roman" w:eastAsia="Times New Roman" w:hAnsi="Times New Roman"/>
          <w:sz w:val="17"/>
          <w:szCs w:val="17"/>
          <w:i w:val="1"/>
          <w:iCs w:val="1"/>
          <w:color w:val="auto"/>
        </w:rPr>
        <w:t xml:space="preserve">http://www.sjwgroup.com </w:t>
      </w:r>
      <w:r>
        <w:rPr>
          <w:rFonts w:ascii="Times New Roman" w:cs="Times New Roman" w:eastAsia="Times New Roman" w:hAnsi="Times New Roman"/>
          <w:sz w:val="17"/>
          <w:szCs w:val="17"/>
          <w:color w:val="auto"/>
        </w:rPr>
        <w:t>from time to time. The content of SJW Group’s website is not incorporated by reference to or part of this report.</w:t>
      </w:r>
    </w:p>
    <w:p>
      <w:pPr>
        <w:spacing w:after="0" w:line="32" w:lineRule="exact"/>
        <w:rPr>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information that was required to be disclosed in a report on Form 8-K during the fourth quarter of 2024 but was not reported.</w:t>
      </w:r>
    </w:p>
    <w:p>
      <w:pPr>
        <w:spacing w:after="0" w:line="117" w:lineRule="exact"/>
        <w:rPr>
          <w:rFonts w:ascii="Times New Roman" w:cs="Times New Roman" w:eastAsia="Times New Roman" w:hAnsi="Times New Roman"/>
          <w:sz w:val="18"/>
          <w:szCs w:val="18"/>
          <w:color w:val="auto"/>
        </w:rPr>
      </w:pPr>
    </w:p>
    <w:p>
      <w:pPr>
        <w:ind w:left="340" w:right="22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quarter ended December 31, 2024, none of our directors or officers (as defined in Rule 16a-1(f) of the Exchange Act) adopted or terminated a plan for the purchase or sale of our securities intended to satisfy the affirmative defense conditions of Rule 10b5-1(c) or a non-Rule 10b5-1 trading arrangement for the purchase or sale of our securities, within the meaning of Item 408 of Regulation S-K.</w:t>
      </w:r>
    </w:p>
    <w:p>
      <w:pPr>
        <w:spacing w:after="0" w:line="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Discretionary Awards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25, 2025, the Executive Compensation Committee of SJW Group (the “Company”) approved discretionary cash awards to: (i) Andrew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Walters, the Company’s Chief Financial Officer, in the amount of $128,700; (ii) Bruce Hauk, the Company’s Chief Operating Officer, in the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$117,000; (iii) Kristen Johnson, the Company’s Senior Vice President and Chief Administrative Officer, in the amount of $91,800; and (iv) Willie Brown,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Vice President and General Counsel, in the amount of $80,100. Discretionary awards of up to 50% of short-term incentive targets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exceptional performance may be awarded under the Company’s Executive Compensation Policies, and each of the preceding officers was a named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officer in the Company’s 2024 proxy statement.</w:t>
      </w:r>
    </w:p>
    <w:p>
      <w:pPr>
        <w:spacing w:after="0" w:line="13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Leadership Transition and Executive Promotions</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On February 26, 2025, SJW Group’s Board of Directors (the “Board”) appointed Andrew F. Walters, who currently serves as Chief Financial Officer and Treasurer of SJW Group as the company’s next Chief Executive Officer, effective July 1, 2025. Eric W. Thornburg will retire as Chief Executive Officer and President of SJW Group effective July 1, 2025. He will remain on the Board as non-executive Chair of the Board.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on February 26, 2025, the Board made the following other executive appointments:</w:t>
      </w:r>
    </w:p>
    <w:p>
      <w:pPr>
        <w:spacing w:after="0" w:line="117"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Bruce Hauk, Chief Operating Officer of SJW Group, will also serve as President of SJW Group.</w:t>
      </w:r>
    </w:p>
    <w:p>
      <w:pPr>
        <w:spacing w:after="0" w:line="11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Kristen Johnson, Senior Vice President and Chief Administrative Officer of SJW Group, will also step into the role of President of the Shared Services organization.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promotions of Hauk and Johnson are also effective July 1, 2025.</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i w:val="1"/>
          <w:iCs w:val="1"/>
          <w:color w:val="auto"/>
        </w:rPr>
        <w:t>Disclosure Regarding Foreign Jurisdictions that Prevent Inspection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contained in part under the caption “Executive Officers of the Registrant” in Part I, Item 1, of this report, and in SJW Group’s Proxy Statement for its 2025 Annual Meeting of Stockholders (the “2025 Proxy Statement”) under the captions “PROPOSAL 1 ELECTION OF DIRECTORS,”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Policy</w:t>
      </w:r>
    </w:p>
    <w:p>
      <w:pPr>
        <w:spacing w:after="0" w:line="1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have adopted the Insider Trading Policy of SJW Group and its subsidiaries, which governs, among other things, the purchase, sale and/or other disposition of our securities by our directors, officers and employees, as well as by the Company itself, that we believe is reasonably designed to promote compliance with insider trading laws, rules and regulations, and Nasdaq Global Market listing standards. A copy of the Insider Trading Policy is filed as Exhibit 19.1 to this Annual Report on Form 10-K.</w:t>
      </w:r>
    </w:p>
    <w:p>
      <w:pPr>
        <w:spacing w:after="0" w:line="20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i w:val="1"/>
          <w:iCs w:val="1"/>
          <w:color w:val="auto"/>
        </w:rPr>
        <w:t>Executive Compensation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contained in the 2025 Proxy Statement under the captions “Compensation of Directors,” “EXECUTIVE COMPENSATION AND RELATED INFORMATION,” “Compensation Committee Interlocks and Insider Participation,” and “COMMITTEE REPORTS” and is incorporated herein by reference.</w:t>
      </w:r>
    </w:p>
    <w:p>
      <w:pPr>
        <w:spacing w:after="0" w:line="19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2025 Proxy Statement under the captions “Security Ownership of Certain Beneficial Owners and Management” and “Securities Authorized for Issuance under Equity Compensation Plans” and is incorporated herein by reference.</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2025 Proxy Statement under the caption “CERTAIN RELATIONSHIPS AND RELATED TRANSACTIONS” and “Director Independence” and is incorporated herein by reference.</w:t>
      </w:r>
    </w:p>
    <w:p>
      <w:pPr>
        <w:spacing w:after="0" w:line="29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Accountant Fees and Services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2025 Proxy Statement under the caption “Principal Independent Accountants’ Fees and Services”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8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(a)(1)</w:t>
            </w:r>
          </w:p>
        </w:tc>
        <w:tc>
          <w:tcPr>
            <w:tcW w:w="9840" w:type="dxa"/>
            <w:vAlign w:val="bottom"/>
            <w:gridSpan w:val="9"/>
            <w:vMerge w:val="restart"/>
          </w:tcPr>
          <w:p>
            <w:pPr>
              <w:ind w:left="100"/>
              <w:spacing w:after="0"/>
              <w:rPr>
                <w:sz w:val="20"/>
                <w:szCs w:val="20"/>
                <w:color w:val="auto"/>
              </w:rPr>
            </w:pPr>
            <w:r>
              <w:rPr>
                <w:rFonts w:ascii="Times New Roman" w:cs="Times New Roman" w:eastAsia="Times New Roman" w:hAnsi="Times New Roman"/>
                <w:sz w:val="18"/>
                <w:szCs w:val="18"/>
                <w:color w:val="auto"/>
              </w:rPr>
              <w:t>Financial Statements</w:t>
            </w: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00" w:type="dxa"/>
            <w:vAlign w:val="bottom"/>
            <w:gridSpan w:val="2"/>
            <w:vMerge w:val="continue"/>
          </w:tcPr>
          <w:p>
            <w:pPr>
              <w:spacing w:after="0"/>
              <w:rPr>
                <w:sz w:val="18"/>
                <w:szCs w:val="18"/>
                <w:color w:val="auto"/>
              </w:rPr>
            </w:pPr>
          </w:p>
        </w:tc>
        <w:tc>
          <w:tcPr>
            <w:tcW w:w="9840" w:type="dxa"/>
            <w:vAlign w:val="bottom"/>
            <w:gridSpan w:val="9"/>
            <w:vMerge w:val="continue"/>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02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4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2024 and 2023</w:t>
            </w:r>
          </w:p>
        </w:tc>
        <w:tc>
          <w:tcPr>
            <w:tcW w:w="5560" w:type="dxa"/>
            <w:vAlign w:val="bottom"/>
            <w:gridSpan w:val="6"/>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102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2024, 2023 and 2022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102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 for the Years ended December 31, 2024, 2023 and 2022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69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2024, 2023 and 2022</w:t>
            </w:r>
          </w:p>
        </w:tc>
        <w:tc>
          <w:tcPr>
            <w:tcW w:w="1520" w:type="dxa"/>
            <w:vAlign w:val="bottom"/>
            <w:tcBorders>
              <w:top w:val="single" w:sz="8" w:color="0000FF"/>
            </w:tcBorders>
            <w:gridSpan w:val="4"/>
          </w:tcPr>
          <w:p>
            <w:pPr>
              <w:spacing w:after="0"/>
              <w:rPr>
                <w:sz w:val="22"/>
                <w:szCs w:val="22"/>
                <w:color w:val="auto"/>
              </w:rPr>
            </w:pPr>
          </w:p>
        </w:tc>
        <w:tc>
          <w:tcPr>
            <w:tcW w:w="1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3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060" w:type="dxa"/>
            <w:vAlign w:val="bottom"/>
            <w:gridSpan w:val="8"/>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(a)(2)</w:t>
            </w:r>
          </w:p>
        </w:tc>
        <w:tc>
          <w:tcPr>
            <w:tcW w:w="984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Financial Statement Schedule</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81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Condensed Financial Information for SJW Group (Parent Only), Years ended December 31, 2024, 2023 and 2022</w:t>
            </w:r>
          </w:p>
        </w:tc>
        <w:tc>
          <w:tcPr>
            <w:tcW w:w="2040" w:type="dxa"/>
            <w:vAlign w:val="bottom"/>
            <w:gridSpan w:val="2"/>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71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Valuation and Qualifying Accounts and Reserves, Years ended December 31, 2024, 2023 and 2022</w:t>
            </w:r>
          </w:p>
        </w:tc>
        <w:tc>
          <w:tcPr>
            <w:tcW w:w="3080" w:type="dxa"/>
            <w:vAlign w:val="bottom"/>
            <w:gridSpan w:val="4"/>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other schedules are omitted as the required information is inapplicable or the information is presented in the consolidated financial statements or related notes.</w:t>
      </w:r>
    </w:p>
    <w:p>
      <w:pPr>
        <w:spacing w:after="0" w:line="5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(a)(3)</w:t>
      </w:r>
      <w:r>
        <w:rPr>
          <w:sz w:val="20"/>
          <w:szCs w:val="20"/>
          <w:color w:val="auto"/>
        </w:rPr>
        <w:tab/>
      </w:r>
      <w:r>
        <w:rPr>
          <w:rFonts w:ascii="Times New Roman" w:cs="Times New Roman" w:eastAsia="Times New Roman" w:hAnsi="Times New Roman"/>
          <w:sz w:val="17"/>
          <w:szCs w:val="17"/>
          <w:color w:val="auto"/>
        </w:rPr>
        <w:t>Exhibits required to be filed by Item 601 of Regulation 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Index located immediately following this Item 15.</w:t>
      </w:r>
    </w:p>
    <w:p>
      <w:pPr>
        <w:spacing w:after="0" w:line="11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exhibits filed herewith are attached hereto (except as noted) and those indicated on the Exhibit Index, which are not filed herewith, were previously filed with the Securities and Exchange Commission as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911"/>
        </w:trPr>
        <w:tc>
          <w:tcPr>
            <w:tcW w:w="1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500" w:type="dxa"/>
            <w:vAlign w:val="bottom"/>
            <w:gridSpan w:val="25"/>
          </w:tcPr>
          <w:p>
            <w:pPr>
              <w:ind w:left="1220"/>
              <w:spacing w:after="0"/>
              <w:rPr>
                <w:sz w:val="20"/>
                <w:szCs w:val="20"/>
                <w:color w:val="auto"/>
              </w:rPr>
            </w:pPr>
            <w:r>
              <w:rPr>
                <w:rFonts w:ascii="Times New Roman" w:cs="Times New Roman" w:eastAsia="Times New Roman" w:hAnsi="Times New Roman"/>
                <w:sz w:val="18"/>
                <w:szCs w:val="18"/>
                <w:color w:val="auto"/>
              </w:rPr>
              <w:t>EXHIBIT INDEX</w:t>
            </w:r>
          </w:p>
        </w:tc>
      </w:tr>
      <w:tr>
        <w:trPr>
          <w:trHeight w:val="918"/>
        </w:trPr>
        <w:tc>
          <w:tcPr>
            <w:tcW w:w="15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60" w:type="dxa"/>
            <w:vAlign w:val="bottom"/>
            <w:gridSpan w:val="23"/>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18"/>
        </w:trPr>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720" w:type="dxa"/>
            <w:vAlign w:val="bottom"/>
            <w:tcBorders>
              <w:top w:val="single" w:sz="8" w:color="auto"/>
            </w:tcBorders>
            <w:gridSpan w:val="28"/>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Restated Certificate of Incorporation of SJW Group, dated June 20, 2024. Incorporated by reference to Exhibit 3.2 to Form 8-K filed</w:t>
              </w:r>
            </w:hyperlink>
          </w:p>
        </w:tc>
      </w:tr>
      <w:tr>
        <w:trPr>
          <w:trHeight w:val="155"/>
        </w:trPr>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on June 21, 2024</w:t>
              </w:r>
              <w:r>
                <w:rPr>
                  <w:rFonts w:ascii="Times New Roman" w:cs="Times New Roman" w:eastAsia="Times New Roman" w:hAnsi="Times New Roman"/>
                  <w:sz w:val="18"/>
                  <w:szCs w:val="18"/>
                  <w:color w:val="000000"/>
                </w:rPr>
                <w:t>.</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8"/>
          </w:tcPr>
          <w:p>
            <w:pPr>
              <w:spacing w:after="0"/>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Amended and Restated Bylaws of SJW Group, effective as of December 11, 2023. Incorporated by reference to Exhibit 3.1 to Form 8-</w:t>
              </w:r>
            </w:hyperlink>
          </w:p>
        </w:tc>
      </w:tr>
      <w:tr>
        <w:trPr>
          <w:trHeight w:val="156"/>
        </w:trPr>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K filed on December 15, 2023.</w:t>
              </w:r>
            </w:hyperlink>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Instruments Defining the Rights of Security Holders, including Indentures: SJW Group hereby agrees to furnish upon request to the</w:t>
            </w:r>
          </w:p>
        </w:tc>
      </w:tr>
      <w:tr>
        <w:trPr>
          <w:trHeight w:val="234"/>
        </w:trPr>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20" w:type="dxa"/>
            <w:vAlign w:val="bottom"/>
            <w:gridSpan w:val="28"/>
          </w:tcPr>
          <w:p>
            <w:pPr>
              <w:spacing w:after="0"/>
              <w:rPr>
                <w:sz w:val="20"/>
                <w:szCs w:val="20"/>
                <w:color w:val="auto"/>
              </w:rPr>
            </w:pPr>
            <w:r>
              <w:rPr>
                <w:rFonts w:ascii="Times New Roman" w:cs="Times New Roman" w:eastAsia="Times New Roman" w:hAnsi="Times New Roman"/>
                <w:sz w:val="18"/>
                <w:szCs w:val="18"/>
                <w:color w:val="auto"/>
                <w:w w:val="99"/>
              </w:rPr>
              <w:t>Commission a copy of each such instrument defining the rights of holders of unregistered senior and subordinated debt of SJW Group.</w:t>
            </w:r>
          </w:p>
        </w:tc>
      </w:tr>
      <w:tr>
        <w:trPr>
          <w:trHeight w:val="346"/>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8"/>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Form of Common Stock Certificate of SJW Group. Incorporated by reference to Exhibit 4.1 to Form 8-K filed on November 15, 2016</w:t>
              </w:r>
            </w:hyperlink>
            <w:r>
              <w:rPr>
                <w:rFonts w:ascii="Times New Roman" w:cs="Times New Roman" w:eastAsia="Times New Roman" w:hAnsi="Times New Roman"/>
                <w:sz w:val="18"/>
                <w:szCs w:val="18"/>
                <w:color w:val="000000"/>
              </w:rPr>
              <w:t>.</w:t>
            </w:r>
          </w:p>
        </w:tc>
      </w:tr>
      <w:tr>
        <w:trPr>
          <w:trHeight w:val="35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60" w:type="dxa"/>
            <w:vAlign w:val="bottom"/>
            <w:tcBorders>
              <w:top w:val="single" w:sz="8" w:color="0000FF"/>
            </w:tcBorders>
            <w:gridSpan w:val="25"/>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Indenture dated as of June 1, 2010 between San Jose Water Company and Wells Fargo Bank, National Association. Incorporated by</w:t>
              </w:r>
            </w:hyperlink>
          </w:p>
        </w:tc>
        <w:tc>
          <w:tcPr>
            <w:tcW w:w="60" w:type="dxa"/>
            <w:vAlign w:val="bottom"/>
            <w:gridSpan w:val="3"/>
          </w:tcPr>
          <w:p>
            <w:pPr>
              <w:spacing w:after="0"/>
              <w:rPr>
                <w:sz w:val="24"/>
                <w:szCs w:val="24"/>
                <w:color w:val="auto"/>
              </w:rPr>
            </w:pPr>
          </w:p>
        </w:tc>
      </w:tr>
      <w:tr>
        <w:trPr>
          <w:trHeight w:val="156"/>
        </w:trPr>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reference to Exhibit 4.1 to Form 10-Q for the quarter ended June 30, 2010</w:t>
              </w:r>
              <w:r>
                <w:rPr>
                  <w:rFonts w:ascii="Times New Roman" w:cs="Times New Roman" w:eastAsia="Times New Roman" w:hAnsi="Times New Roman"/>
                  <w:sz w:val="18"/>
                  <w:szCs w:val="18"/>
                  <w:color w:val="000000"/>
                </w:rPr>
                <w:t>.</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Indenture dated as of December 1, 2016, by and between California Pollution Control Financing Authority and The Bank of New</w:t>
            </w:r>
          </w:p>
        </w:tc>
      </w:tr>
      <w:tr>
        <w:trPr>
          <w:trHeight w:val="184"/>
        </w:trPr>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20" w:type="dxa"/>
            <w:vAlign w:val="bottom"/>
            <w:gridSpan w:val="28"/>
          </w:tcPr>
          <w:p>
            <w:pPr>
              <w:spacing w:after="0" w:line="184" w:lineRule="exact"/>
              <w:rPr>
                <w:sz w:val="20"/>
                <w:szCs w:val="20"/>
                <w:color w:val="auto"/>
              </w:rPr>
            </w:pPr>
            <w:r>
              <w:rPr>
                <w:rFonts w:ascii="Times New Roman" w:cs="Times New Roman" w:eastAsia="Times New Roman" w:hAnsi="Times New Roman"/>
                <w:sz w:val="18"/>
                <w:szCs w:val="18"/>
                <w:color w:val="auto"/>
              </w:rPr>
              <w:t>York Mellon Trust Company, N.A. relating to the Bond. SJW Group agrees to furnish to the Commission upon request a copy of such</w:t>
            </w:r>
          </w:p>
        </w:tc>
      </w:tr>
      <w:tr>
        <w:trPr>
          <w:trHeight w:val="234"/>
        </w:trPr>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agreement which it has elected not to file under the provisions of Regulation S-K 601(b)(4)(iii).</w:t>
            </w:r>
          </w:p>
        </w:tc>
      </w:tr>
      <w:tr>
        <w:trPr>
          <w:trHeight w:val="33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Description of SJW Group’s capital stock registered under section 12 of the Securities Exchange Act of 1934</w:t>
            </w:r>
            <w:r>
              <w:rPr>
                <w:rFonts w:ascii="Times New Roman" w:cs="Times New Roman" w:eastAsia="Times New Roman" w:hAnsi="Times New Roman"/>
                <w:sz w:val="18"/>
                <w:szCs w:val="18"/>
                <w:color w:val="000000"/>
              </w:rPr>
              <w:t>. (1)</w:t>
            </w:r>
          </w:p>
        </w:tc>
      </w:tr>
      <w:tr>
        <w:trPr>
          <w:trHeight w:val="20"/>
        </w:trPr>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8"/>
          </w:tcPr>
          <w:p>
            <w:pPr>
              <w:spacing w:after="0"/>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Water Supply Contract dated January 27, 1981, between San Jose Water Works and the Santa Clara Valley Water District, as amended.</w:t>
              </w:r>
            </w:hyperlink>
          </w:p>
        </w:tc>
      </w:tr>
      <w:tr>
        <w:trPr>
          <w:trHeight w:val="156"/>
        </w:trPr>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Incorporated by reference to Exhibit 10.1 to Form 10-K for the year ended December 31, 2001</w:t>
              </w:r>
              <w:r>
                <w:rPr>
                  <w:rFonts w:ascii="Times New Roman" w:cs="Times New Roman" w:eastAsia="Times New Roman" w:hAnsi="Times New Roman"/>
                  <w:sz w:val="18"/>
                  <w:szCs w:val="18"/>
                  <w:color w:val="000000"/>
                </w:rPr>
                <w:t>.</w:t>
              </w:r>
            </w:hyperlink>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71"/>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8"/>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Grantor Trust Agreement by and between San Jose Water Company and Wells Fargo Bank, National Association dated November 2,</w:t>
              </w:r>
            </w:hyperlink>
          </w:p>
        </w:tc>
      </w:tr>
      <w:tr>
        <w:trPr>
          <w:trHeight w:val="155"/>
        </w:trPr>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2012. Incorporated by reference as Exhibit 10.4 to Form 10-K for the year ended December 31, 2012</w:t>
              </w:r>
              <w:r>
                <w:rPr>
                  <w:rFonts w:ascii="Times New Roman" w:cs="Times New Roman" w:eastAsia="Times New Roman" w:hAnsi="Times New Roman"/>
                  <w:sz w:val="18"/>
                  <w:szCs w:val="18"/>
                  <w:color w:val="000000"/>
                </w:rPr>
                <w:t>.</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72"/>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8"/>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Credit Agreement among SJW Group, San Jose Water Company, SJWTX, Inc., Connecticut Water Service, Inc., JPMorgan Chase</w:t>
              </w:r>
            </w:hyperlink>
          </w:p>
        </w:tc>
      </w:tr>
      <w:tr>
        <w:trPr>
          <w:trHeight w:val="155"/>
        </w:trPr>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8"/>
              </w:rPr>
            </w:pPr>
            <w:hyperlink r:id="rId122">
              <w:r>
                <w:rPr>
                  <w:rFonts w:ascii="Times New Roman" w:cs="Times New Roman" w:eastAsia="Times New Roman" w:hAnsi="Times New Roman"/>
                  <w:sz w:val="18"/>
                  <w:szCs w:val="18"/>
                  <w:color w:val="0000FF"/>
                  <w:w w:val="98"/>
                </w:rPr>
                <w:t>Bank, N.A., and Wells Fargo Bank, National Association, dated August 2, 2022. Incorporated by reference to Exhibit 10.1 to Form</w:t>
              </w:r>
            </w:hyperlink>
          </w:p>
        </w:tc>
        <w:tc>
          <w:tcPr>
            <w:tcW w:w="260" w:type="dxa"/>
            <w:vAlign w:val="bottom"/>
            <w:tcBorders>
              <w:bottom w:val="single" w:sz="8" w:color="0000FF"/>
            </w:tcBorders>
            <w:gridSpan w:val="6"/>
          </w:tcPr>
          <w:p>
            <w:pPr>
              <w:jc w:val="right"/>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8-</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r:id="rId122">
              <w:r>
                <w:rPr>
                  <w:rFonts w:ascii="Times New Roman" w:cs="Times New Roman" w:eastAsia="Times New Roman" w:hAnsi="Times New Roman"/>
                  <w:sz w:val="18"/>
                  <w:szCs w:val="18"/>
                  <w:color w:val="0000FF"/>
                  <w:w w:val="98"/>
                </w:rPr>
                <w:t>K filed on August 5, 2022.</w:t>
              </w:r>
            </w:hyperlink>
          </w:p>
        </w:tc>
        <w:tc>
          <w:tcPr>
            <w:tcW w:w="7700" w:type="dxa"/>
            <w:vAlign w:val="bottom"/>
            <w:gridSpan w:val="21"/>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35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8"/>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Loan Agreement dated as of June 1, 2010 between the California Pollution Control Financing Authority and San Jose Water</w:t>
              </w:r>
            </w:hyperlink>
          </w:p>
        </w:tc>
      </w:tr>
      <w:tr>
        <w:trPr>
          <w:trHeight w:val="155"/>
        </w:trPr>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2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Company. Incorporated by reference to Exhibit 10.3 to Form 10-Q for the quarter ended June 30, 2010</w:t>
              </w:r>
              <w:r>
                <w:rPr>
                  <w:rFonts w:ascii="Times New Roman" w:cs="Times New Roman" w:eastAsia="Times New Roman" w:hAnsi="Times New Roman"/>
                  <w:sz w:val="18"/>
                  <w:szCs w:val="18"/>
                  <w:color w:val="000000"/>
                </w:rPr>
                <w:t>.</w:t>
              </w:r>
            </w:hyperlink>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14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8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71"/>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8"/>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Loan Agreement dated as of December 1, 2016 between the California Pollution Control Financing Authority and San Jose Water</w:t>
              </w:r>
            </w:hyperlink>
          </w:p>
        </w:tc>
      </w:tr>
      <w:tr>
        <w:trPr>
          <w:trHeight w:val="155"/>
        </w:trPr>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Company. Incorporated by reference to Exhibit 10.7 to Form 10-K for the year ended December 31, 2016</w:t>
              </w:r>
              <w:r>
                <w:rPr>
                  <w:rFonts w:ascii="Times New Roman" w:cs="Times New Roman" w:eastAsia="Times New Roman" w:hAnsi="Times New Roman"/>
                  <w:sz w:val="18"/>
                  <w:szCs w:val="18"/>
                  <w:color w:val="000000"/>
                </w:rPr>
                <w:t>.</w:t>
              </w:r>
            </w:hyperlink>
          </w:p>
        </w:tc>
        <w:tc>
          <w:tcPr>
            <w:tcW w:w="8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14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8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72"/>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Bond Purchase Contract dated June 9, 2010 among Goldman, Sachs &amp; Co., the Honorable Bill Lockyer, Treasurer of the State of</w:t>
              </w:r>
            </w:hyperlink>
          </w:p>
        </w:tc>
        <w:tc>
          <w:tcPr>
            <w:tcW w:w="440" w:type="dxa"/>
            <w:vAlign w:val="bottom"/>
            <w:gridSpan w:val="13"/>
          </w:tcPr>
          <w:p>
            <w:pPr>
              <w:spacing w:after="0"/>
              <w:rPr>
                <w:sz w:val="24"/>
                <w:szCs w:val="24"/>
                <w:color w:val="auto"/>
              </w:rPr>
            </w:pPr>
          </w:p>
        </w:tc>
      </w:tr>
      <w:tr>
        <w:trPr>
          <w:trHeight w:val="155"/>
        </w:trPr>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gridSpan w:val="28"/>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California, the California Pollution Control Financing Authority and San Jose Water Company. Incorporated by reference to Exhibit</w:t>
              </w:r>
            </w:hyperlink>
          </w:p>
        </w:tc>
      </w:tr>
      <w:tr>
        <w:trPr>
          <w:trHeight w:val="169"/>
        </w:trPr>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0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0000FF"/>
                </w:rPr>
                <w:t xml:space="preserve"> to Form 10-Q for the quarter ended June 30, 2010.</w:t>
              </w:r>
            </w:hyperlink>
          </w:p>
        </w:tc>
        <w:tc>
          <w:tcPr>
            <w:tcW w:w="14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8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5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8"/>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Bond Purchase Contract dated December 15, 2016 among Morgan Stanley &amp; Co. LLC, RBC Capital Markets, LLC, the Honorable</w:t>
              </w:r>
            </w:hyperlink>
          </w:p>
        </w:tc>
      </w:tr>
      <w:tr>
        <w:trPr>
          <w:trHeight w:val="20"/>
        </w:trPr>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gridSpan w:val="5"/>
            <w:shd w:val="clear" w:color="auto" w:fill="0000FF"/>
          </w:tcPr>
          <w:p>
            <w:pPr>
              <w:spacing w:after="0" w:line="20" w:lineRule="exact"/>
              <w:rPr>
                <w:sz w:val="1"/>
                <w:szCs w:val="1"/>
                <w:color w:val="auto"/>
              </w:rPr>
            </w:pPr>
          </w:p>
        </w:tc>
        <w:tc>
          <w:tcPr>
            <w:tcW w:w="2600" w:type="dxa"/>
            <w:vAlign w:val="bottom"/>
            <w:gridSpan w:val="3"/>
            <w:shd w:val="clear" w:color="auto" w:fill="0000FF"/>
          </w:tcPr>
          <w:p>
            <w:pPr>
              <w:spacing w:after="0" w:line="20" w:lineRule="exact"/>
              <w:rPr>
                <w:sz w:val="1"/>
                <w:szCs w:val="1"/>
                <w:color w:val="auto"/>
              </w:rPr>
            </w:pPr>
          </w:p>
        </w:tc>
        <w:tc>
          <w:tcPr>
            <w:tcW w:w="2260" w:type="dxa"/>
            <w:vAlign w:val="bottom"/>
            <w:gridSpan w:val="6"/>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55"/>
        </w:trPr>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gridSpan w:val="28"/>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John Chiang, Treasurer of the State of California, the California Pollution Control Financing Authority and San Jose Water Company.</w:t>
              </w:r>
            </w:hyperlink>
          </w:p>
        </w:tc>
      </w:tr>
      <w:tr>
        <w:trPr>
          <w:trHeight w:val="169"/>
        </w:trPr>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6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Incorporated by reference to Exhibit 10.9 to Form 10-K for the year ended December 31, 2016.</w:t>
              </w:r>
            </w:hyperlink>
          </w:p>
        </w:tc>
        <w:tc>
          <w:tcPr>
            <w:tcW w:w="2780" w:type="dxa"/>
            <w:vAlign w:val="bottom"/>
            <w:tcBorders>
              <w:top w:val="single" w:sz="8" w:color="0000FF"/>
            </w:tcBorders>
            <w:gridSpan w:val="16"/>
          </w:tcPr>
          <w:p>
            <w:pPr>
              <w:spacing w:after="0"/>
              <w:rPr>
                <w:sz w:val="14"/>
                <w:szCs w:val="14"/>
                <w:color w:val="auto"/>
              </w:rPr>
            </w:pPr>
          </w:p>
        </w:tc>
        <w:tc>
          <w:tcPr>
            <w:tcW w:w="80" w:type="dxa"/>
            <w:vAlign w:val="bottom"/>
            <w:gridSpan w:val="4"/>
          </w:tcPr>
          <w:p>
            <w:pPr>
              <w:spacing w:after="0"/>
              <w:rPr>
                <w:sz w:val="14"/>
                <w:szCs w:val="14"/>
                <w:color w:val="auto"/>
              </w:rPr>
            </w:pPr>
          </w:p>
        </w:tc>
      </w:tr>
      <w:tr>
        <w:trPr>
          <w:trHeight w:val="35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8"/>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Note Agreement between SJW Corp. and the Prudential Insurance Company of America, dated June 30, 2011. Incorporated by</w:t>
              </w:r>
            </w:hyperlink>
          </w:p>
        </w:tc>
      </w:tr>
      <w:tr>
        <w:trPr>
          <w:trHeight w:val="155"/>
        </w:trPr>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reference as Exhibit 10.3 to Form 8-K filed on July 7, 2011</w:t>
              </w:r>
              <w:r>
                <w:rPr>
                  <w:rFonts w:ascii="Times New Roman" w:cs="Times New Roman" w:eastAsia="Times New Roman" w:hAnsi="Times New Roman"/>
                  <w:sz w:val="18"/>
                  <w:szCs w:val="18"/>
                  <w:color w:val="000000"/>
                </w:rPr>
                <w:t>.</w:t>
              </w:r>
            </w:hyperlink>
          </w:p>
        </w:tc>
        <w:tc>
          <w:tcPr>
            <w:tcW w:w="600" w:type="dxa"/>
            <w:vAlign w:val="bottom"/>
            <w:gridSpan w:val="14"/>
          </w:tcPr>
          <w:p>
            <w:pPr>
              <w:spacing w:after="0"/>
              <w:rPr>
                <w:sz w:val="13"/>
                <w:szCs w:val="13"/>
                <w:color w:val="auto"/>
              </w:rPr>
            </w:pPr>
          </w:p>
        </w:tc>
      </w:tr>
      <w:tr>
        <w:trPr>
          <w:trHeight w:val="1168"/>
        </w:trPr>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tcBorders>
              <w:top w:val="single" w:sz="8" w:color="0000FF"/>
            </w:tcBorders>
            <w:gridSpan w:val="5"/>
          </w:tcPr>
          <w:p>
            <w:pPr>
              <w:spacing w:after="0"/>
              <w:rPr>
                <w:sz w:val="24"/>
                <w:szCs w:val="24"/>
                <w:color w:val="auto"/>
              </w:rPr>
            </w:pPr>
          </w:p>
        </w:tc>
        <w:tc>
          <w:tcPr>
            <w:tcW w:w="10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93</w:t>
            </w: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911"/>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24"/>
                <w:szCs w:val="24"/>
                <w:color w:val="auto"/>
              </w:rPr>
            </w:pPr>
          </w:p>
        </w:tc>
        <w:tc>
          <w:tcPr>
            <w:tcW w:w="9720" w:type="dxa"/>
            <w:vAlign w:val="bottom"/>
            <w:gridSpan w:val="31"/>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Note Agreement between San Jose Water Company and John Hancock Life Insurance Company (U.S.A.) and John Hancock Life</w:t>
              </w:r>
            </w:hyperlink>
          </w:p>
        </w:tc>
      </w:tr>
      <w:tr>
        <w:trPr>
          <w:trHeight w:val="156"/>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30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8"/>
              </w:rPr>
            </w:pPr>
            <w:hyperlink r:id="rId130">
              <w:r>
                <w:rPr>
                  <w:rFonts w:ascii="Times New Roman" w:cs="Times New Roman" w:eastAsia="Times New Roman" w:hAnsi="Times New Roman"/>
                  <w:sz w:val="18"/>
                  <w:szCs w:val="18"/>
                  <w:color w:val="0000FF"/>
                  <w:w w:val="98"/>
                </w:rPr>
                <w:t>Insurance Company of New York, dated January 24, 2014. Incorporated by reference as Exhibit 10.1 to Form 8-K filed on January</w:t>
              </w:r>
            </w:hyperlink>
          </w:p>
        </w:tc>
        <w:tc>
          <w:tcPr>
            <w:tcW w:w="380" w:type="dxa"/>
            <w:vAlign w:val="bottom"/>
            <w:tcBorders>
              <w:bottom w:val="single" w:sz="8" w:color="0000FF"/>
            </w:tcBorders>
            <w:gridSpan w:val="14"/>
          </w:tcPr>
          <w:p>
            <w:pPr>
              <w:jc w:val="right"/>
              <w:ind w:right="20"/>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29,</w:t>
              </w:r>
            </w:hyperlink>
          </w:p>
        </w:tc>
        <w:tc>
          <w:tcPr>
            <w:tcW w:w="40" w:type="dxa"/>
            <w:vAlign w:val="bottom"/>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40" w:type="dxa"/>
            <w:vAlign w:val="bottom"/>
            <w:gridSpan w:val="2"/>
          </w:tcPr>
          <w:p>
            <w:pPr>
              <w:spacing w:after="0" w:line="169"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2014</w:t>
              </w:r>
              <w:r>
                <w:rPr>
                  <w:rFonts w:ascii="Times New Roman" w:cs="Times New Roman" w:eastAsia="Times New Roman" w:hAnsi="Times New Roman"/>
                  <w:sz w:val="18"/>
                  <w:szCs w:val="18"/>
                  <w:color w:val="000000"/>
                </w:rPr>
                <w:t>.</w:t>
              </w:r>
            </w:hyperlink>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240" w:type="dxa"/>
            <w:vAlign w:val="bottom"/>
          </w:tcPr>
          <w:p>
            <w:pPr>
              <w:spacing w:after="0"/>
              <w:rPr>
                <w:sz w:val="24"/>
                <w:szCs w:val="24"/>
                <w:color w:val="auto"/>
              </w:rPr>
            </w:pPr>
          </w:p>
        </w:tc>
        <w:tc>
          <w:tcPr>
            <w:tcW w:w="9720" w:type="dxa"/>
            <w:vAlign w:val="bottom"/>
            <w:gridSpan w:val="31"/>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Note Purchase Agreement among San Jose Water Company and certain affiliates of MetLife, Inc., Brighthouse Financial, Inc. and</w:t>
              </w:r>
            </w:hyperlink>
          </w:p>
        </w:tc>
      </w:tr>
      <w:tr>
        <w:trPr>
          <w:trHeight w:val="156"/>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36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New York Life Insurance Company, dated March 28, 2019. Incorporated by reference to Exhibit 10.1 to Form 8-K filed on March</w:t>
              </w:r>
            </w:hyperlink>
          </w:p>
        </w:tc>
        <w:tc>
          <w:tcPr>
            <w:tcW w:w="280" w:type="dxa"/>
            <w:vAlign w:val="bottom"/>
            <w:tcBorders>
              <w:bottom w:val="single" w:sz="8" w:color="0000FF"/>
            </w:tcBorders>
            <w:gridSpan w:val="11"/>
          </w:tcPr>
          <w:p>
            <w:pPr>
              <w:jc w:val="right"/>
              <w:ind w:right="20"/>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28,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40" w:type="dxa"/>
            <w:vAlign w:val="bottom"/>
            <w:gridSpan w:val="2"/>
          </w:tcPr>
          <w:p>
            <w:pPr>
              <w:spacing w:after="0" w:line="169"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2019</w:t>
              </w:r>
              <w:r>
                <w:rPr>
                  <w:rFonts w:ascii="Times New Roman" w:cs="Times New Roman" w:eastAsia="Times New Roman" w:hAnsi="Times New Roman"/>
                  <w:sz w:val="18"/>
                  <w:szCs w:val="18"/>
                  <w:color w:val="000000"/>
                </w:rPr>
                <w:t>.</w:t>
              </w:r>
            </w:hyperlink>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240" w:type="dxa"/>
            <w:vAlign w:val="bottom"/>
          </w:tcPr>
          <w:p>
            <w:pPr>
              <w:spacing w:after="0"/>
              <w:rPr>
                <w:sz w:val="24"/>
                <w:szCs w:val="24"/>
                <w:color w:val="auto"/>
              </w:rPr>
            </w:pPr>
          </w:p>
        </w:tc>
        <w:tc>
          <w:tcPr>
            <w:tcW w:w="9720" w:type="dxa"/>
            <w:vAlign w:val="bottom"/>
            <w:gridSpan w:val="31"/>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Note Purchase Agreement among SJW Group and Purchasers listed therein, dated October 8, 2019, along with the forms of senior</w:t>
              </w:r>
            </w:hyperlink>
          </w:p>
        </w:tc>
      </w:tr>
      <w:tr>
        <w:trPr>
          <w:trHeight w:val="156"/>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3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notes. Incorporated by reference to Exhibit 10.1 to the Form 8-K filed on October 9, 2019</w:t>
              </w:r>
              <w:r>
                <w:rPr>
                  <w:rFonts w:ascii="Times New Roman" w:cs="Times New Roman" w:eastAsia="Times New Roman" w:hAnsi="Times New Roman"/>
                  <w:sz w:val="18"/>
                  <w:szCs w:val="18"/>
                  <w:color w:val="00B050"/>
                </w:rPr>
                <w:t>.</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240" w:type="dxa"/>
            <w:vAlign w:val="bottom"/>
          </w:tcPr>
          <w:p>
            <w:pPr>
              <w:spacing w:after="0"/>
              <w:rPr>
                <w:sz w:val="24"/>
                <w:szCs w:val="24"/>
                <w:color w:val="auto"/>
              </w:rPr>
            </w:pPr>
          </w:p>
        </w:tc>
        <w:tc>
          <w:tcPr>
            <w:tcW w:w="9720" w:type="dxa"/>
            <w:vAlign w:val="bottom"/>
            <w:gridSpan w:val="31"/>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San Jose Water Company Executive Supplemental Retirement Plan, as Amended and Restated on January 25, 2012, effective January</w:t>
              </w:r>
            </w:hyperlink>
          </w:p>
        </w:tc>
      </w:tr>
      <w:tr>
        <w:trPr>
          <w:trHeight w:val="155"/>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4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1, 2012. Incorporated by reference as Exhibit 10.20 to Form 10-K for the year ended December 31, 2011</w:t>
              </w:r>
              <w:r>
                <w:rPr>
                  <w:rFonts w:ascii="Times New Roman" w:cs="Times New Roman" w:eastAsia="Times New Roman" w:hAnsi="Times New Roman"/>
                  <w:sz w:val="18"/>
                  <w:szCs w:val="18"/>
                  <w:color w:val="000000"/>
                </w:rPr>
                <w:t>. (2)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240" w:type="dxa"/>
            <w:vAlign w:val="bottom"/>
          </w:tcPr>
          <w:p>
            <w:pPr>
              <w:spacing w:after="0"/>
              <w:rPr>
                <w:sz w:val="24"/>
                <w:szCs w:val="24"/>
                <w:color w:val="auto"/>
              </w:rPr>
            </w:pPr>
          </w:p>
        </w:tc>
        <w:tc>
          <w:tcPr>
            <w:tcW w:w="9720" w:type="dxa"/>
            <w:vAlign w:val="bottom"/>
            <w:gridSpan w:val="31"/>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First Amendment to the San Jose Water Company Executive Supplemental Retirement Plan effective November 15, 2016.</w:t>
              </w:r>
            </w:hyperlink>
          </w:p>
        </w:tc>
      </w:tr>
      <w:tr>
        <w:trPr>
          <w:trHeight w:val="155"/>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Incorporated by reference to Exhibit 10.14 to the Form 10-K for the year ended December 31, 2016</w:t>
              </w:r>
              <w:r>
                <w:rPr>
                  <w:rFonts w:ascii="Times New Roman" w:cs="Times New Roman" w:eastAsia="Times New Roman" w:hAnsi="Times New Roman"/>
                  <w:sz w:val="18"/>
                  <w:szCs w:val="18"/>
                  <w:color w:val="000000"/>
                </w:rPr>
                <w:t>. (2)</w:t>
              </w:r>
            </w:hyperlink>
          </w:p>
        </w:tc>
        <w:tc>
          <w:tcPr>
            <w:tcW w:w="20" w:type="dxa"/>
            <w:vAlign w:val="bottom"/>
          </w:tcPr>
          <w:p>
            <w:pPr>
              <w:spacing w:after="0"/>
              <w:rPr>
                <w:sz w:val="13"/>
                <w:szCs w:val="13"/>
                <w:color w:val="auto"/>
              </w:rPr>
            </w:pPr>
          </w:p>
        </w:tc>
        <w:tc>
          <w:tcPr>
            <w:tcW w:w="58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240" w:type="dxa"/>
            <w:vAlign w:val="bottom"/>
          </w:tcPr>
          <w:p>
            <w:pPr>
              <w:spacing w:after="0"/>
              <w:rPr>
                <w:sz w:val="24"/>
                <w:szCs w:val="24"/>
                <w:color w:val="auto"/>
              </w:rPr>
            </w:pPr>
          </w:p>
        </w:tc>
        <w:tc>
          <w:tcPr>
            <w:tcW w:w="9720" w:type="dxa"/>
            <w:vAlign w:val="bottom"/>
            <w:gridSpan w:val="31"/>
          </w:tcPr>
          <w:p>
            <w:pPr>
              <w:spacing w:after="0"/>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Second Amendment to the San Jose Water Company Executive Supplemental Retirement Plan effective October 9, 2019. Incorporated</w:t>
              </w:r>
            </w:hyperlink>
          </w:p>
        </w:tc>
      </w:tr>
      <w:tr>
        <w:trPr>
          <w:trHeight w:val="156"/>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8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by reference to Exhibit 10.5 to the Form 8-K filed on October 9, 2019</w:t>
              </w:r>
              <w:r>
                <w:rPr>
                  <w:rFonts w:ascii="Times New Roman" w:cs="Times New Roman" w:eastAsia="Times New Roman" w:hAnsi="Times New Roman"/>
                  <w:sz w:val="18"/>
                  <w:szCs w:val="18"/>
                  <w:color w:val="000000"/>
                </w:rPr>
                <w:t>. (2)</w:t>
              </w:r>
            </w:hyperlink>
          </w:p>
        </w:tc>
        <w:tc>
          <w:tcPr>
            <w:tcW w:w="4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240" w:type="dxa"/>
            <w:vAlign w:val="bottom"/>
          </w:tcPr>
          <w:p>
            <w:pPr>
              <w:spacing w:after="0"/>
              <w:rPr>
                <w:sz w:val="24"/>
                <w:szCs w:val="24"/>
                <w:color w:val="auto"/>
              </w:rPr>
            </w:pPr>
          </w:p>
        </w:tc>
        <w:tc>
          <w:tcPr>
            <w:tcW w:w="9720" w:type="dxa"/>
            <w:vAlign w:val="bottom"/>
            <w:gridSpan w:val="31"/>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San Jose Water Company Cash Balance Executive Supplemental Retirement Plan, as Amended and Restated on January 25, 2012,</w:t>
              </w:r>
            </w:hyperlink>
          </w:p>
        </w:tc>
      </w:tr>
      <w:tr>
        <w:trPr>
          <w:trHeight w:val="156"/>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effective January 1, 2012. Incorporated by reference as Exhibit 10.23 to Form 10-K for the year ended December 31, 2011</w:t>
              </w:r>
              <w:r>
                <w:rPr>
                  <w:rFonts w:ascii="Times New Roman" w:cs="Times New Roman" w:eastAsia="Times New Roman" w:hAnsi="Times New Roman"/>
                  <w:sz w:val="18"/>
                  <w:szCs w:val="18"/>
                  <w:color w:val="000000"/>
                </w:rPr>
                <w:t>. (2)</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240" w:type="dxa"/>
            <w:vAlign w:val="bottom"/>
          </w:tcPr>
          <w:p>
            <w:pPr>
              <w:spacing w:after="0"/>
              <w:rPr>
                <w:sz w:val="24"/>
                <w:szCs w:val="24"/>
                <w:color w:val="auto"/>
              </w:rPr>
            </w:pPr>
          </w:p>
        </w:tc>
        <w:tc>
          <w:tcPr>
            <w:tcW w:w="9720" w:type="dxa"/>
            <w:vAlign w:val="bottom"/>
            <w:gridSpan w:val="31"/>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First Amendment to the San Jose Water Company Cash Balance Executive Supplemental Retirement Plan effective as of October 30,</w:t>
              </w:r>
            </w:hyperlink>
          </w:p>
        </w:tc>
      </w:tr>
      <w:tr>
        <w:trPr>
          <w:trHeight w:val="156"/>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58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2013. Incorporated by reference as Exhibit 10.15 to Form 10-K for the year ended December 31, 2013</w:t>
              </w:r>
              <w:r>
                <w:rPr>
                  <w:rFonts w:ascii="Times New Roman" w:cs="Times New Roman" w:eastAsia="Times New Roman" w:hAnsi="Times New Roman"/>
                  <w:sz w:val="18"/>
                  <w:szCs w:val="18"/>
                  <w:color w:val="000000"/>
                </w:rPr>
                <w:t>. (2)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240" w:type="dxa"/>
            <w:vAlign w:val="bottom"/>
          </w:tcPr>
          <w:p>
            <w:pPr>
              <w:spacing w:after="0"/>
              <w:rPr>
                <w:sz w:val="24"/>
                <w:szCs w:val="24"/>
                <w:color w:val="auto"/>
              </w:rPr>
            </w:pPr>
          </w:p>
        </w:tc>
        <w:tc>
          <w:tcPr>
            <w:tcW w:w="9720" w:type="dxa"/>
            <w:vAlign w:val="bottom"/>
            <w:gridSpan w:val="31"/>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Second Amendment to the San Jose Water Company Cash Balance Executive Supplemental Retirement Plan effective as of January</w:t>
              </w:r>
            </w:hyperlink>
          </w:p>
        </w:tc>
      </w:tr>
      <w:tr>
        <w:trPr>
          <w:trHeight w:val="156"/>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50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31, 2014. Incorporated by reference as Exhibit 10.2 to Form 8-K filed on January 30, 2014</w:t>
              </w:r>
              <w:r>
                <w:rPr>
                  <w:rFonts w:ascii="Times New Roman" w:cs="Times New Roman" w:eastAsia="Times New Roman" w:hAnsi="Times New Roman"/>
                  <w:sz w:val="18"/>
                  <w:szCs w:val="18"/>
                  <w:color w:val="000000"/>
                </w:rPr>
                <w:t>. (2)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240" w:type="dxa"/>
            <w:vAlign w:val="bottom"/>
          </w:tcPr>
          <w:p>
            <w:pPr>
              <w:spacing w:after="0"/>
              <w:rPr>
                <w:sz w:val="24"/>
                <w:szCs w:val="24"/>
                <w:color w:val="auto"/>
              </w:rPr>
            </w:pPr>
          </w:p>
        </w:tc>
        <w:tc>
          <w:tcPr>
            <w:tcW w:w="9720" w:type="dxa"/>
            <w:vAlign w:val="bottom"/>
            <w:gridSpan w:val="31"/>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Third Amendment to the San Jose Water Company Cash Balance Executive Supplemental Retirement Plan effective November 15,</w:t>
              </w:r>
            </w:hyperlink>
          </w:p>
        </w:tc>
      </w:tr>
      <w:tr>
        <w:trPr>
          <w:trHeight w:val="156"/>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6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2016. Incorporated by reference to Exhibit 10.18 to Form 10-K for the year ended December 31, 2016</w:t>
              </w:r>
              <w:r>
                <w:rPr>
                  <w:rFonts w:ascii="Times New Roman" w:cs="Times New Roman" w:eastAsia="Times New Roman" w:hAnsi="Times New Roman"/>
                  <w:sz w:val="18"/>
                  <w:szCs w:val="18"/>
                  <w:color w:val="000000"/>
                </w:rPr>
                <w:t>. (2)</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240" w:type="dxa"/>
            <w:vAlign w:val="bottom"/>
          </w:tcPr>
          <w:p>
            <w:pPr>
              <w:spacing w:after="0"/>
              <w:rPr>
                <w:sz w:val="24"/>
                <w:szCs w:val="24"/>
                <w:color w:val="auto"/>
              </w:rPr>
            </w:pPr>
          </w:p>
        </w:tc>
        <w:tc>
          <w:tcPr>
            <w:tcW w:w="9720" w:type="dxa"/>
            <w:vAlign w:val="bottom"/>
            <w:gridSpan w:val="31"/>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Fourth Amendment to the San Jose Water Company Cash Balance Executive Supplemental Retirement Plan effective November 6,</w:t>
              </w:r>
            </w:hyperlink>
          </w:p>
        </w:tc>
      </w:tr>
      <w:tr>
        <w:trPr>
          <w:trHeight w:val="155"/>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2017. Incorporated by reference to Exhibit 10.5 to the Form 10-Q for the quarter ended September 30, 2017</w:t>
              </w:r>
              <w:r>
                <w:rPr>
                  <w:rFonts w:ascii="Times New Roman" w:cs="Times New Roman" w:eastAsia="Times New Roman" w:hAnsi="Times New Roman"/>
                  <w:sz w:val="18"/>
                  <w:szCs w:val="18"/>
                  <w:color w:val="000000"/>
                </w:rPr>
                <w:t>. (2)</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17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240" w:type="dxa"/>
            <w:vAlign w:val="bottom"/>
          </w:tcPr>
          <w:p>
            <w:pPr>
              <w:spacing w:after="0"/>
              <w:rPr>
                <w:sz w:val="24"/>
                <w:szCs w:val="24"/>
                <w:color w:val="auto"/>
              </w:rPr>
            </w:pPr>
          </w:p>
        </w:tc>
        <w:tc>
          <w:tcPr>
            <w:tcW w:w="9720" w:type="dxa"/>
            <w:vAlign w:val="bottom"/>
            <w:gridSpan w:val="31"/>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Fifth Amendment to the San Jose Water Company Cash Balance Executive Supplemental Retirement Plan effective October 24, 2018.</w:t>
              </w:r>
            </w:hyperlink>
          </w:p>
        </w:tc>
      </w:tr>
      <w:tr>
        <w:trPr>
          <w:trHeight w:val="155"/>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6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Incorporated by reference as Exhibit 10.21 to Form 10-K for the year ended December 31, 2018</w:t>
              </w:r>
              <w:r>
                <w:rPr>
                  <w:rFonts w:ascii="Times New Roman" w:cs="Times New Roman" w:eastAsia="Times New Roman" w:hAnsi="Times New Roman"/>
                  <w:sz w:val="18"/>
                  <w:szCs w:val="18"/>
                  <w:color w:val="000000"/>
                </w:rPr>
                <w:t>. (2)</w:t>
              </w:r>
            </w:hyperlink>
          </w:p>
        </w:tc>
        <w:tc>
          <w:tcPr>
            <w:tcW w:w="6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260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240" w:type="dxa"/>
            <w:vAlign w:val="bottom"/>
          </w:tcPr>
          <w:p>
            <w:pPr>
              <w:spacing w:after="0"/>
              <w:rPr>
                <w:sz w:val="24"/>
                <w:szCs w:val="24"/>
                <w:color w:val="auto"/>
              </w:rPr>
            </w:pPr>
          </w:p>
        </w:tc>
        <w:tc>
          <w:tcPr>
            <w:tcW w:w="9720" w:type="dxa"/>
            <w:vAlign w:val="bottom"/>
            <w:gridSpan w:val="31"/>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Sixth Amendment to the San Jose Water Company Cash Balance Executive Supplemental Retirement Plan effective October 9, 2019.</w:t>
              </w:r>
            </w:hyperlink>
          </w:p>
        </w:tc>
      </w:tr>
      <w:tr>
        <w:trPr>
          <w:trHeight w:val="156"/>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Incorporated by reference as Exhibit 10.4 to Form 8-K filed on October 9, 2019</w:t>
              </w:r>
              <w:r>
                <w:rPr>
                  <w:rFonts w:ascii="Times New Roman" w:cs="Times New Roman" w:eastAsia="Times New Roman" w:hAnsi="Times New Roman"/>
                  <w:sz w:val="18"/>
                  <w:szCs w:val="18"/>
                  <w:color w:val="000000"/>
                </w:rPr>
                <w:t>. (2)</w:t>
              </w:r>
            </w:hyperlink>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378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240" w:type="dxa"/>
            <w:vAlign w:val="bottom"/>
          </w:tcPr>
          <w:p>
            <w:pPr>
              <w:spacing w:after="0"/>
              <w:rPr>
                <w:sz w:val="24"/>
                <w:szCs w:val="24"/>
                <w:color w:val="auto"/>
              </w:rPr>
            </w:pPr>
          </w:p>
        </w:tc>
        <w:tc>
          <w:tcPr>
            <w:tcW w:w="9720" w:type="dxa"/>
            <w:vAlign w:val="bottom"/>
            <w:gridSpan w:val="31"/>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SJW Corp. Long-Term Incentive Plan, as amended and restated on July 29, 2015. Incorporated by reference as Exhibit 10.1 to Form</w:t>
              </w:r>
            </w:hyperlink>
          </w:p>
        </w:tc>
      </w:tr>
      <w:tr>
        <w:trPr>
          <w:trHeight w:val="155"/>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52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10-Q filed for the quarter ended September 30, 2015</w:t>
              </w:r>
              <w:r>
                <w:rPr>
                  <w:rFonts w:ascii="Times New Roman" w:cs="Times New Roman" w:eastAsia="Times New Roman" w:hAnsi="Times New Roman"/>
                  <w:sz w:val="18"/>
                  <w:szCs w:val="18"/>
                  <w:color w:val="000000"/>
                </w:rPr>
                <w:t>. (2)</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140" w:type="dxa"/>
            <w:vAlign w:val="bottom"/>
            <w:gridSpan w:val="2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240" w:type="dxa"/>
            <w:vAlign w:val="bottom"/>
          </w:tcPr>
          <w:p>
            <w:pPr>
              <w:spacing w:after="0"/>
              <w:rPr>
                <w:sz w:val="24"/>
                <w:szCs w:val="24"/>
                <w:color w:val="auto"/>
              </w:rPr>
            </w:pPr>
          </w:p>
        </w:tc>
        <w:tc>
          <w:tcPr>
            <w:tcW w:w="9720" w:type="dxa"/>
            <w:vAlign w:val="bottom"/>
            <w:gridSpan w:val="31"/>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First Amendment to the SJW Group Long-Term Incentive Plan dated November 15, 2016. Incorporated by reference to Exhibit 10.21</w:t>
              </w:r>
            </w:hyperlink>
          </w:p>
        </w:tc>
      </w:tr>
      <w:tr>
        <w:trPr>
          <w:trHeight w:val="155"/>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2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to Form 10-K for the year ended December 31, 2016</w:t>
              </w:r>
              <w:r>
                <w:rPr>
                  <w:rFonts w:ascii="Times New Roman" w:cs="Times New Roman" w:eastAsia="Times New Roman" w:hAnsi="Times New Roman"/>
                  <w:sz w:val="18"/>
                  <w:szCs w:val="18"/>
                  <w:color w:val="000000"/>
                </w:rPr>
                <w:t>. (2)</w:t>
              </w:r>
            </w:hyperlink>
          </w:p>
        </w:tc>
        <w:tc>
          <w:tcPr>
            <w:tcW w:w="100" w:type="dxa"/>
            <w:vAlign w:val="bottom"/>
            <w:gridSpan w:val="4"/>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140" w:type="dxa"/>
            <w:vAlign w:val="bottom"/>
            <w:gridSpan w:val="20"/>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240" w:type="dxa"/>
            <w:vAlign w:val="bottom"/>
          </w:tcPr>
          <w:p>
            <w:pPr>
              <w:spacing w:after="0"/>
              <w:rPr>
                <w:sz w:val="24"/>
                <w:szCs w:val="24"/>
                <w:color w:val="auto"/>
              </w:rPr>
            </w:pPr>
          </w:p>
        </w:tc>
        <w:tc>
          <w:tcPr>
            <w:tcW w:w="9720" w:type="dxa"/>
            <w:vAlign w:val="bottom"/>
            <w:gridSpan w:val="31"/>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Second Amendment to the SJW Group Long-Term Incentive Plan dated October 28, 2020. Incorporated by reference as Exhibit 10.1</w:t>
              </w:r>
            </w:hyperlink>
          </w:p>
        </w:tc>
      </w:tr>
      <w:tr>
        <w:trPr>
          <w:trHeight w:val="156"/>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54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to Form 10-Q filed for the quarter ended September 30, 2020</w:t>
              </w:r>
              <w:r>
                <w:rPr>
                  <w:rFonts w:ascii="Times New Roman" w:cs="Times New Roman" w:eastAsia="Times New Roman" w:hAnsi="Times New Roman"/>
                  <w:sz w:val="18"/>
                  <w:szCs w:val="18"/>
                  <w:color w:val="000000"/>
                </w:rPr>
                <w:t>. (2)</w:t>
              </w:r>
            </w:hyperlink>
          </w:p>
        </w:tc>
        <w:tc>
          <w:tcPr>
            <w:tcW w:w="180" w:type="dxa"/>
            <w:vAlign w:val="bottom"/>
            <w:gridSpan w:val="7"/>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320" w:type="dxa"/>
            <w:vAlign w:val="bottom"/>
            <w:gridSpan w:val="27"/>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240" w:type="dxa"/>
            <w:vAlign w:val="bottom"/>
          </w:tcPr>
          <w:p>
            <w:pPr>
              <w:spacing w:after="0"/>
              <w:rPr>
                <w:sz w:val="24"/>
                <w:szCs w:val="24"/>
                <w:color w:val="auto"/>
              </w:rPr>
            </w:pPr>
          </w:p>
        </w:tc>
        <w:tc>
          <w:tcPr>
            <w:tcW w:w="9720" w:type="dxa"/>
            <w:vAlign w:val="bottom"/>
            <w:gridSpan w:val="31"/>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Third Amendment to the SJW Group Long-Term Incentive Plan dated January 28, 2021. Incorporated by reference to Exhibit 10.31 to</w:t>
              </w:r>
            </w:hyperlink>
          </w:p>
        </w:tc>
      </w:tr>
      <w:tr>
        <w:trPr>
          <w:trHeight w:val="183"/>
        </w:trPr>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60" w:type="dxa"/>
            <w:vAlign w:val="bottom"/>
            <w:tcBorders>
              <w:top w:val="single" w:sz="8" w:color="0000FF"/>
            </w:tcBorders>
            <w:gridSpan w:val="29"/>
          </w:tcPr>
          <w:p>
            <w:pPr>
              <w:spacing w:after="0" w:line="182"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 xml:space="preserve">Form 10-K for the year ended December 31, 2020. </w:t>
              </w:r>
              <w:r>
                <w:rPr>
                  <w:rFonts w:ascii="Times New Roman" w:cs="Times New Roman" w:eastAsia="Times New Roman" w:hAnsi="Times New Roman"/>
                  <w:sz w:val="18"/>
                  <w:szCs w:val="18"/>
                  <w:color w:val="000000"/>
                </w:rPr>
                <w:t>(2)</w:t>
              </w:r>
            </w:hyperlink>
          </w:p>
        </w:tc>
        <w:tc>
          <w:tcPr>
            <w:tcW w:w="60" w:type="dxa"/>
            <w:vAlign w:val="bottom"/>
            <w:gridSpan w:val="2"/>
          </w:tcPr>
          <w:p>
            <w:pPr>
              <w:spacing w:after="0"/>
              <w:rPr>
                <w:sz w:val="15"/>
                <w:szCs w:val="15"/>
                <w:color w:val="auto"/>
              </w:rPr>
            </w:pPr>
          </w:p>
        </w:tc>
      </w:tr>
      <w:tr>
        <w:trPr>
          <w:trHeight w:val="1182"/>
        </w:trPr>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40" w:type="dxa"/>
            <w:vAlign w:val="bottom"/>
            <w:tcBorders>
              <w:top w:val="single" w:sz="8" w:color="0000FF"/>
            </w:tcBorders>
            <w:gridSpan w:val="2"/>
          </w:tcPr>
          <w:p>
            <w:pPr>
              <w:spacing w:after="0"/>
              <w:rPr>
                <w:sz w:val="24"/>
                <w:szCs w:val="24"/>
                <w:color w:val="auto"/>
              </w:rPr>
            </w:pPr>
          </w:p>
        </w:tc>
        <w:tc>
          <w:tcPr>
            <w:tcW w:w="13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94</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07"/>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911"/>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240" w:type="dxa"/>
            <w:vAlign w:val="bottom"/>
          </w:tcPr>
          <w:p>
            <w:pPr>
              <w:spacing w:after="0"/>
              <w:rPr>
                <w:sz w:val="24"/>
                <w:szCs w:val="24"/>
                <w:color w:val="auto"/>
              </w:rPr>
            </w:pPr>
          </w:p>
        </w:tc>
        <w:tc>
          <w:tcPr>
            <w:tcW w:w="9720" w:type="dxa"/>
            <w:vAlign w:val="bottom"/>
            <w:gridSpan w:val="33"/>
          </w:tcPr>
          <w:p>
            <w:pPr>
              <w:spacing w:after="0"/>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Employment Agreement of Mr. Eric W. Thornburg dated September 26, 2017, together with Exhibit A (Form of Restricted Stock Unit</w:t>
              </w:r>
            </w:hyperlink>
          </w:p>
        </w:tc>
      </w:tr>
      <w:tr>
        <w:trPr>
          <w:trHeight w:val="156"/>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8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Issuance Agreement - Initial Time-Based Grant), Exhibit B (Form of Restricted Stock Issuance Agreement - Special Time-Based</w:t>
              </w:r>
            </w:hyperlink>
          </w:p>
        </w:tc>
        <w:tc>
          <w:tcPr>
            <w:tcW w:w="38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720" w:type="dxa"/>
            <w:vAlign w:val="bottom"/>
            <w:gridSpan w:val="33"/>
          </w:tcPr>
          <w:p>
            <w:pPr>
              <w:spacing w:after="0" w:line="169"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Grant), and Exhibit C (Form of Confidential Settlement Agreement and Release). Incorporated by reference to Exhibit 10.3 to Form</w:t>
              </w:r>
            </w:hyperlink>
          </w:p>
        </w:tc>
      </w:tr>
      <w:tr>
        <w:trPr>
          <w:trHeight w:val="156"/>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52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10-Q for the quarter ended September 30, 2017</w:t>
              </w:r>
              <w:r>
                <w:rPr>
                  <w:rFonts w:ascii="Times New Roman" w:cs="Times New Roman" w:eastAsia="Times New Roman" w:hAnsi="Times New Roman"/>
                  <w:sz w:val="18"/>
                  <w:szCs w:val="18"/>
                  <w:color w:val="000000"/>
                </w:rPr>
                <w:t>. (2)</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240" w:type="dxa"/>
            <w:vAlign w:val="bottom"/>
          </w:tcPr>
          <w:p>
            <w:pPr>
              <w:spacing w:after="0"/>
              <w:rPr>
                <w:sz w:val="24"/>
                <w:szCs w:val="24"/>
                <w:color w:val="auto"/>
              </w:rPr>
            </w:pPr>
          </w:p>
        </w:tc>
        <w:tc>
          <w:tcPr>
            <w:tcW w:w="9720" w:type="dxa"/>
            <w:vAlign w:val="bottom"/>
            <w:gridSpan w:val="33"/>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First Amendment dated December 31, 2019, to the Employment Agreement of Eric W. Thornburg dated September 26, 2017.</w:t>
              </w:r>
            </w:hyperlink>
          </w:p>
        </w:tc>
      </w:tr>
      <w:tr>
        <w:trPr>
          <w:trHeight w:val="155"/>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Incorporated by reference to Exhibit 10.1 to the Form 8-K filed on January 7, 2020</w:t>
              </w:r>
              <w:r>
                <w:rPr>
                  <w:rFonts w:ascii="Times New Roman" w:cs="Times New Roman" w:eastAsia="Times New Roman" w:hAnsi="Times New Roman"/>
                  <w:sz w:val="18"/>
                  <w:szCs w:val="18"/>
                  <w:color w:val="000000"/>
                </w:rPr>
                <w:t>. (2)</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240" w:type="dxa"/>
            <w:vAlign w:val="bottom"/>
          </w:tcPr>
          <w:p>
            <w:pPr>
              <w:spacing w:after="0"/>
              <w:rPr>
                <w:sz w:val="24"/>
                <w:szCs w:val="24"/>
                <w:color w:val="auto"/>
              </w:rPr>
            </w:pPr>
          </w:p>
        </w:tc>
        <w:tc>
          <w:tcPr>
            <w:tcW w:w="9720" w:type="dxa"/>
            <w:vAlign w:val="bottom"/>
            <w:gridSpan w:val="33"/>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SJW Group Amended and Restated Executive Officer Short-Term Incentive Plan dated October 28, 2020. Incorporated by reference</w:t>
              </w:r>
            </w:hyperlink>
          </w:p>
        </w:tc>
      </w:tr>
      <w:tr>
        <w:trPr>
          <w:trHeight w:val="156"/>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54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as Exhibit 10.2 to Form 10-Q for the quarter ended September 30, 2020</w:t>
              </w:r>
              <w:r>
                <w:rPr>
                  <w:rFonts w:ascii="Times New Roman" w:cs="Times New Roman" w:eastAsia="Times New Roman" w:hAnsi="Times New Roman"/>
                  <w:sz w:val="18"/>
                  <w:szCs w:val="18"/>
                  <w:color w:val="000000"/>
                </w:rPr>
                <w:t>. (2)</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240" w:type="dxa"/>
            <w:vAlign w:val="bottom"/>
          </w:tcPr>
          <w:p>
            <w:pPr>
              <w:spacing w:after="0"/>
              <w:rPr>
                <w:sz w:val="24"/>
                <w:szCs w:val="24"/>
                <w:color w:val="auto"/>
              </w:rPr>
            </w:pPr>
          </w:p>
        </w:tc>
        <w:tc>
          <w:tcPr>
            <w:tcW w:w="9720" w:type="dxa"/>
            <w:vAlign w:val="bottom"/>
            <w:gridSpan w:val="33"/>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First Amendment to the Executive Officer Short-Term Incentive Plan dated January 28, 2021. Incorporated by reference to Exhibit</w:t>
              </w:r>
            </w:hyperlink>
          </w:p>
        </w:tc>
      </w:tr>
      <w:tr>
        <w:trPr>
          <w:trHeight w:val="183"/>
        </w:trPr>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0" w:type="dxa"/>
            <w:vAlign w:val="bottom"/>
            <w:tcBorders>
              <w:top w:val="single" w:sz="8" w:color="0000FF"/>
            </w:tcBorders>
            <w:gridSpan w:val="22"/>
          </w:tcPr>
          <w:p>
            <w:pPr>
              <w:spacing w:after="0" w:line="182"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39</w:t>
              </w:r>
              <w:r>
                <w:rPr>
                  <w:rFonts w:ascii="Times New Roman" w:cs="Times New Roman" w:eastAsia="Times New Roman" w:hAnsi="Times New Roman"/>
                  <w:sz w:val="18"/>
                  <w:szCs w:val="18"/>
                  <w:color w:val="0000FF"/>
                </w:rPr>
                <w:t xml:space="preserve"> to Form 10-K for the year ended December 31, 2020</w:t>
              </w:r>
              <w:r>
                <w:rPr>
                  <w:rFonts w:ascii="Times New Roman" w:cs="Times New Roman" w:eastAsia="Times New Roman" w:hAnsi="Times New Roman"/>
                  <w:sz w:val="18"/>
                  <w:szCs w:val="18"/>
                  <w:color w:val="000000"/>
                </w:rPr>
                <w:t>. (2)</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240" w:type="dxa"/>
            <w:vAlign w:val="bottom"/>
          </w:tcPr>
          <w:p>
            <w:pPr>
              <w:spacing w:after="0"/>
              <w:rPr>
                <w:sz w:val="24"/>
                <w:szCs w:val="24"/>
                <w:color w:val="auto"/>
              </w:rPr>
            </w:pPr>
          </w:p>
        </w:tc>
        <w:tc>
          <w:tcPr>
            <w:tcW w:w="972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Second Amendment to the SJW Group Executive Officer Short-Term Incentive Plan effective as of October 25, 2024</w:t>
            </w:r>
            <w:r>
              <w:rPr>
                <w:rFonts w:ascii="Times New Roman" w:cs="Times New Roman" w:eastAsia="Times New Roman" w:hAnsi="Times New Roman"/>
                <w:sz w:val="18"/>
                <w:szCs w:val="18"/>
                <w:color w:val="000000"/>
              </w:rPr>
              <w:t>. (1) (2)</w:t>
            </w: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240" w:type="dxa"/>
            <w:vAlign w:val="bottom"/>
          </w:tcPr>
          <w:p>
            <w:pPr>
              <w:spacing w:after="0"/>
              <w:rPr>
                <w:sz w:val="24"/>
                <w:szCs w:val="24"/>
                <w:color w:val="auto"/>
              </w:rPr>
            </w:pPr>
          </w:p>
        </w:tc>
        <w:tc>
          <w:tcPr>
            <w:tcW w:w="9720" w:type="dxa"/>
            <w:vAlign w:val="bottom"/>
            <w:gridSpan w:val="33"/>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Amended and Restated Executive Severance Plan dated October 26, 2022. Incorporated by reference as Exhibit 10.1 to Form 8-K</w:t>
              </w:r>
            </w:hyperlink>
          </w:p>
        </w:tc>
      </w:tr>
      <w:tr>
        <w:trPr>
          <w:trHeight w:val="156"/>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3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filed on October 28, 2022</w:t>
              </w:r>
              <w:r>
                <w:rPr>
                  <w:rFonts w:ascii="Times New Roman" w:cs="Times New Roman" w:eastAsia="Times New Roman" w:hAnsi="Times New Roman"/>
                  <w:sz w:val="18"/>
                  <w:szCs w:val="18"/>
                  <w:color w:val="000000"/>
                </w:rPr>
                <w:t>. (2)</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10.32</w:t>
            </w:r>
          </w:p>
        </w:tc>
        <w:tc>
          <w:tcPr>
            <w:tcW w:w="240" w:type="dxa"/>
            <w:vAlign w:val="bottom"/>
          </w:tcPr>
          <w:p>
            <w:pPr>
              <w:spacing w:after="0"/>
              <w:rPr>
                <w:sz w:val="24"/>
                <w:szCs w:val="24"/>
                <w:color w:val="auto"/>
              </w:rPr>
            </w:pPr>
          </w:p>
        </w:tc>
        <w:tc>
          <w:tcPr>
            <w:tcW w:w="9720" w:type="dxa"/>
            <w:vAlign w:val="bottom"/>
            <w:gridSpan w:val="33"/>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San Jose Water Company Special Deferral Election Plan, as amended and restated, effective January 1, 2013. Incorporated by</w:t>
              </w:r>
            </w:hyperlink>
          </w:p>
        </w:tc>
      </w:tr>
      <w:tr>
        <w:trPr>
          <w:trHeight w:val="156"/>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reference as Exhibit 10.36 to Form 10-K for the year ended December 31, 2012</w:t>
              </w:r>
              <w:r>
                <w:rPr>
                  <w:rFonts w:ascii="Times New Roman" w:cs="Times New Roman" w:eastAsia="Times New Roman" w:hAnsi="Times New Roman"/>
                  <w:sz w:val="18"/>
                  <w:szCs w:val="18"/>
                  <w:color w:val="000000"/>
                </w:rPr>
                <w:t>. (2)</w:t>
              </w:r>
            </w:hyperlink>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10.33</w:t>
            </w:r>
          </w:p>
        </w:tc>
        <w:tc>
          <w:tcPr>
            <w:tcW w:w="240" w:type="dxa"/>
            <w:vAlign w:val="bottom"/>
          </w:tcPr>
          <w:p>
            <w:pPr>
              <w:spacing w:after="0"/>
              <w:rPr>
                <w:sz w:val="24"/>
                <w:szCs w:val="24"/>
                <w:color w:val="auto"/>
              </w:rPr>
            </w:pPr>
          </w:p>
        </w:tc>
        <w:tc>
          <w:tcPr>
            <w:tcW w:w="9720" w:type="dxa"/>
            <w:vAlign w:val="bottom"/>
            <w:gridSpan w:val="33"/>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First Amendment to the Special Deferral Election Plan effective November 15, 2016. Incorporated by reference as Exhibit 10.37 to</w:t>
              </w:r>
            </w:hyperlink>
          </w:p>
        </w:tc>
      </w:tr>
      <w:tr>
        <w:trPr>
          <w:trHeight w:val="156"/>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4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Form 10-K for the year ended December 31, 2016</w:t>
              </w:r>
              <w:r>
                <w:rPr>
                  <w:rFonts w:ascii="Times New Roman" w:cs="Times New Roman" w:eastAsia="Times New Roman" w:hAnsi="Times New Roman"/>
                  <w:sz w:val="18"/>
                  <w:szCs w:val="18"/>
                  <w:color w:val="000000"/>
                </w:rPr>
                <w:t>. (2)</w:t>
              </w:r>
            </w:hyperlink>
          </w:p>
        </w:tc>
        <w:tc>
          <w:tcPr>
            <w:tcW w:w="6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10.34</w:t>
            </w:r>
          </w:p>
        </w:tc>
        <w:tc>
          <w:tcPr>
            <w:tcW w:w="240" w:type="dxa"/>
            <w:vAlign w:val="bottom"/>
          </w:tcPr>
          <w:p>
            <w:pPr>
              <w:spacing w:after="0"/>
              <w:rPr>
                <w:sz w:val="24"/>
                <w:szCs w:val="24"/>
                <w:color w:val="auto"/>
              </w:rPr>
            </w:pPr>
          </w:p>
        </w:tc>
        <w:tc>
          <w:tcPr>
            <w:tcW w:w="9720" w:type="dxa"/>
            <w:vAlign w:val="bottom"/>
            <w:gridSpan w:val="33"/>
          </w:tcPr>
          <w:p>
            <w:pPr>
              <w:spacing w:after="0"/>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SJW Corp. Amended and Restated Deferred Restricted Stock Program, effective January 1, 2008. Incorporated by reference as Exhibit</w:t>
              </w:r>
            </w:hyperlink>
          </w:p>
        </w:tc>
      </w:tr>
      <w:tr>
        <w:trPr>
          <w:trHeight w:val="156"/>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70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Form 10-Q for the quarter ended March 31, 2008</w:t>
              </w:r>
              <w:r>
                <w:rPr>
                  <w:rFonts w:ascii="Times New Roman" w:cs="Times New Roman" w:eastAsia="Times New Roman" w:hAnsi="Times New Roman"/>
                  <w:sz w:val="18"/>
                  <w:szCs w:val="18"/>
                  <w:color w:val="000000"/>
                </w:rPr>
                <w:t>. (2)</w:t>
              </w:r>
            </w:hyperlink>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10.35</w:t>
            </w:r>
          </w:p>
        </w:tc>
        <w:tc>
          <w:tcPr>
            <w:tcW w:w="240" w:type="dxa"/>
            <w:vAlign w:val="bottom"/>
          </w:tcPr>
          <w:p>
            <w:pPr>
              <w:spacing w:after="0"/>
              <w:rPr>
                <w:sz w:val="24"/>
                <w:szCs w:val="24"/>
                <w:color w:val="auto"/>
              </w:rPr>
            </w:pPr>
          </w:p>
        </w:tc>
        <w:tc>
          <w:tcPr>
            <w:tcW w:w="9720" w:type="dxa"/>
            <w:vAlign w:val="bottom"/>
            <w:gridSpan w:val="33"/>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First Amendment to the Amended and Restated Deferred Restricted Stock Program dated November 15, 2016. Incorporated by</w:t>
              </w:r>
            </w:hyperlink>
          </w:p>
        </w:tc>
      </w:tr>
      <w:tr>
        <w:trPr>
          <w:trHeight w:val="156"/>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1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reference as Exhibit 10.39 to Form 10-K for the year ended December 31, 2016</w:t>
              </w:r>
              <w:r>
                <w:rPr>
                  <w:rFonts w:ascii="Times New Roman" w:cs="Times New Roman" w:eastAsia="Times New Roman" w:hAnsi="Times New Roman"/>
                  <w:sz w:val="18"/>
                  <w:szCs w:val="18"/>
                  <w:color w:val="000000"/>
                </w:rPr>
                <w:t>. (2)</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4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10.36</w:t>
            </w:r>
          </w:p>
        </w:tc>
        <w:tc>
          <w:tcPr>
            <w:tcW w:w="240" w:type="dxa"/>
            <w:vAlign w:val="bottom"/>
          </w:tcPr>
          <w:p>
            <w:pPr>
              <w:spacing w:after="0"/>
              <w:rPr>
                <w:sz w:val="24"/>
                <w:szCs w:val="24"/>
                <w:color w:val="auto"/>
              </w:rPr>
            </w:pPr>
          </w:p>
        </w:tc>
        <w:tc>
          <w:tcPr>
            <w:tcW w:w="972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 xml:space="preserve">SJW Group Deferral Election Program for Non-Employee Board Members as amended and restated effective February 26, 2025. </w:t>
            </w:r>
            <w:r>
              <w:rPr>
                <w:rFonts w:ascii="Times New Roman" w:cs="Times New Roman" w:eastAsia="Times New Roman" w:hAnsi="Times New Roman"/>
                <w:sz w:val="18"/>
                <w:szCs w:val="18"/>
                <w:color w:val="000000"/>
              </w:rPr>
              <w:t>(1)</w:t>
            </w:r>
          </w:p>
        </w:tc>
      </w:tr>
      <w:tr>
        <w:trPr>
          <w:trHeight w:val="228"/>
        </w:trPr>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52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48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480" w:type="dxa"/>
            <w:vAlign w:val="bottom"/>
            <w:tcBorders>
              <w:top w:val="single" w:sz="8" w:color="0000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10.37</w:t>
            </w:r>
          </w:p>
        </w:tc>
        <w:tc>
          <w:tcPr>
            <w:tcW w:w="240" w:type="dxa"/>
            <w:vAlign w:val="bottom"/>
          </w:tcPr>
          <w:p>
            <w:pPr>
              <w:spacing w:after="0"/>
              <w:rPr>
                <w:sz w:val="24"/>
                <w:szCs w:val="24"/>
                <w:color w:val="auto"/>
              </w:rPr>
            </w:pPr>
          </w:p>
        </w:tc>
        <w:tc>
          <w:tcPr>
            <w:tcW w:w="9720" w:type="dxa"/>
            <w:vAlign w:val="bottom"/>
            <w:gridSpan w:val="33"/>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Form of SJW Group Restricted Stock Unit Award Agreement for Non-Employee Board Members. Incorporated by reference as</w:t>
              </w:r>
            </w:hyperlink>
          </w:p>
        </w:tc>
      </w:tr>
      <w:tr>
        <w:trPr>
          <w:trHeight w:val="155"/>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1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Exhibit 10.1 to Form 10-Q for the quarter ended June 30, 2017</w:t>
              </w:r>
              <w:r>
                <w:rPr>
                  <w:rFonts w:ascii="Times New Roman" w:cs="Times New Roman" w:eastAsia="Times New Roman" w:hAnsi="Times New Roman"/>
                  <w:sz w:val="18"/>
                  <w:szCs w:val="18"/>
                  <w:color w:val="000000"/>
                </w:rPr>
                <w:t>. (2)</w:t>
              </w:r>
            </w:hyperlink>
          </w:p>
        </w:tc>
        <w:tc>
          <w:tcPr>
            <w:tcW w:w="4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4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740" w:type="dxa"/>
            <w:vAlign w:val="bottom"/>
            <w:gridSpan w:val="8"/>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6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10.38</w:t>
            </w:r>
          </w:p>
        </w:tc>
        <w:tc>
          <w:tcPr>
            <w:tcW w:w="240" w:type="dxa"/>
            <w:vAlign w:val="bottom"/>
          </w:tcPr>
          <w:p>
            <w:pPr>
              <w:spacing w:after="0"/>
              <w:rPr>
                <w:sz w:val="24"/>
                <w:szCs w:val="24"/>
                <w:color w:val="auto"/>
              </w:rPr>
            </w:pPr>
          </w:p>
        </w:tc>
        <w:tc>
          <w:tcPr>
            <w:tcW w:w="972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Form of SJW Group Restricted Stock Unit Issuance Agreement (TSR Goals)</w:t>
            </w:r>
            <w:r>
              <w:rPr>
                <w:rFonts w:ascii="Times New Roman" w:cs="Times New Roman" w:eastAsia="Times New Roman" w:hAnsi="Times New Roman"/>
                <w:sz w:val="18"/>
                <w:szCs w:val="18"/>
                <w:color w:val="000000"/>
              </w:rPr>
              <w:t>. (1) (2)</w:t>
            </w: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920" w:type="dxa"/>
            <w:vAlign w:val="bottom"/>
            <w:gridSpan w:val="6"/>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740" w:type="dxa"/>
            <w:vAlign w:val="bottom"/>
            <w:tcBorders>
              <w:left w:val="single" w:sz="8" w:color="0000FF"/>
            </w:tcBorders>
            <w:gridSpan w:val="8"/>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10.39</w:t>
            </w:r>
          </w:p>
        </w:tc>
        <w:tc>
          <w:tcPr>
            <w:tcW w:w="240" w:type="dxa"/>
            <w:vAlign w:val="bottom"/>
          </w:tcPr>
          <w:p>
            <w:pPr>
              <w:spacing w:after="0"/>
              <w:rPr>
                <w:sz w:val="24"/>
                <w:szCs w:val="24"/>
                <w:color w:val="auto"/>
              </w:rPr>
            </w:pPr>
          </w:p>
        </w:tc>
        <w:tc>
          <w:tcPr>
            <w:tcW w:w="9720" w:type="dxa"/>
            <w:vAlign w:val="bottom"/>
            <w:gridSpan w:val="33"/>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Form of SJW Group Restricted Stock Unit Issuance Agreement. Incorporated by reference as Exhibit 10.52 to Form 10-K for the year</w:t>
              </w:r>
            </w:hyperlink>
          </w:p>
        </w:tc>
      </w:tr>
      <w:tr>
        <w:trPr>
          <w:trHeight w:val="155"/>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4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ended December 31, 2016</w:t>
              </w:r>
              <w:r>
                <w:rPr>
                  <w:rFonts w:ascii="Times New Roman" w:cs="Times New Roman" w:eastAsia="Times New Roman" w:hAnsi="Times New Roman"/>
                  <w:sz w:val="18"/>
                  <w:szCs w:val="18"/>
                  <w:color w:val="000000"/>
                </w:rPr>
                <w:t>. (2)</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740" w:type="dxa"/>
            <w:vAlign w:val="bottom"/>
            <w:gridSpan w:val="8"/>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10.40</w:t>
            </w:r>
          </w:p>
        </w:tc>
        <w:tc>
          <w:tcPr>
            <w:tcW w:w="240" w:type="dxa"/>
            <w:vAlign w:val="bottom"/>
          </w:tcPr>
          <w:p>
            <w:pPr>
              <w:spacing w:after="0"/>
              <w:rPr>
                <w:sz w:val="24"/>
                <w:szCs w:val="24"/>
                <w:color w:val="auto"/>
              </w:rPr>
            </w:pPr>
          </w:p>
        </w:tc>
        <w:tc>
          <w:tcPr>
            <w:tcW w:w="972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Form of SJW Group Restricted Stock Unit Issuance Agreement (ROE Goal)</w:t>
            </w:r>
            <w:r>
              <w:rPr>
                <w:rFonts w:ascii="Times New Roman" w:cs="Times New Roman" w:eastAsia="Times New Roman" w:hAnsi="Times New Roman"/>
                <w:sz w:val="18"/>
                <w:szCs w:val="18"/>
                <w:color w:val="000000"/>
              </w:rPr>
              <w:t>. (1) (2)</w:t>
            </w: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400" w:type="dxa"/>
            <w:vAlign w:val="bottom"/>
            <w:gridSpan w:val="8"/>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740" w:type="dxa"/>
            <w:vAlign w:val="bottom"/>
            <w:gridSpan w:val="8"/>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10.41</w:t>
            </w:r>
          </w:p>
        </w:tc>
        <w:tc>
          <w:tcPr>
            <w:tcW w:w="240" w:type="dxa"/>
            <w:vAlign w:val="bottom"/>
          </w:tcPr>
          <w:p>
            <w:pPr>
              <w:spacing w:after="0"/>
              <w:rPr>
                <w:sz w:val="24"/>
                <w:szCs w:val="24"/>
                <w:color w:val="auto"/>
              </w:rPr>
            </w:pPr>
          </w:p>
        </w:tc>
        <w:tc>
          <w:tcPr>
            <w:tcW w:w="9720" w:type="dxa"/>
            <w:vAlign w:val="bottom"/>
            <w:gridSpan w:val="33"/>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Form of Director and Officer Indemnification Agreement between SJW Group and its officers and Board members. Incorporated by</w:t>
              </w:r>
            </w:hyperlink>
          </w:p>
        </w:tc>
      </w:tr>
      <w:tr>
        <w:trPr>
          <w:trHeight w:val="155"/>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5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reference to Exhibit 10.1 to Form 8-K filed on November 15, 2016</w:t>
              </w:r>
              <w:r>
                <w:rPr>
                  <w:rFonts w:ascii="Times New Roman" w:cs="Times New Roman" w:eastAsia="Times New Roman" w:hAnsi="Times New Roman"/>
                  <w:sz w:val="18"/>
                  <w:szCs w:val="18"/>
                  <w:color w:val="000000"/>
                </w:rPr>
                <w:t>. (2)</w:t>
              </w:r>
            </w:hyperlink>
          </w:p>
        </w:tc>
        <w:tc>
          <w:tcPr>
            <w:tcW w:w="12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400" w:type="dxa"/>
            <w:vAlign w:val="bottom"/>
            <w:gridSpan w:val="8"/>
            <w:shd w:val="clear" w:color="auto" w:fill="0000FF"/>
          </w:tcPr>
          <w:p>
            <w:pPr>
              <w:spacing w:after="0" w:line="20" w:lineRule="exact"/>
              <w:rPr>
                <w:sz w:val="1"/>
                <w:szCs w:val="1"/>
                <w:color w:val="auto"/>
              </w:rPr>
            </w:pPr>
          </w:p>
        </w:tc>
        <w:tc>
          <w:tcPr>
            <w:tcW w:w="4420" w:type="dxa"/>
            <w:vAlign w:val="bottom"/>
            <w:gridSpan w:val="1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10.42</w:t>
            </w:r>
          </w:p>
        </w:tc>
        <w:tc>
          <w:tcPr>
            <w:tcW w:w="240" w:type="dxa"/>
            <w:vAlign w:val="bottom"/>
          </w:tcPr>
          <w:p>
            <w:pPr>
              <w:spacing w:after="0"/>
              <w:rPr>
                <w:sz w:val="24"/>
                <w:szCs w:val="24"/>
                <w:color w:val="auto"/>
              </w:rPr>
            </w:pPr>
          </w:p>
        </w:tc>
        <w:tc>
          <w:tcPr>
            <w:tcW w:w="972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Trust Agreement for The Connecticut Water Company Welfare Benefits Plan (VEBA) dated January 1, 1989. Incorporated by</w:t>
            </w:r>
          </w:p>
        </w:tc>
      </w:tr>
      <w:tr>
        <w:trPr>
          <w:trHeight w:val="234"/>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2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reference to Exhibit 10.21 to Connecticut Water Service, Inc.’s Form 10-K for the year ended December 31, 1989. (2)</w:t>
            </w:r>
          </w:p>
        </w:tc>
      </w:tr>
      <w:tr>
        <w:trPr>
          <w:trHeight w:val="34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10.43</w:t>
            </w:r>
          </w:p>
        </w:tc>
        <w:tc>
          <w:tcPr>
            <w:tcW w:w="240" w:type="dxa"/>
            <w:vAlign w:val="bottom"/>
          </w:tcPr>
          <w:p>
            <w:pPr>
              <w:spacing w:after="0"/>
              <w:rPr>
                <w:sz w:val="24"/>
                <w:szCs w:val="24"/>
                <w:color w:val="auto"/>
              </w:rPr>
            </w:pPr>
          </w:p>
        </w:tc>
        <w:tc>
          <w:tcPr>
            <w:tcW w:w="922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Amended and Restated Supplemental Executive Retirement Agreement dated January 24, 2008 between The Connecticut Water</w:t>
              </w:r>
            </w:hyperlink>
          </w:p>
        </w:tc>
        <w:tc>
          <w:tcPr>
            <w:tcW w:w="500" w:type="dxa"/>
            <w:vAlign w:val="bottom"/>
            <w:gridSpan w:val="14"/>
          </w:tcPr>
          <w:p>
            <w:pPr>
              <w:spacing w:after="0"/>
              <w:rPr>
                <w:sz w:val="24"/>
                <w:szCs w:val="24"/>
                <w:color w:val="auto"/>
              </w:rPr>
            </w:pPr>
          </w:p>
        </w:tc>
      </w:tr>
      <w:tr>
        <w:trPr>
          <w:trHeight w:val="183"/>
        </w:trPr>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720" w:type="dxa"/>
            <w:vAlign w:val="bottom"/>
            <w:gridSpan w:val="33"/>
          </w:tcPr>
          <w:p>
            <w:pPr>
              <w:spacing w:after="0" w:line="182"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 xml:space="preserve">Company and Eric W. Thornburg. Incorporated by reference to Exhibit 10.73 to Form 10-K for the year ended December 31, 2020 </w:t>
              </w:r>
            </w:hyperlink>
            <w:r>
              <w:rPr>
                <w:rFonts w:ascii="Times New Roman" w:cs="Times New Roman" w:eastAsia="Times New Roman" w:hAnsi="Times New Roman"/>
                <w:sz w:val="18"/>
                <w:szCs w:val="18"/>
                <w:color w:val="000000"/>
              </w:rPr>
              <w:t>(2)</w:t>
            </w: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000" w:type="dxa"/>
            <w:vAlign w:val="bottom"/>
            <w:gridSpan w:val="21"/>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10.44</w:t>
            </w:r>
          </w:p>
        </w:tc>
        <w:tc>
          <w:tcPr>
            <w:tcW w:w="240" w:type="dxa"/>
            <w:vAlign w:val="bottom"/>
          </w:tcPr>
          <w:p>
            <w:pPr>
              <w:spacing w:after="0"/>
              <w:rPr>
                <w:sz w:val="24"/>
                <w:szCs w:val="24"/>
                <w:color w:val="auto"/>
              </w:rPr>
            </w:pPr>
          </w:p>
        </w:tc>
        <w:tc>
          <w:tcPr>
            <w:tcW w:w="9720" w:type="dxa"/>
            <w:vAlign w:val="bottom"/>
            <w:gridSpan w:val="33"/>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Amended and Restated Supplemental Executive Retirement Agreement dated November 15, 2017 between The Connecticut Water</w:t>
              </w:r>
            </w:hyperlink>
          </w:p>
        </w:tc>
      </w:tr>
      <w:tr>
        <w:trPr>
          <w:trHeight w:val="169"/>
        </w:trPr>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2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Company and Kristen A. Johnson. Incorporated by reference to Exhibit 10.75 to Form 10-K for the year ended December 31, 2019</w:t>
              </w:r>
            </w:hyperlink>
          </w:p>
        </w:tc>
        <w:tc>
          <w:tcPr>
            <w:tcW w:w="200" w:type="dxa"/>
            <w:vAlign w:val="bottom"/>
            <w:gridSpan w:val="5"/>
          </w:tcPr>
          <w:p>
            <w:pPr>
              <w:jc w:val="right"/>
              <w:ind w:right="160"/>
              <w:spacing w:after="0"/>
              <w:rPr>
                <w:sz w:val="20"/>
                <w:szCs w:val="20"/>
                <w:color w:val="auto"/>
              </w:rPr>
            </w:pPr>
            <w:r>
              <w:rPr>
                <w:rFonts w:ascii="Times New Roman" w:cs="Times New Roman" w:eastAsia="Times New Roman" w:hAnsi="Times New Roman"/>
                <w:sz w:val="11"/>
                <w:szCs w:val="11"/>
                <w:color w:val="auto"/>
                <w:w w:val="70"/>
              </w:rPr>
              <w:t>.</w:t>
            </w: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28"/>
        </w:trPr>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52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48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480" w:type="dxa"/>
            <w:vAlign w:val="bottom"/>
            <w:tcBorders>
              <w:top w:val="single" w:sz="8" w:color="0000FF"/>
            </w:tcBorders>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4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10.45</w:t>
            </w:r>
          </w:p>
        </w:tc>
        <w:tc>
          <w:tcPr>
            <w:tcW w:w="240" w:type="dxa"/>
            <w:vAlign w:val="bottom"/>
          </w:tcPr>
          <w:p>
            <w:pPr>
              <w:spacing w:after="0"/>
              <w:rPr>
                <w:sz w:val="24"/>
                <w:szCs w:val="24"/>
                <w:color w:val="auto"/>
              </w:rPr>
            </w:pPr>
          </w:p>
        </w:tc>
        <w:tc>
          <w:tcPr>
            <w:tcW w:w="9720" w:type="dxa"/>
            <w:vAlign w:val="bottom"/>
            <w:gridSpan w:val="33"/>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Amendment to the Amended and Restated Supplemental Executive Retirement Agreement effective as of November 1, 2019 between</w:t>
              </w:r>
            </w:hyperlink>
          </w:p>
        </w:tc>
      </w:tr>
      <w:tr>
        <w:trPr>
          <w:trHeight w:val="169"/>
        </w:trPr>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20" w:type="dxa"/>
            <w:vAlign w:val="bottom"/>
            <w:tcBorders>
              <w:top w:val="single" w:sz="8" w:color="0000FF"/>
              <w:bottom w:val="single" w:sz="8" w:color="0000FF"/>
            </w:tcBorders>
            <w:gridSpan w:val="28"/>
          </w:tcPr>
          <w:p>
            <w:pPr>
              <w:spacing w:after="0" w:line="169" w:lineRule="exact"/>
              <w:rPr>
                <w:rFonts w:ascii="Times New Roman" w:cs="Times New Roman" w:eastAsia="Times New Roman" w:hAnsi="Times New Roman"/>
                <w:sz w:val="18"/>
                <w:szCs w:val="18"/>
                <w:color w:val="0000FF"/>
                <w:w w:val="98"/>
              </w:rPr>
            </w:pPr>
            <w:hyperlink r:id="rId163">
              <w:r>
                <w:rPr>
                  <w:rFonts w:ascii="Times New Roman" w:cs="Times New Roman" w:eastAsia="Times New Roman" w:hAnsi="Times New Roman"/>
                  <w:sz w:val="18"/>
                  <w:szCs w:val="18"/>
                  <w:color w:val="0000FF"/>
                  <w:w w:val="98"/>
                </w:rPr>
                <w:t>Kristen A. Johnson and The Connecticut Water Company. Incorporated by reference to Exhibit 10.77 to Form 10-K for the year ended</w:t>
              </w:r>
            </w:hyperlink>
          </w:p>
        </w:tc>
        <w:tc>
          <w:tcPr>
            <w:tcW w:w="60" w:type="dxa"/>
            <w:vAlign w:val="bottom"/>
            <w:tcBorders>
              <w:bottom w:val="single" w:sz="8" w:color="0000FF"/>
            </w:tcBorders>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83"/>
        </w:trPr>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80" w:type="dxa"/>
            <w:vAlign w:val="bottom"/>
            <w:gridSpan w:val="31"/>
          </w:tcPr>
          <w:p>
            <w:pPr>
              <w:spacing w:after="0" w:line="182"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December 31, 2019</w:t>
              </w:r>
              <w:r>
                <w:rPr>
                  <w:rFonts w:ascii="Times New Roman" w:cs="Times New Roman" w:eastAsia="Times New Roman" w:hAnsi="Times New Roman"/>
                  <w:sz w:val="18"/>
                  <w:szCs w:val="18"/>
                  <w:color w:val="000000"/>
                </w:rPr>
                <w:t>. (2)</w:t>
              </w:r>
            </w:hyperlink>
          </w:p>
        </w:tc>
        <w:tc>
          <w:tcPr>
            <w:tcW w:w="40" w:type="dxa"/>
            <w:vAlign w:val="bottom"/>
            <w:gridSpan w:val="2"/>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0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r>
      <w:tr>
        <w:trPr>
          <w:trHeight w:val="911"/>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10.46</w:t>
            </w:r>
          </w:p>
        </w:tc>
        <w:tc>
          <w:tcPr>
            <w:tcW w:w="240" w:type="dxa"/>
            <w:vAlign w:val="bottom"/>
          </w:tcPr>
          <w:p>
            <w:pPr>
              <w:spacing w:after="0"/>
              <w:rPr>
                <w:sz w:val="24"/>
                <w:szCs w:val="24"/>
                <w:color w:val="auto"/>
              </w:rPr>
            </w:pPr>
          </w:p>
        </w:tc>
        <w:tc>
          <w:tcPr>
            <w:tcW w:w="9720" w:type="dxa"/>
            <w:vAlign w:val="bottom"/>
            <w:gridSpan w:val="35"/>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Grantor Trust Agreement dated May 1, 2017, between Connecticut Water Service, Inc. and Matrix Trust Company. Incorporated by</w:t>
              </w:r>
            </w:hyperlink>
          </w:p>
        </w:tc>
      </w:tr>
      <w:tr>
        <w:trPr>
          <w:trHeight w:val="169"/>
        </w:trPr>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8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reference to Exhibit 10.78 to Form 10-K for the year ended December 31, 2019</w:t>
              </w:r>
              <w:r>
                <w:rPr>
                  <w:rFonts w:ascii="Times New Roman" w:cs="Times New Roman" w:eastAsia="Times New Roman" w:hAnsi="Times New Roman"/>
                  <w:sz w:val="18"/>
                  <w:szCs w:val="18"/>
                  <w:color w:val="000000"/>
                </w:rPr>
                <w:t>. (2)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10.47</w:t>
            </w:r>
          </w:p>
        </w:tc>
        <w:tc>
          <w:tcPr>
            <w:tcW w:w="240" w:type="dxa"/>
            <w:vAlign w:val="bottom"/>
          </w:tcPr>
          <w:p>
            <w:pPr>
              <w:spacing w:after="0"/>
              <w:rPr>
                <w:sz w:val="24"/>
                <w:szCs w:val="24"/>
                <w:color w:val="auto"/>
              </w:rPr>
            </w:pPr>
          </w:p>
        </w:tc>
        <w:tc>
          <w:tcPr>
            <w:tcW w:w="9720" w:type="dxa"/>
            <w:vAlign w:val="bottom"/>
            <w:gridSpan w:val="35"/>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Deferred Compensation Agreement dated December 8, 2011 between The Connecticut Water Company and Eric W. Thornburg.</w:t>
              </w:r>
            </w:hyperlink>
          </w:p>
        </w:tc>
      </w:tr>
      <w:tr>
        <w:trPr>
          <w:trHeight w:val="183"/>
        </w:trPr>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0" w:type="dxa"/>
            <w:vAlign w:val="bottom"/>
            <w:tcBorders>
              <w:top w:val="single" w:sz="8" w:color="0000FF"/>
            </w:tcBorders>
            <w:gridSpan w:val="15"/>
          </w:tcPr>
          <w:p>
            <w:pPr>
              <w:spacing w:after="0" w:line="182"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Incorporated by reference to Exhibit 10.78 to Form 10-K for the year ended December 31, 2020</w:t>
              </w:r>
              <w:r>
                <w:rPr>
                  <w:rFonts w:ascii="Times New Roman" w:cs="Times New Roman" w:eastAsia="Times New Roman" w:hAnsi="Times New Roman"/>
                  <w:sz w:val="18"/>
                  <w:szCs w:val="18"/>
                  <w:color w:val="000000"/>
                </w:rPr>
                <w:t>. (2)</w:t>
              </w:r>
            </w:hyperlink>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10.48</w:t>
            </w:r>
          </w:p>
        </w:tc>
        <w:tc>
          <w:tcPr>
            <w:tcW w:w="240" w:type="dxa"/>
            <w:vAlign w:val="bottom"/>
          </w:tcPr>
          <w:p>
            <w:pPr>
              <w:spacing w:after="0"/>
              <w:rPr>
                <w:sz w:val="24"/>
                <w:szCs w:val="24"/>
                <w:color w:val="auto"/>
              </w:rPr>
            </w:pPr>
          </w:p>
        </w:tc>
        <w:tc>
          <w:tcPr>
            <w:tcW w:w="9720" w:type="dxa"/>
            <w:vAlign w:val="bottom"/>
            <w:gridSpan w:val="35"/>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Amended and Restated Deferred Compensation Agreement, effective January 1, 2011, between The Connecticut Water Company and</w:t>
              </w:r>
            </w:hyperlink>
          </w:p>
        </w:tc>
      </w:tr>
      <w:tr>
        <w:trPr>
          <w:trHeight w:val="169"/>
        </w:trPr>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40" w:type="dxa"/>
            <w:vAlign w:val="bottom"/>
            <w:tcBorders>
              <w:top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Kristen A. Johnson. Incorporated by reference to Exhibit 10.80 to Form 10-K for the year ended December 31, 2019</w:t>
              </w:r>
              <w:r>
                <w:rPr>
                  <w:rFonts w:ascii="Times New Roman" w:cs="Times New Roman" w:eastAsia="Times New Roman" w:hAnsi="Times New Roman"/>
                  <w:sz w:val="18"/>
                  <w:szCs w:val="18"/>
                  <w:color w:val="000000"/>
                </w:rPr>
                <w:t>. (2)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10.49</w:t>
            </w:r>
          </w:p>
        </w:tc>
        <w:tc>
          <w:tcPr>
            <w:tcW w:w="240" w:type="dxa"/>
            <w:vAlign w:val="bottom"/>
          </w:tcPr>
          <w:p>
            <w:pPr>
              <w:spacing w:after="0"/>
              <w:rPr>
                <w:sz w:val="24"/>
                <w:szCs w:val="24"/>
                <w:color w:val="auto"/>
              </w:rPr>
            </w:pPr>
          </w:p>
        </w:tc>
        <w:tc>
          <w:tcPr>
            <w:tcW w:w="9720" w:type="dxa"/>
            <w:vAlign w:val="bottom"/>
            <w:gridSpan w:val="35"/>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First Amendment to the Amended and Restated Deferred Compensation Agreement, dated as of December 1, 2011, among Kristen A.</w:t>
              </w:r>
            </w:hyperlink>
          </w:p>
        </w:tc>
      </w:tr>
      <w:tr>
        <w:trPr>
          <w:trHeight w:val="169"/>
        </w:trPr>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700" w:type="dxa"/>
            <w:vAlign w:val="bottom"/>
            <w:tcBorders>
              <w:top w:val="single" w:sz="8" w:color="0000FF"/>
              <w:bottom w:val="single" w:sz="8" w:color="0000FF"/>
            </w:tcBorders>
            <w:gridSpan w:val="33"/>
          </w:tcPr>
          <w:p>
            <w:pPr>
              <w:spacing w:after="0" w:line="169" w:lineRule="exact"/>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Johnson and The Connecticut Water Company. Incorporated by reference to Exhibit 10.82 to Form 10-K for the year ended December</w:t>
              </w:r>
            </w:hyperlink>
          </w:p>
        </w:tc>
        <w:tc>
          <w:tcPr>
            <w:tcW w:w="20" w:type="dxa"/>
            <w:vAlign w:val="bottom"/>
            <w:tcBorders>
              <w:bottom w:val="single" w:sz="8" w:color="0000FF"/>
            </w:tcBorders>
          </w:tcPr>
          <w:p>
            <w:pPr>
              <w:spacing w:after="0"/>
              <w:rPr>
                <w:sz w:val="14"/>
                <w:szCs w:val="14"/>
                <w:color w:val="auto"/>
              </w:rPr>
            </w:pPr>
          </w:p>
        </w:tc>
        <w:tc>
          <w:tcPr>
            <w:tcW w:w="0" w:type="dxa"/>
            <w:vAlign w:val="bottom"/>
            <w:tcBorders>
              <w:bottom w:val="single" w:sz="8" w:color="0000FF"/>
            </w:tcBorders>
          </w:tcPr>
          <w:p>
            <w:pPr>
              <w:spacing w:after="0"/>
              <w:rPr>
                <w:sz w:val="14"/>
                <w:szCs w:val="14"/>
                <w:color w:val="auto"/>
              </w:rPr>
            </w:pPr>
          </w:p>
        </w:tc>
      </w:tr>
      <w:tr>
        <w:trPr>
          <w:trHeight w:val="183"/>
        </w:trPr>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3"/>
          </w:tcPr>
          <w:p>
            <w:pPr>
              <w:spacing w:after="0" w:line="182"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31, 2019</w:t>
              </w:r>
              <w:r>
                <w:rPr>
                  <w:rFonts w:ascii="Times New Roman" w:cs="Times New Roman" w:eastAsia="Times New Roman" w:hAnsi="Times New Roman"/>
                  <w:sz w:val="18"/>
                  <w:szCs w:val="18"/>
                  <w:color w:val="000000"/>
                </w:rPr>
                <w:t>. (2)</w:t>
              </w:r>
            </w:hyperlink>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10.50</w:t>
            </w:r>
          </w:p>
        </w:tc>
        <w:tc>
          <w:tcPr>
            <w:tcW w:w="240" w:type="dxa"/>
            <w:vAlign w:val="bottom"/>
          </w:tcPr>
          <w:p>
            <w:pPr>
              <w:spacing w:after="0"/>
              <w:rPr>
                <w:sz w:val="24"/>
                <w:szCs w:val="24"/>
                <w:color w:val="auto"/>
              </w:rPr>
            </w:pPr>
          </w:p>
        </w:tc>
        <w:tc>
          <w:tcPr>
            <w:tcW w:w="9720" w:type="dxa"/>
            <w:vAlign w:val="bottom"/>
            <w:gridSpan w:val="35"/>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Second Amendment to the Amended and Restated Deferred Compensation Agreement, dated as of December 20, 2016, between the</w:t>
              </w:r>
            </w:hyperlink>
          </w:p>
        </w:tc>
      </w:tr>
      <w:tr>
        <w:trPr>
          <w:trHeight w:val="169"/>
        </w:trPr>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52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Connecticut Water Company and Kristen A. Johnson. Incorporated by reference to Exhibit 10.86 to Form 10-K for the year ended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4"/>
                <w:szCs w:val="14"/>
                <w:color w:val="auto"/>
              </w:rPr>
            </w:pPr>
          </w:p>
        </w:tc>
      </w:tr>
      <w:tr>
        <w:trPr>
          <w:trHeight w:val="183"/>
        </w:trPr>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360" w:type="dxa"/>
            <w:vAlign w:val="bottom"/>
            <w:tcBorders>
              <w:top w:val="single" w:sz="8" w:color="0000FF"/>
            </w:tcBorders>
            <w:gridSpan w:val="16"/>
          </w:tcPr>
          <w:p>
            <w:pPr>
              <w:spacing w:after="0" w:line="182"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December 31, 2019</w:t>
              </w:r>
              <w:r>
                <w:rPr>
                  <w:rFonts w:ascii="Times New Roman" w:cs="Times New Roman" w:eastAsia="Times New Roman" w:hAnsi="Times New Roman"/>
                  <w:sz w:val="18"/>
                  <w:szCs w:val="18"/>
                  <w:color w:val="000000"/>
                </w:rPr>
                <w:t>. (2)</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10.51</w:t>
            </w:r>
          </w:p>
        </w:tc>
        <w:tc>
          <w:tcPr>
            <w:tcW w:w="240" w:type="dxa"/>
            <w:vAlign w:val="bottom"/>
          </w:tcPr>
          <w:p>
            <w:pPr>
              <w:spacing w:after="0"/>
              <w:rPr>
                <w:sz w:val="24"/>
                <w:szCs w:val="24"/>
                <w:color w:val="auto"/>
              </w:rPr>
            </w:pPr>
          </w:p>
        </w:tc>
        <w:tc>
          <w:tcPr>
            <w:tcW w:w="9720" w:type="dxa"/>
            <w:vAlign w:val="bottom"/>
            <w:gridSpan w:val="35"/>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Connecticut Water Company Deferred Compensation Plan, effective January 1, 2017. Incorporated by reference to Exhibit 10.1 to</w:t>
              </w:r>
            </w:hyperlink>
          </w:p>
        </w:tc>
      </w:tr>
      <w:tr>
        <w:trPr>
          <w:trHeight w:val="155"/>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3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Connecticut Water Service, Inc.’s Form 8-K filed on December 16, 2016</w:t>
              </w:r>
              <w:r>
                <w:rPr>
                  <w:rFonts w:ascii="Times New Roman" w:cs="Times New Roman" w:eastAsia="Times New Roman" w:hAnsi="Times New Roman"/>
                  <w:sz w:val="18"/>
                  <w:szCs w:val="18"/>
                  <w:color w:val="000000"/>
                </w:rPr>
                <w:t>. (2)</w:t>
              </w:r>
            </w:hyperlink>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10.52</w:t>
            </w:r>
          </w:p>
        </w:tc>
        <w:tc>
          <w:tcPr>
            <w:tcW w:w="240" w:type="dxa"/>
            <w:vAlign w:val="bottom"/>
          </w:tcPr>
          <w:p>
            <w:pPr>
              <w:spacing w:after="0"/>
              <w:rPr>
                <w:sz w:val="24"/>
                <w:szCs w:val="24"/>
                <w:color w:val="auto"/>
              </w:rPr>
            </w:pPr>
          </w:p>
        </w:tc>
        <w:tc>
          <w:tcPr>
            <w:tcW w:w="9720" w:type="dxa"/>
            <w:vAlign w:val="bottom"/>
            <w:gridSpan w:val="35"/>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First Amendment, effective October 9, 2019, to the Connecticut Water Company Deferred Compensation Plan, dated January 1, 2017.</w:t>
              </w:r>
            </w:hyperlink>
          </w:p>
        </w:tc>
      </w:tr>
      <w:tr>
        <w:trPr>
          <w:trHeight w:val="169"/>
        </w:trPr>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720" w:type="dxa"/>
            <w:vAlign w:val="bottom"/>
            <w:tcBorders>
              <w:top w:val="single" w:sz="8" w:color="0000FF"/>
            </w:tcBorders>
            <w:gridSpan w:val="34"/>
          </w:tcPr>
          <w:p>
            <w:pPr>
              <w:spacing w:after="0" w:line="169"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Incorporated by reference to Exhibit 10.89 to Form 10-K for the year ended December 31, 2019</w:t>
              </w:r>
              <w:r>
                <w:rPr>
                  <w:rFonts w:ascii="Times New Roman" w:cs="Times New Roman" w:eastAsia="Times New Roman" w:hAnsi="Times New Roman"/>
                  <w:sz w:val="18"/>
                  <w:szCs w:val="18"/>
                  <w:color w:val="000000"/>
                </w:rPr>
                <w:t>. (2)</w:t>
              </w:r>
            </w:hyperlink>
          </w:p>
        </w:tc>
        <w:tc>
          <w:tcPr>
            <w:tcW w:w="0" w:type="dxa"/>
            <w:vAlign w:val="bottom"/>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r>
      <w:tr>
        <w:trPr>
          <w:trHeight w:val="385"/>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10.53</w:t>
            </w:r>
          </w:p>
        </w:tc>
        <w:tc>
          <w:tcPr>
            <w:tcW w:w="240" w:type="dxa"/>
            <w:vAlign w:val="bottom"/>
          </w:tcPr>
          <w:p>
            <w:pPr>
              <w:spacing w:after="0"/>
              <w:rPr>
                <w:sz w:val="24"/>
                <w:szCs w:val="24"/>
                <w:color w:val="auto"/>
              </w:rPr>
            </w:pPr>
          </w:p>
        </w:tc>
        <w:tc>
          <w:tcPr>
            <w:tcW w:w="9720" w:type="dxa"/>
            <w:vAlign w:val="bottom"/>
            <w:gridSpan w:val="35"/>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Second Amendment, effective October 9, 2019, to the Connecticut Water Company Deferred Compensation Plan, dated January 1,</w:t>
              </w:r>
            </w:hyperlink>
          </w:p>
        </w:tc>
      </w:tr>
      <w:tr>
        <w:trPr>
          <w:trHeight w:val="169"/>
        </w:trPr>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2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2017. Incorporated by reference to Exhibit 10.90 to Form 10-K for the year ended December 31, 2019</w:t>
              </w:r>
              <w:r>
                <w:rPr>
                  <w:rFonts w:ascii="Times New Roman" w:cs="Times New Roman" w:eastAsia="Times New Roman" w:hAnsi="Times New Roman"/>
                  <w:sz w:val="18"/>
                  <w:szCs w:val="18"/>
                  <w:color w:val="000000"/>
                </w:rPr>
                <w:t>. (2)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3"/>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r>
      <w:tr>
        <w:trPr>
          <w:trHeight w:val="385"/>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10.54</w:t>
            </w:r>
          </w:p>
        </w:tc>
        <w:tc>
          <w:tcPr>
            <w:tcW w:w="240" w:type="dxa"/>
            <w:vAlign w:val="bottom"/>
          </w:tcPr>
          <w:p>
            <w:pPr>
              <w:spacing w:after="0"/>
              <w:rPr>
                <w:sz w:val="24"/>
                <w:szCs w:val="24"/>
                <w:color w:val="auto"/>
              </w:rPr>
            </w:pPr>
          </w:p>
        </w:tc>
        <w:tc>
          <w:tcPr>
            <w:tcW w:w="9720" w:type="dxa"/>
            <w:vAlign w:val="bottom"/>
            <w:gridSpan w:val="35"/>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Third Amendment, effective July 28, 2021, to the Connecticut Water Company Deferred Compensation Plan, dated January 1, 2017.</w:t>
              </w:r>
            </w:hyperlink>
          </w:p>
        </w:tc>
      </w:tr>
      <w:tr>
        <w:trPr>
          <w:trHeight w:val="169"/>
        </w:trPr>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54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Incorporated by reference as Exhibit 10.2 to Form 10-Q for the quarter ended June 30, 202</w:t>
              </w:r>
              <w:r>
                <w:rPr>
                  <w:rFonts w:ascii="Times New Roman" w:cs="Times New Roman" w:eastAsia="Times New Roman" w:hAnsi="Times New Roman"/>
                  <w:sz w:val="18"/>
                  <w:szCs w:val="18"/>
                  <w:color w:val="000000"/>
                </w:rPr>
                <w:t>1. (2)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3"/>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r>
      <w:tr>
        <w:trPr>
          <w:trHeight w:val="385"/>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10.55</w:t>
            </w:r>
          </w:p>
        </w:tc>
        <w:tc>
          <w:tcPr>
            <w:tcW w:w="240" w:type="dxa"/>
            <w:vAlign w:val="bottom"/>
          </w:tcPr>
          <w:p>
            <w:pPr>
              <w:spacing w:after="0"/>
              <w:rPr>
                <w:sz w:val="24"/>
                <w:szCs w:val="24"/>
                <w:color w:val="auto"/>
              </w:rPr>
            </w:pPr>
          </w:p>
        </w:tc>
        <w:tc>
          <w:tcPr>
            <w:tcW w:w="9720" w:type="dxa"/>
            <w:vAlign w:val="bottom"/>
            <w:gridSpan w:val="35"/>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Amended and Restated Employment Agreement, dated December 30, 2008, among The Connecticut Water Company, Connecticut</w:t>
              </w:r>
            </w:hyperlink>
          </w:p>
        </w:tc>
      </w:tr>
      <w:tr>
        <w:trPr>
          <w:trHeight w:val="155"/>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w w:val="98"/>
              </w:rPr>
            </w:pPr>
            <w:hyperlink r:id="rId174">
              <w:r>
                <w:rPr>
                  <w:rFonts w:ascii="Times New Roman" w:cs="Times New Roman" w:eastAsia="Times New Roman" w:hAnsi="Times New Roman"/>
                  <w:sz w:val="18"/>
                  <w:szCs w:val="18"/>
                  <w:color w:val="0000FF"/>
                  <w:w w:val="98"/>
                </w:rPr>
                <w:t>Water Service, Inc., and Kristen A. Johnson. Incorporated by reference to Exhibit 10.94 to Form 10-K for the year ended December</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3"/>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spacing w:after="0" w:line="169"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31, 2019</w:t>
              </w:r>
              <w:r>
                <w:rPr>
                  <w:rFonts w:ascii="Times New Roman" w:cs="Times New Roman" w:eastAsia="Times New Roman" w:hAnsi="Times New Roman"/>
                  <w:sz w:val="18"/>
                  <w:szCs w:val="18"/>
                  <w:color w:val="000000"/>
                </w:rPr>
                <w:t>. (2)</w:t>
              </w:r>
            </w:hyperlink>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r>
      <w:tr>
        <w:trPr>
          <w:trHeight w:val="358"/>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10.56</w:t>
            </w:r>
          </w:p>
        </w:tc>
        <w:tc>
          <w:tcPr>
            <w:tcW w:w="240" w:type="dxa"/>
            <w:vAlign w:val="bottom"/>
          </w:tcPr>
          <w:p>
            <w:pPr>
              <w:spacing w:after="0"/>
              <w:rPr>
                <w:sz w:val="24"/>
                <w:szCs w:val="24"/>
                <w:color w:val="auto"/>
              </w:rPr>
            </w:pPr>
          </w:p>
        </w:tc>
        <w:tc>
          <w:tcPr>
            <w:tcW w:w="9720" w:type="dxa"/>
            <w:vAlign w:val="bottom"/>
            <w:gridSpan w:val="35"/>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First Amendment to Amended and Restated Employment Agreement, dated March 8, 2013, among The Connecticut Water Company,</w:t>
              </w:r>
            </w:hyperlink>
          </w:p>
        </w:tc>
      </w:tr>
      <w:tr>
        <w:trPr>
          <w:trHeight w:val="155"/>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Connecticut Water Service, Inc. and Kristen A. Johnson. Incorporated by reference to Exhibit 10.17 to Connecticut Water Service,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3"/>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Inc.’s Form 10-K for the year ended December 31, 2012</w:t>
              </w:r>
              <w:r>
                <w:rPr>
                  <w:rFonts w:ascii="Times New Roman" w:cs="Times New Roman" w:eastAsia="Times New Roman" w:hAnsi="Times New Roman"/>
                  <w:sz w:val="18"/>
                  <w:szCs w:val="18"/>
                  <w:color w:val="000000"/>
                </w:rPr>
                <w:t>. (2)</w:t>
              </w:r>
            </w:hyperlink>
          </w:p>
        </w:tc>
        <w:tc>
          <w:tcPr>
            <w:tcW w:w="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3"/>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r>
      <w:tr>
        <w:trPr>
          <w:trHeight w:val="358"/>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10.57</w:t>
            </w:r>
          </w:p>
        </w:tc>
        <w:tc>
          <w:tcPr>
            <w:tcW w:w="240" w:type="dxa"/>
            <w:vAlign w:val="bottom"/>
          </w:tcPr>
          <w:p>
            <w:pPr>
              <w:spacing w:after="0"/>
              <w:rPr>
                <w:sz w:val="24"/>
                <w:szCs w:val="24"/>
                <w:color w:val="auto"/>
              </w:rPr>
            </w:pPr>
          </w:p>
        </w:tc>
        <w:tc>
          <w:tcPr>
            <w:tcW w:w="94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Form of Second Amendment to Employment Agreement, dated April 2014, among The Connecticut Water Company, Connecticut</w:t>
              </w:r>
            </w:hyperlink>
          </w:p>
        </w:tc>
        <w:tc>
          <w:tcPr>
            <w:tcW w:w="320" w:type="dxa"/>
            <w:vAlign w:val="bottom"/>
            <w:gridSpan w:val="16"/>
          </w:tcPr>
          <w:p>
            <w:pPr>
              <w:spacing w:after="0"/>
              <w:rPr>
                <w:sz w:val="24"/>
                <w:szCs w:val="24"/>
                <w:color w:val="auto"/>
              </w:rPr>
            </w:pPr>
          </w:p>
        </w:tc>
      </w:tr>
      <w:tr>
        <w:trPr>
          <w:trHeight w:val="155"/>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720" w:type="dxa"/>
            <w:vAlign w:val="bottom"/>
            <w:gridSpan w:val="35"/>
          </w:tcPr>
          <w:p>
            <w:pPr>
              <w:spacing w:after="0" w:line="15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Water Service, Inc. and Kristen A. Johnson. Incorporated by reference to Exhibit 10.2 to Connecticut Water Service, Inc.'s Form 8-K</w:t>
              </w:r>
            </w:hyperlink>
          </w:p>
        </w:tc>
      </w:tr>
      <w:tr>
        <w:trPr>
          <w:trHeight w:val="169"/>
        </w:trPr>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56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filed on April 3, 2014</w:t>
              </w:r>
              <w:r>
                <w:rPr>
                  <w:rFonts w:ascii="Times New Roman" w:cs="Times New Roman" w:eastAsia="Times New Roman" w:hAnsi="Times New Roman"/>
                  <w:sz w:val="18"/>
                  <w:szCs w:val="18"/>
                  <w:color w:val="000000"/>
                </w:rPr>
                <w:t>. (2)</w:t>
              </w:r>
            </w:hyperlink>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3"/>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6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r>
      <w:tr>
        <w:trPr>
          <w:trHeight w:val="358"/>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10.58</w:t>
            </w:r>
          </w:p>
        </w:tc>
        <w:tc>
          <w:tcPr>
            <w:tcW w:w="240" w:type="dxa"/>
            <w:vAlign w:val="bottom"/>
          </w:tcPr>
          <w:p>
            <w:pPr>
              <w:spacing w:after="0"/>
              <w:rPr>
                <w:sz w:val="24"/>
                <w:szCs w:val="24"/>
                <w:color w:val="auto"/>
              </w:rPr>
            </w:pPr>
          </w:p>
        </w:tc>
        <w:tc>
          <w:tcPr>
            <w:tcW w:w="9720" w:type="dxa"/>
            <w:vAlign w:val="bottom"/>
            <w:gridSpan w:val="35"/>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Third Amendment to the Amended and Restated Employment Agreement, effective as of November 1, 2019, among The Connecticut</w:t>
              </w:r>
            </w:hyperlink>
          </w:p>
        </w:tc>
      </w:tr>
      <w:tr>
        <w:trPr>
          <w:trHeight w:val="169"/>
        </w:trPr>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6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Water Company, Connecticut Water Service, Inc. and Kristen A. Johnson. Incorporated by reference to Exhibit 10.97 to Form 10-K</w:t>
              </w:r>
            </w:hyperlink>
          </w:p>
        </w:tc>
        <w:tc>
          <w:tcPr>
            <w:tcW w:w="20" w:type="dxa"/>
            <w:vAlign w:val="bottom"/>
          </w:tcPr>
          <w:p>
            <w:pPr>
              <w:spacing w:after="0"/>
              <w:rPr>
                <w:sz w:val="14"/>
                <w:szCs w:val="14"/>
                <w:color w:val="auto"/>
              </w:rPr>
            </w:pPr>
          </w:p>
        </w:tc>
        <w:tc>
          <w:tcPr>
            <w:tcW w:w="40" w:type="dxa"/>
            <w:vAlign w:val="bottom"/>
            <w:gridSpan w:val="3"/>
          </w:tcPr>
          <w:p>
            <w:pPr>
              <w:spacing w:after="0"/>
              <w:rPr>
                <w:sz w:val="14"/>
                <w:szCs w:val="14"/>
                <w:color w:val="auto"/>
              </w:rPr>
            </w:pPr>
          </w:p>
        </w:tc>
      </w:tr>
      <w:tr>
        <w:trPr>
          <w:trHeight w:val="183"/>
        </w:trPr>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60" w:type="dxa"/>
            <w:vAlign w:val="bottom"/>
            <w:tcBorders>
              <w:top w:val="single" w:sz="8" w:color="0000FF"/>
            </w:tcBorders>
            <w:gridSpan w:val="22"/>
          </w:tcPr>
          <w:p>
            <w:pPr>
              <w:spacing w:after="0" w:line="182"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for the year ended December 31, 2019</w:t>
              </w:r>
              <w:r>
                <w:rPr>
                  <w:rFonts w:ascii="Times New Roman" w:cs="Times New Roman" w:eastAsia="Times New Roman" w:hAnsi="Times New Roman"/>
                  <w:sz w:val="18"/>
                  <w:szCs w:val="18"/>
                  <w:color w:val="000000"/>
                </w:rPr>
                <w:t>. (2)</w:t>
              </w:r>
            </w:hyperlink>
          </w:p>
        </w:tc>
        <w:tc>
          <w:tcPr>
            <w:tcW w:w="120" w:type="dxa"/>
            <w:vAlign w:val="bottom"/>
            <w:gridSpan w:val="6"/>
          </w:tcPr>
          <w:p>
            <w:pPr>
              <w:spacing w:after="0"/>
              <w:rPr>
                <w:sz w:val="15"/>
                <w:szCs w:val="15"/>
                <w:color w:val="auto"/>
              </w:rPr>
            </w:pPr>
          </w:p>
        </w:tc>
        <w:tc>
          <w:tcPr>
            <w:tcW w:w="100" w:type="dxa"/>
            <w:vAlign w:val="bottom"/>
            <w:gridSpan w:val="4"/>
          </w:tcPr>
          <w:p>
            <w:pPr>
              <w:spacing w:after="0"/>
              <w:rPr>
                <w:sz w:val="15"/>
                <w:szCs w:val="15"/>
                <w:color w:val="auto"/>
              </w:rPr>
            </w:pPr>
          </w:p>
        </w:tc>
        <w:tc>
          <w:tcPr>
            <w:tcW w:w="40" w:type="dxa"/>
            <w:vAlign w:val="bottom"/>
            <w:gridSpan w:val="3"/>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360" w:type="dxa"/>
            <w:vAlign w:val="bottom"/>
            <w:gridSpan w:val="4"/>
            <w:shd w:val="clear" w:color="auto" w:fill="0000FF"/>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620" w:type="dxa"/>
            <w:vAlign w:val="bottom"/>
            <w:gridSpan w:val="10"/>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10.59</w:t>
            </w:r>
          </w:p>
        </w:tc>
        <w:tc>
          <w:tcPr>
            <w:tcW w:w="240" w:type="dxa"/>
            <w:vAlign w:val="bottom"/>
          </w:tcPr>
          <w:p>
            <w:pPr>
              <w:spacing w:after="0"/>
              <w:rPr>
                <w:sz w:val="24"/>
                <w:szCs w:val="24"/>
                <w:color w:val="auto"/>
              </w:rPr>
            </w:pPr>
          </w:p>
        </w:tc>
        <w:tc>
          <w:tcPr>
            <w:tcW w:w="9720" w:type="dxa"/>
            <w:vAlign w:val="bottom"/>
            <w:gridSpan w:val="35"/>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Amended and Restated Director Compensation and Expense Reimbursement Policies effective as of January 1, 2025. Incorporated by</w:t>
              </w:r>
            </w:hyperlink>
          </w:p>
        </w:tc>
      </w:tr>
      <w:tr>
        <w:trPr>
          <w:trHeight w:val="156"/>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8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 xml:space="preserve">reference as Exhibit 10.2 to Form 10-Q for the quarter ended September 30, 2024. </w:t>
              </w:r>
              <w:r>
                <w:rPr>
                  <w:rFonts w:ascii="Times New Roman" w:cs="Times New Roman" w:eastAsia="Times New Roman" w:hAnsi="Times New Roman"/>
                  <w:sz w:val="18"/>
                  <w:szCs w:val="18"/>
                  <w:color w:val="000000"/>
                </w:rPr>
                <w:t>(2)</w:t>
              </w:r>
            </w:hyperlink>
          </w:p>
        </w:tc>
        <w:tc>
          <w:tcPr>
            <w:tcW w:w="40" w:type="dxa"/>
            <w:vAlign w:val="bottom"/>
            <w:gridSpan w:val="3"/>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560" w:type="dxa"/>
            <w:vAlign w:val="bottom"/>
            <w:gridSpan w:val="8"/>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620" w:type="dxa"/>
            <w:vAlign w:val="bottom"/>
            <w:gridSpan w:val="10"/>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46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10.60</w:t>
            </w:r>
          </w:p>
        </w:tc>
        <w:tc>
          <w:tcPr>
            <w:tcW w:w="240" w:type="dxa"/>
            <w:vAlign w:val="bottom"/>
          </w:tcPr>
          <w:p>
            <w:pPr>
              <w:spacing w:after="0"/>
              <w:rPr>
                <w:sz w:val="24"/>
                <w:szCs w:val="24"/>
                <w:color w:val="auto"/>
              </w:rPr>
            </w:pPr>
          </w:p>
        </w:tc>
        <w:tc>
          <w:tcPr>
            <w:tcW w:w="972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Second Amended and Restated Formulaic Equity Award Program for Non-Employee Board Members effective as of December 12,</w:t>
            </w:r>
          </w:p>
        </w:tc>
      </w:tr>
      <w:tr>
        <w:trPr>
          <w:trHeight w:val="155"/>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Borders>
              <w:top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rPr>
              <w:t xml:space="preserve">2024. </w:t>
            </w:r>
            <w:r>
              <w:rPr>
                <w:rFonts w:ascii="Times New Roman" w:cs="Times New Roman" w:eastAsia="Times New Roman" w:hAnsi="Times New Roman"/>
                <w:sz w:val="18"/>
                <w:szCs w:val="18"/>
                <w:color w:val="000000"/>
              </w:rPr>
              <w:t>(1)</w:t>
            </w:r>
          </w:p>
        </w:tc>
        <w:tc>
          <w:tcPr>
            <w:tcW w:w="16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420" w:type="dxa"/>
            <w:vAlign w:val="bottom"/>
            <w:gridSpan w:val="10"/>
          </w:tcPr>
          <w:p>
            <w:pPr>
              <w:spacing w:after="0" w:line="20" w:lineRule="exact"/>
              <w:rPr>
                <w:sz w:val="1"/>
                <w:szCs w:val="1"/>
                <w:color w:val="auto"/>
              </w:rPr>
            </w:pPr>
          </w:p>
        </w:tc>
        <w:tc>
          <w:tcPr>
            <w:tcW w:w="2760" w:type="dxa"/>
            <w:vAlign w:val="bottom"/>
            <w:gridSpan w:val="17"/>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10.61</w:t>
            </w:r>
          </w:p>
        </w:tc>
        <w:tc>
          <w:tcPr>
            <w:tcW w:w="240" w:type="dxa"/>
            <w:vAlign w:val="bottom"/>
          </w:tcPr>
          <w:p>
            <w:pPr>
              <w:spacing w:after="0"/>
              <w:rPr>
                <w:sz w:val="24"/>
                <w:szCs w:val="24"/>
                <w:color w:val="auto"/>
              </w:rPr>
            </w:pPr>
          </w:p>
        </w:tc>
        <w:tc>
          <w:tcPr>
            <w:tcW w:w="9720" w:type="dxa"/>
            <w:vAlign w:val="bottom"/>
            <w:gridSpan w:val="35"/>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Employment Agreement, dated April 1, 2014, among The Connecticut Water Company, Connecticut Water Service, Inc. and Craig J.</w:t>
              </w:r>
            </w:hyperlink>
          </w:p>
        </w:tc>
      </w:tr>
      <w:tr>
        <w:trPr>
          <w:trHeight w:val="155"/>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58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 xml:space="preserve">Patla. Incorporated by reference to Exhibit 10.85 to the Form 10-K filed on February 24, 2023. </w:t>
              </w:r>
              <w:r>
                <w:rPr>
                  <w:rFonts w:ascii="Times New Roman" w:cs="Times New Roman" w:eastAsia="Times New Roman" w:hAnsi="Times New Roman"/>
                  <w:sz w:val="18"/>
                  <w:szCs w:val="18"/>
                  <w:color w:val="000000"/>
                </w:rPr>
                <w:t>(2)</w:t>
              </w:r>
            </w:hyperlink>
          </w:p>
        </w:tc>
        <w:tc>
          <w:tcPr>
            <w:tcW w:w="140" w:type="dxa"/>
            <w:vAlign w:val="bottom"/>
            <w:gridSpan w:val="7"/>
          </w:tcPr>
          <w:p>
            <w:pPr>
              <w:spacing w:after="0"/>
              <w:rPr>
                <w:sz w:val="13"/>
                <w:szCs w:val="13"/>
                <w:color w:val="auto"/>
              </w:rPr>
            </w:pPr>
          </w:p>
        </w:tc>
      </w:tr>
      <w:tr>
        <w:trPr>
          <w:trHeight w:val="1168"/>
        </w:trPr>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20" w:type="dxa"/>
            <w:vAlign w:val="bottom"/>
            <w:tcBorders>
              <w:top w:val="single" w:sz="8" w:color="0000FF"/>
            </w:tcBorders>
            <w:gridSpan w:val="7"/>
          </w:tcPr>
          <w:p>
            <w:pPr>
              <w:ind w:left="4340"/>
              <w:spacing w:after="0"/>
              <w:rPr>
                <w:sz w:val="20"/>
                <w:szCs w:val="20"/>
                <w:color w:val="auto"/>
              </w:rPr>
            </w:pPr>
            <w:r>
              <w:rPr>
                <w:rFonts w:ascii="Times New Roman" w:cs="Times New Roman" w:eastAsia="Times New Roman" w:hAnsi="Times New Roman"/>
                <w:sz w:val="18"/>
                <w:szCs w:val="18"/>
                <w:color w:val="auto"/>
              </w:rPr>
              <w:t>96</w:t>
            </w:r>
          </w:p>
        </w:tc>
        <w:tc>
          <w:tcPr>
            <w:tcW w:w="5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07"/>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911"/>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10.62</w:t>
            </w:r>
          </w:p>
        </w:tc>
        <w:tc>
          <w:tcPr>
            <w:tcW w:w="240" w:type="dxa"/>
            <w:vAlign w:val="bottom"/>
          </w:tcPr>
          <w:p>
            <w:pPr>
              <w:spacing w:after="0"/>
              <w:rPr>
                <w:sz w:val="24"/>
                <w:szCs w:val="24"/>
                <w:color w:val="auto"/>
              </w:rPr>
            </w:pPr>
          </w:p>
        </w:tc>
        <w:tc>
          <w:tcPr>
            <w:tcW w:w="9740" w:type="dxa"/>
            <w:vAlign w:val="bottom"/>
            <w:gridSpan w:val="25"/>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First Amendment to Employment Agreement, effective as of January 18, 2020, among The Connecticut Water Company, Connecticut</w:t>
              </w:r>
            </w:hyperlink>
          </w:p>
        </w:tc>
      </w:tr>
      <w:tr>
        <w:trPr>
          <w:trHeight w:val="156"/>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 xml:space="preserve">Water Service, Inc. and Craig J. Patla. Incorporated by reference to Exhibit 10.86 to the Form 10-K filed on February 24, 2023. </w:t>
              </w:r>
              <w:r>
                <w:rPr>
                  <w:rFonts w:ascii="Times New Roman" w:cs="Times New Roman" w:eastAsia="Times New Roman" w:hAnsi="Times New Roman"/>
                  <w:sz w:val="18"/>
                  <w:szCs w:val="18"/>
                  <w:color w:val="000000"/>
                </w:rPr>
                <w:t>(2)</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10.63</w:t>
            </w:r>
          </w:p>
        </w:tc>
        <w:tc>
          <w:tcPr>
            <w:tcW w:w="240" w:type="dxa"/>
            <w:vAlign w:val="bottom"/>
          </w:tcPr>
          <w:p>
            <w:pPr>
              <w:spacing w:after="0"/>
              <w:rPr>
                <w:sz w:val="24"/>
                <w:szCs w:val="24"/>
                <w:color w:val="auto"/>
              </w:rPr>
            </w:pPr>
          </w:p>
        </w:tc>
        <w:tc>
          <w:tcPr>
            <w:tcW w:w="9160" w:type="dxa"/>
            <w:vAlign w:val="bottom"/>
            <w:tcBorders>
              <w:top w:val="single" w:sz="8" w:color="0000FF"/>
            </w:tcBorders>
            <w:gridSpan w:val="15"/>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Second Amendment to Employment Agreement, effective as of January 1, 2023, among The Connecticut Water Company,</w:t>
              </w:r>
            </w:hyperlink>
          </w:p>
        </w:tc>
        <w:tc>
          <w:tcPr>
            <w:tcW w:w="580" w:type="dxa"/>
            <w:vAlign w:val="bottom"/>
            <w:gridSpan w:val="10"/>
          </w:tcPr>
          <w:p>
            <w:pPr>
              <w:spacing w:after="0"/>
              <w:rPr>
                <w:sz w:val="24"/>
                <w:szCs w:val="24"/>
                <w:color w:val="auto"/>
              </w:rPr>
            </w:pPr>
          </w:p>
        </w:tc>
      </w:tr>
      <w:tr>
        <w:trPr>
          <w:trHeight w:val="156"/>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2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Connecticut Water Service, Inc. and Craig J. Patla. Incorporated by reference to Exhibit 10.87 to the Form 10-K filed on</w:t>
              </w:r>
            </w:hyperlink>
          </w:p>
        </w:tc>
        <w:tc>
          <w:tcPr>
            <w:tcW w:w="920" w:type="dxa"/>
            <w:vAlign w:val="bottom"/>
            <w:gridSpan w:val="14"/>
          </w:tcPr>
          <w:p>
            <w:pPr>
              <w:spacing w:after="0" w:line="156" w:lineRule="exact"/>
              <w:rPr>
                <w:rFonts w:ascii="Times New Roman" w:cs="Times New Roman" w:eastAsia="Times New Roman" w:hAnsi="Times New Roman"/>
                <w:sz w:val="18"/>
                <w:szCs w:val="18"/>
                <w:color w:val="0000FF"/>
                <w:w w:val="97"/>
              </w:rPr>
            </w:pPr>
            <w:hyperlink r:id="rId183">
              <w:r>
                <w:rPr>
                  <w:rFonts w:ascii="Times New Roman" w:cs="Times New Roman" w:eastAsia="Times New Roman" w:hAnsi="Times New Roman"/>
                  <w:sz w:val="18"/>
                  <w:szCs w:val="18"/>
                  <w:color w:val="0000FF"/>
                  <w:w w:val="97"/>
                </w:rPr>
                <w:t>February 24,</w:t>
              </w:r>
            </w:hyperlink>
          </w:p>
        </w:tc>
      </w:tr>
      <w:tr>
        <w:trPr>
          <w:trHeight w:val="169"/>
        </w:trPr>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tcBorders>
              <w:top w:val="single" w:sz="8" w:color="0000FF"/>
            </w:tcBorders>
            <w:gridSpan w:val="2"/>
          </w:tcPr>
          <w:p>
            <w:pPr>
              <w:spacing w:after="0" w:line="169"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 xml:space="preserve">2023. </w:t>
              </w:r>
              <w:r>
                <w:rPr>
                  <w:rFonts w:ascii="Times New Roman" w:cs="Times New Roman" w:eastAsia="Times New Roman" w:hAnsi="Times New Roman"/>
                  <w:sz w:val="18"/>
                  <w:szCs w:val="18"/>
                  <w:color w:val="000000"/>
                </w:rPr>
                <w:t>(2)</w:t>
              </w:r>
            </w:hyperlink>
          </w:p>
        </w:tc>
        <w:tc>
          <w:tcPr>
            <w:tcW w:w="4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260" w:type="dxa"/>
            <w:vAlign w:val="bottom"/>
            <w:tcBorders>
              <w:top w:val="single" w:sz="8" w:color="0000FF"/>
            </w:tcBorders>
          </w:tcPr>
          <w:p>
            <w:pPr>
              <w:spacing w:after="0"/>
              <w:rPr>
                <w:sz w:val="14"/>
                <w:szCs w:val="14"/>
                <w:color w:val="auto"/>
              </w:rPr>
            </w:pPr>
          </w:p>
        </w:tc>
        <w:tc>
          <w:tcPr>
            <w:tcW w:w="15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58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10.64</w:t>
            </w:r>
          </w:p>
        </w:tc>
        <w:tc>
          <w:tcPr>
            <w:tcW w:w="240" w:type="dxa"/>
            <w:vAlign w:val="bottom"/>
          </w:tcPr>
          <w:p>
            <w:pPr>
              <w:spacing w:after="0"/>
              <w:rPr>
                <w:sz w:val="24"/>
                <w:szCs w:val="24"/>
                <w:color w:val="auto"/>
              </w:rPr>
            </w:pPr>
          </w:p>
        </w:tc>
        <w:tc>
          <w:tcPr>
            <w:tcW w:w="9740" w:type="dxa"/>
            <w:vAlign w:val="bottom"/>
            <w:gridSpan w:val="25"/>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SJW Group 2023 Long-Term Incentive Plan. Incorporated by reference to Appendix I to the Proxy Statement filed on March 9, 2023.</w:t>
              </w:r>
            </w:hyperlink>
          </w:p>
        </w:tc>
      </w:tr>
      <w:tr>
        <w:trPr>
          <w:trHeight w:val="228"/>
        </w:trPr>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(2)</w:t>
            </w:r>
          </w:p>
        </w:tc>
        <w:tc>
          <w:tcPr>
            <w:tcW w:w="16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260" w:type="dxa"/>
            <w:vAlign w:val="bottom"/>
            <w:tcBorders>
              <w:top w:val="single" w:sz="8" w:color="0000FF"/>
            </w:tcBorders>
          </w:tcPr>
          <w:p>
            <w:pPr>
              <w:spacing w:after="0"/>
              <w:rPr>
                <w:sz w:val="19"/>
                <w:szCs w:val="19"/>
                <w:color w:val="auto"/>
              </w:rPr>
            </w:pPr>
          </w:p>
        </w:tc>
        <w:tc>
          <w:tcPr>
            <w:tcW w:w="15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580" w:type="dxa"/>
            <w:vAlign w:val="bottom"/>
            <w:tcBorders>
              <w:top w:val="single" w:sz="8" w:color="0000FF"/>
            </w:tcBorders>
          </w:tcPr>
          <w:p>
            <w:pPr>
              <w:spacing w:after="0"/>
              <w:rPr>
                <w:sz w:val="19"/>
                <w:szCs w:val="19"/>
                <w:color w:val="auto"/>
              </w:rPr>
            </w:pPr>
          </w:p>
        </w:tc>
        <w:tc>
          <w:tcPr>
            <w:tcW w:w="6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4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10.65</w:t>
            </w:r>
          </w:p>
        </w:tc>
        <w:tc>
          <w:tcPr>
            <w:tcW w:w="240" w:type="dxa"/>
            <w:vAlign w:val="bottom"/>
          </w:tcPr>
          <w:p>
            <w:pPr>
              <w:spacing w:after="0"/>
              <w:rPr>
                <w:sz w:val="24"/>
                <w:szCs w:val="24"/>
                <w:color w:val="auto"/>
              </w:rPr>
            </w:pPr>
          </w:p>
        </w:tc>
        <w:tc>
          <w:tcPr>
            <w:tcW w:w="9740" w:type="dxa"/>
            <w:vAlign w:val="bottom"/>
            <w:gridSpan w:val="25"/>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SJW Group 2023 Employee Stock Purchase Plan. Incorporated by reference to Appendix II to the Proxy Statement filed on March 9,</w:t>
              </w:r>
            </w:hyperlink>
          </w:p>
        </w:tc>
      </w:tr>
      <w:tr>
        <w:trPr>
          <w:trHeight w:val="169"/>
        </w:trPr>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tcBorders>
              <w:top w:val="single" w:sz="8" w:color="0000FF"/>
            </w:tcBorders>
            <w:gridSpan w:val="2"/>
          </w:tcPr>
          <w:p>
            <w:pPr>
              <w:spacing w:after="0" w:line="169"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 xml:space="preserve">2023. </w:t>
              </w:r>
              <w:r>
                <w:rPr>
                  <w:rFonts w:ascii="Times New Roman" w:cs="Times New Roman" w:eastAsia="Times New Roman" w:hAnsi="Times New Roman"/>
                  <w:sz w:val="18"/>
                  <w:szCs w:val="18"/>
                  <w:color w:val="000000"/>
                </w:rPr>
                <w:t>(2)</w:t>
              </w:r>
            </w:hyperlink>
          </w:p>
        </w:tc>
        <w:tc>
          <w:tcPr>
            <w:tcW w:w="4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260" w:type="dxa"/>
            <w:vAlign w:val="bottom"/>
            <w:tcBorders>
              <w:top w:val="single" w:sz="8" w:color="0000FF"/>
            </w:tcBorders>
          </w:tcPr>
          <w:p>
            <w:pPr>
              <w:spacing w:after="0"/>
              <w:rPr>
                <w:sz w:val="14"/>
                <w:szCs w:val="14"/>
                <w:color w:val="auto"/>
              </w:rPr>
            </w:pPr>
          </w:p>
        </w:tc>
        <w:tc>
          <w:tcPr>
            <w:tcW w:w="15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58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10.66</w:t>
            </w:r>
          </w:p>
        </w:tc>
        <w:tc>
          <w:tcPr>
            <w:tcW w:w="240" w:type="dxa"/>
            <w:vAlign w:val="bottom"/>
          </w:tcPr>
          <w:p>
            <w:pPr>
              <w:spacing w:after="0"/>
              <w:rPr>
                <w:sz w:val="24"/>
                <w:szCs w:val="24"/>
                <w:color w:val="auto"/>
              </w:rPr>
            </w:pPr>
          </w:p>
        </w:tc>
        <w:tc>
          <w:tcPr>
            <w:tcW w:w="9740" w:type="dxa"/>
            <w:vAlign w:val="bottom"/>
            <w:gridSpan w:val="25"/>
          </w:tcPr>
          <w:p>
            <w:pPr>
              <w:spacing w:after="0"/>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Transition and Separation Agreement and Release, dated July 6, 2023, by Andrew R. Gere and San Jose Water Company. Incorporated</w:t>
              </w:r>
            </w:hyperlink>
          </w:p>
        </w:tc>
      </w:tr>
      <w:tr>
        <w:trPr>
          <w:trHeight w:val="169"/>
        </w:trPr>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70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 xml:space="preserve">by reference to Exhibit 10.1 to the Form 8-K filed on July 7, 2023. </w:t>
              </w:r>
              <w:r>
                <w:rPr>
                  <w:rFonts w:ascii="Times New Roman" w:cs="Times New Roman" w:eastAsia="Times New Roman" w:hAnsi="Times New Roman"/>
                  <w:sz w:val="18"/>
                  <w:szCs w:val="18"/>
                  <w:color w:val="000000"/>
                </w:rPr>
                <w:t>(2)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10.67</w:t>
            </w:r>
          </w:p>
        </w:tc>
        <w:tc>
          <w:tcPr>
            <w:tcW w:w="240" w:type="dxa"/>
            <w:vAlign w:val="bottom"/>
          </w:tcPr>
          <w:p>
            <w:pPr>
              <w:spacing w:after="0"/>
              <w:rPr>
                <w:sz w:val="24"/>
                <w:szCs w:val="24"/>
                <w:color w:val="auto"/>
              </w:rPr>
            </w:pPr>
          </w:p>
        </w:tc>
        <w:tc>
          <w:tcPr>
            <w:tcW w:w="9740" w:type="dxa"/>
            <w:vAlign w:val="bottom"/>
            <w:gridSpan w:val="25"/>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First Amendment to Credit Agreement, dated August 2, 2023, between SJW Group, San Jose Water Company, SJWTX, Inc.,</w:t>
              </w:r>
            </w:hyperlink>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7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740" w:type="dxa"/>
            <w:vAlign w:val="bottom"/>
            <w:gridSpan w:val="25"/>
          </w:tcPr>
          <w:p>
            <w:pPr>
              <w:spacing w:after="0" w:line="169"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Connecticut Water Service, Inc., JPMorgan Chase Bank, N.A., as administrative agent and a lender, and the other lenders party</w:t>
              </w:r>
            </w:hyperlink>
          </w:p>
        </w:tc>
      </w:tr>
      <w:tr>
        <w:trPr>
          <w:trHeight w:val="183"/>
        </w:trPr>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320" w:type="dxa"/>
            <w:vAlign w:val="bottom"/>
            <w:tcBorders>
              <w:top w:val="single" w:sz="8" w:color="0000FF"/>
              <w:bottom w:val="single" w:sz="8" w:color="0000FF"/>
            </w:tcBorders>
            <w:gridSpan w:val="8"/>
          </w:tcPr>
          <w:p>
            <w:pPr>
              <w:spacing w:after="0" w:line="182" w:lineRule="exact"/>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thereto. Incorporated by reference to Exhibit 10.1 to Form 8-K filed on August 2, 2023.</w:t>
              </w:r>
            </w:hyperlink>
          </w:p>
        </w:tc>
        <w:tc>
          <w:tcPr>
            <w:tcW w:w="2820" w:type="dxa"/>
            <w:vAlign w:val="bottom"/>
            <w:tcBorders>
              <w:top w:val="single" w:sz="8" w:color="0000FF"/>
            </w:tcBorders>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10.68</w:t>
            </w:r>
          </w:p>
        </w:tc>
        <w:tc>
          <w:tcPr>
            <w:tcW w:w="240" w:type="dxa"/>
            <w:vAlign w:val="bottom"/>
          </w:tcPr>
          <w:p>
            <w:pPr>
              <w:spacing w:after="0"/>
              <w:rPr>
                <w:sz w:val="24"/>
                <w:szCs w:val="24"/>
                <w:color w:val="auto"/>
              </w:rPr>
            </w:pPr>
          </w:p>
        </w:tc>
        <w:tc>
          <w:tcPr>
            <w:tcW w:w="9740" w:type="dxa"/>
            <w:vAlign w:val="bottom"/>
            <w:gridSpan w:val="25"/>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Second Amendment to Credit Agreement, dated August 2, 2024, between SJW Group, San Jose Water Company, SJWTX, Inc.,</w:t>
              </w:r>
            </w:hyperlink>
          </w:p>
        </w:tc>
      </w:tr>
      <w:tr>
        <w:trPr>
          <w:trHeight w:val="169"/>
        </w:trPr>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18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Connecticut Water Service, Inc., JPMorgan Chase Bank, N.A., as administrative agent and a lender, and the other lenders party</w:t>
              </w:r>
            </w:hyperlink>
          </w:p>
        </w:tc>
        <w:tc>
          <w:tcPr>
            <w:tcW w:w="3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300" w:type="dxa"/>
            <w:vAlign w:val="bottom"/>
            <w:tcBorders>
              <w:top w:val="single" w:sz="8" w:color="0000FF"/>
              <w:bottom w:val="single" w:sz="8" w:color="0000FF"/>
            </w:tcBorders>
            <w:gridSpan w:val="7"/>
          </w:tcPr>
          <w:p>
            <w:pPr>
              <w:spacing w:after="0" w:line="182"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thereto. Incorporated by reference to Exhibit 10.1 to Form 8-K filed on August 2, 2024.</w:t>
              </w:r>
            </w:hyperlink>
          </w:p>
        </w:tc>
        <w:tc>
          <w:tcPr>
            <w:tcW w:w="2820" w:type="dxa"/>
            <w:vAlign w:val="bottom"/>
            <w:tcBorders>
              <w:top w:val="single" w:sz="8" w:color="0000FF"/>
            </w:tcBorders>
            <w:gridSpan w:val="6"/>
          </w:tcPr>
          <w:p>
            <w:pPr>
              <w:spacing w:after="0"/>
              <w:rPr>
                <w:sz w:val="15"/>
                <w:szCs w:val="15"/>
                <w:color w:val="auto"/>
              </w:rPr>
            </w:pPr>
          </w:p>
        </w:tc>
        <w:tc>
          <w:tcPr>
            <w:tcW w:w="42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10.69</w:t>
            </w:r>
          </w:p>
        </w:tc>
        <w:tc>
          <w:tcPr>
            <w:tcW w:w="240" w:type="dxa"/>
            <w:vAlign w:val="bottom"/>
          </w:tcPr>
          <w:p>
            <w:pPr>
              <w:spacing w:after="0"/>
              <w:rPr>
                <w:sz w:val="24"/>
                <w:szCs w:val="24"/>
                <w:color w:val="auto"/>
              </w:rPr>
            </w:pPr>
          </w:p>
        </w:tc>
        <w:tc>
          <w:tcPr>
            <w:tcW w:w="9740" w:type="dxa"/>
            <w:vAlign w:val="bottom"/>
            <w:gridSpan w:val="25"/>
          </w:tcPr>
          <w:p>
            <w:pPr>
              <w:spacing w:after="0"/>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Equity Distribution Agreement, dated October 29, 2024, by and among SJW Group, BofA Securities, Inc., J.P.Morgan Securities LLC,</w:t>
              </w:r>
            </w:hyperlink>
          </w:p>
        </w:tc>
      </w:tr>
      <w:tr>
        <w:trPr>
          <w:trHeight w:val="156"/>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7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RBC Capital Markets, LLC and Wells Fargo Securities, LLC. Incorporated by reference to Exhibit 1.1 to Form 8-K dated October 30,</w:t>
              </w:r>
            </w:hyperlink>
          </w:p>
        </w:tc>
        <w:tc>
          <w:tcPr>
            <w:tcW w:w="20" w:type="dxa"/>
            <w:vAlign w:val="bottom"/>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Borders>
              <w:top w:val="single" w:sz="8" w:color="0000FF"/>
            </w:tcBorders>
          </w:tcPr>
          <w:p>
            <w:pPr>
              <w:spacing w:after="0" w:line="169" w:lineRule="exact"/>
              <w:rPr>
                <w:rFonts w:ascii="Times New Roman" w:cs="Times New Roman" w:eastAsia="Times New Roman" w:hAnsi="Times New Roman"/>
                <w:sz w:val="18"/>
                <w:szCs w:val="18"/>
                <w:color w:val="0000FF"/>
                <w:w w:val="78"/>
              </w:rPr>
            </w:pPr>
            <w:hyperlink r:id="rId189">
              <w:r>
                <w:rPr>
                  <w:rFonts w:ascii="Times New Roman" w:cs="Times New Roman" w:eastAsia="Times New Roman" w:hAnsi="Times New Roman"/>
                  <w:sz w:val="18"/>
                  <w:szCs w:val="18"/>
                  <w:color w:val="0000FF"/>
                  <w:w w:val="78"/>
                </w:rPr>
                <w:t>2024</w:t>
              </w:r>
              <w:r>
                <w:rPr>
                  <w:rFonts w:ascii="Times New Roman" w:cs="Times New Roman" w:eastAsia="Times New Roman" w:hAnsi="Times New Roman"/>
                  <w:sz w:val="18"/>
                  <w:szCs w:val="18"/>
                  <w:color w:val="000000"/>
                  <w:w w:val="78"/>
                </w:rPr>
                <w:t>.</w:t>
              </w:r>
            </w:hyperlink>
          </w:p>
        </w:tc>
        <w:tc>
          <w:tcPr>
            <w:tcW w:w="16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260" w:type="dxa"/>
            <w:vAlign w:val="bottom"/>
            <w:tcBorders>
              <w:top w:val="single" w:sz="8" w:color="0000FF"/>
            </w:tcBorders>
          </w:tcPr>
          <w:p>
            <w:pPr>
              <w:spacing w:after="0"/>
              <w:rPr>
                <w:sz w:val="14"/>
                <w:szCs w:val="14"/>
                <w:color w:val="auto"/>
              </w:rPr>
            </w:pPr>
          </w:p>
        </w:tc>
        <w:tc>
          <w:tcPr>
            <w:tcW w:w="15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58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00" w:type="dxa"/>
            <w:vAlign w:val="bottom"/>
            <w:gridSpan w:val="4"/>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358"/>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240" w:type="dxa"/>
            <w:vAlign w:val="bottom"/>
          </w:tcPr>
          <w:p>
            <w:pPr>
              <w:spacing w:after="0"/>
              <w:rPr>
                <w:sz w:val="24"/>
                <w:szCs w:val="24"/>
                <w:color w:val="auto"/>
              </w:rPr>
            </w:pPr>
          </w:p>
        </w:tc>
        <w:tc>
          <w:tcPr>
            <w:tcW w:w="97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SJW Group Insider Trading Policy</w:t>
            </w:r>
            <w:r>
              <w:rPr>
                <w:rFonts w:ascii="Times New Roman" w:cs="Times New Roman" w:eastAsia="Times New Roman" w:hAnsi="Times New Roman"/>
                <w:sz w:val="18"/>
                <w:szCs w:val="18"/>
                <w:color w:val="000000"/>
              </w:rPr>
              <w:t>. (1)</w:t>
            </w: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Pr>
          <w:p>
            <w:pPr>
              <w:spacing w:after="0"/>
              <w:rPr>
                <w:sz w:val="24"/>
                <w:szCs w:val="24"/>
                <w:color w:val="auto"/>
              </w:rPr>
            </w:pPr>
          </w:p>
        </w:tc>
        <w:tc>
          <w:tcPr>
            <w:tcW w:w="25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 xml:space="preserve">Subsidiaries of SJW Group. </w:t>
            </w:r>
            <w:r>
              <w:rPr>
                <w:rFonts w:ascii="Times New Roman" w:cs="Times New Roman" w:eastAsia="Times New Roman" w:hAnsi="Times New Roman"/>
                <w:sz w:val="18"/>
                <w:szCs w:val="18"/>
                <w:color w:val="000000"/>
              </w:rPr>
              <w:t>(1)</w:t>
            </w:r>
          </w:p>
        </w:tc>
        <w:tc>
          <w:tcPr>
            <w:tcW w:w="7240" w:type="dxa"/>
            <w:vAlign w:val="bottom"/>
            <w:gridSpan w:val="21"/>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100" w:type="dxa"/>
            <w:vAlign w:val="bottom"/>
            <w:gridSpan w:val="4"/>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tcPr>
          <w:p>
            <w:pPr>
              <w:spacing w:after="0"/>
              <w:rPr>
                <w:sz w:val="24"/>
                <w:szCs w:val="24"/>
                <w:color w:val="auto"/>
              </w:rPr>
            </w:pPr>
          </w:p>
        </w:tc>
        <w:tc>
          <w:tcPr>
            <w:tcW w:w="97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Consent of Deloitte &amp; Touche LLP</w:t>
            </w:r>
            <w:r>
              <w:rPr>
                <w:rFonts w:ascii="Times New Roman" w:cs="Times New Roman" w:eastAsia="Times New Roman" w:hAnsi="Times New Roman"/>
                <w:sz w:val="18"/>
                <w:szCs w:val="18"/>
                <w:color w:val="000000"/>
              </w:rPr>
              <w:t>. (1)</w:t>
            </w: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100" w:type="dxa"/>
            <w:vAlign w:val="bottom"/>
            <w:gridSpan w:val="4"/>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4"/>
                <w:szCs w:val="24"/>
                <w:color w:val="auto"/>
              </w:rPr>
            </w:pPr>
          </w:p>
        </w:tc>
        <w:tc>
          <w:tcPr>
            <w:tcW w:w="97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Pursuant to Rule 13a-14(a)/15d-14(a) by President and Chief Executive Officer</w:t>
            </w:r>
            <w:r>
              <w:rPr>
                <w:rFonts w:ascii="Times New Roman" w:cs="Times New Roman" w:eastAsia="Times New Roman" w:hAnsi="Times New Roman"/>
                <w:sz w:val="18"/>
                <w:szCs w:val="18"/>
                <w:color w:val="000000"/>
              </w:rPr>
              <w:t>. (1)</w:t>
            </w: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580" w:type="dxa"/>
            <w:vAlign w:val="bottom"/>
            <w:gridSpan w:val="6"/>
            <w:shd w:val="clear" w:color="auto" w:fill="0000FF"/>
          </w:tcPr>
          <w:p>
            <w:pPr>
              <w:spacing w:after="0" w:line="20" w:lineRule="exact"/>
              <w:rPr>
                <w:sz w:val="1"/>
                <w:szCs w:val="1"/>
                <w:color w:val="auto"/>
              </w:rPr>
            </w:pPr>
          </w:p>
        </w:tc>
        <w:tc>
          <w:tcPr>
            <w:tcW w:w="1580" w:type="dxa"/>
            <w:vAlign w:val="bottom"/>
            <w:tcBorders>
              <w:left w:val="single" w:sz="8" w:color="0000FF"/>
            </w:tcBorders>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4"/>
                <w:szCs w:val="24"/>
                <w:color w:val="auto"/>
              </w:rPr>
            </w:pPr>
          </w:p>
        </w:tc>
        <w:tc>
          <w:tcPr>
            <w:tcW w:w="97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Pursuant to Rule 13a-14(a)/15d-14(a) by Chief Financial Officer and Treasurer</w:t>
            </w:r>
            <w:r>
              <w:rPr>
                <w:rFonts w:ascii="Times New Roman" w:cs="Times New Roman" w:eastAsia="Times New Roman" w:hAnsi="Times New Roman"/>
                <w:sz w:val="18"/>
                <w:szCs w:val="18"/>
                <w:color w:val="000000"/>
              </w:rPr>
              <w:t>. (1)</w:t>
            </w: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580" w:type="dxa"/>
            <w:vAlign w:val="bottom"/>
            <w:gridSpan w:val="6"/>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37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24"/>
                <w:szCs w:val="24"/>
                <w:color w:val="auto"/>
              </w:rPr>
            </w:pPr>
          </w:p>
        </w:tc>
        <w:tc>
          <w:tcPr>
            <w:tcW w:w="97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by President and Chief Executive Officer, as adopted pursuant to Section 906 of the</w:t>
            </w:r>
          </w:p>
        </w:tc>
      </w:tr>
      <w:tr>
        <w:trPr>
          <w:trHeight w:val="169"/>
        </w:trPr>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580" w:type="dxa"/>
            <w:vAlign w:val="bottom"/>
            <w:tcBorders>
              <w:top w:val="single" w:sz="8" w:color="0000FF"/>
            </w:tcBorders>
            <w:gridSpan w:val="19"/>
          </w:tcPr>
          <w:p>
            <w:pPr>
              <w:spacing w:after="0" w:line="169" w:lineRule="exact"/>
              <w:rPr>
                <w:sz w:val="20"/>
                <w:szCs w:val="20"/>
                <w:color w:val="auto"/>
              </w:rPr>
            </w:pPr>
            <w:r>
              <w:rPr>
                <w:rFonts w:ascii="Times New Roman" w:cs="Times New Roman" w:eastAsia="Times New Roman" w:hAnsi="Times New Roman"/>
                <w:sz w:val="18"/>
                <w:szCs w:val="18"/>
                <w:color w:val="0000FF"/>
              </w:rPr>
              <w:t>Sarbanes-Oxley Act of 2002</w:t>
            </w:r>
            <w:r>
              <w:rPr>
                <w:rFonts w:ascii="Times New Roman" w:cs="Times New Roman" w:eastAsia="Times New Roman" w:hAnsi="Times New Roman"/>
                <w:sz w:val="18"/>
                <w:szCs w:val="18"/>
                <w:color w:val="000000"/>
              </w:rPr>
              <w:t>. (1)</w:t>
            </w:r>
          </w:p>
        </w:tc>
        <w:tc>
          <w:tcPr>
            <w:tcW w:w="160" w:type="dxa"/>
            <w:vAlign w:val="bottom"/>
            <w:gridSpan w:val="6"/>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6160" w:type="dxa"/>
            <w:vAlign w:val="bottom"/>
            <w:gridSpan w:val="7"/>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r>
      <w:tr>
        <w:trPr>
          <w:trHeight w:val="385"/>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24"/>
                <w:szCs w:val="24"/>
                <w:color w:val="auto"/>
              </w:rPr>
            </w:pPr>
          </w:p>
        </w:tc>
        <w:tc>
          <w:tcPr>
            <w:tcW w:w="97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by Chief Financial Officer and Treasurer, as adopted pursuant to Section 906 of the</w:t>
            </w:r>
          </w:p>
        </w:tc>
      </w:tr>
      <w:tr>
        <w:trPr>
          <w:trHeight w:val="169"/>
        </w:trPr>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540" w:type="dxa"/>
            <w:vAlign w:val="bottom"/>
            <w:tcBorders>
              <w:top w:val="single" w:sz="8" w:color="0000FF"/>
            </w:tcBorders>
            <w:gridSpan w:val="17"/>
          </w:tcPr>
          <w:p>
            <w:pPr>
              <w:spacing w:after="0" w:line="169" w:lineRule="exact"/>
              <w:rPr>
                <w:sz w:val="20"/>
                <w:szCs w:val="20"/>
                <w:color w:val="auto"/>
              </w:rPr>
            </w:pPr>
            <w:r>
              <w:rPr>
                <w:rFonts w:ascii="Times New Roman" w:cs="Times New Roman" w:eastAsia="Times New Roman" w:hAnsi="Times New Roman"/>
                <w:sz w:val="18"/>
                <w:szCs w:val="18"/>
                <w:color w:val="0000FF"/>
              </w:rPr>
              <w:t>Sarbanes-Oxley Act of 2002</w:t>
            </w:r>
            <w:r>
              <w:rPr>
                <w:rFonts w:ascii="Times New Roman" w:cs="Times New Roman" w:eastAsia="Times New Roman" w:hAnsi="Times New Roman"/>
                <w:sz w:val="18"/>
                <w:szCs w:val="18"/>
                <w:color w:val="000000"/>
              </w:rPr>
              <w:t>. (1)</w:t>
            </w:r>
          </w:p>
        </w:tc>
        <w:tc>
          <w:tcPr>
            <w:tcW w:w="200" w:type="dxa"/>
            <w:vAlign w:val="bottom"/>
            <w:gridSpan w:val="8"/>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6160" w:type="dxa"/>
            <w:vAlign w:val="bottom"/>
            <w:gridSpan w:val="7"/>
          </w:tcPr>
          <w:p>
            <w:pPr>
              <w:spacing w:after="0" w:line="20" w:lineRule="exact"/>
              <w:rPr>
                <w:sz w:val="1"/>
                <w:szCs w:val="1"/>
                <w:color w:val="auto"/>
              </w:rPr>
            </w:pPr>
          </w:p>
        </w:tc>
        <w:tc>
          <w:tcPr>
            <w:tcW w:w="1540" w:type="dxa"/>
            <w:vAlign w:val="bottom"/>
            <w:gridSpan w:val="15"/>
          </w:tcPr>
          <w:p>
            <w:pPr>
              <w:spacing w:after="0" w:line="20" w:lineRule="exact"/>
              <w:rPr>
                <w:sz w:val="1"/>
                <w:szCs w:val="1"/>
                <w:color w:val="auto"/>
              </w:rPr>
            </w:pPr>
          </w:p>
        </w:tc>
      </w:tr>
      <w:tr>
        <w:trPr>
          <w:trHeight w:val="385"/>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240" w:type="dxa"/>
            <w:vAlign w:val="bottom"/>
          </w:tcPr>
          <w:p>
            <w:pPr>
              <w:spacing w:after="0"/>
              <w:rPr>
                <w:sz w:val="24"/>
                <w:szCs w:val="24"/>
                <w:color w:val="auto"/>
              </w:rPr>
            </w:pPr>
          </w:p>
        </w:tc>
        <w:tc>
          <w:tcPr>
            <w:tcW w:w="9740" w:type="dxa"/>
            <w:vAlign w:val="bottom"/>
            <w:gridSpan w:val="25"/>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 xml:space="preserve">SJW Group Clawback Policy. Incorporated by reference to Exhibit 97.1 to Form 10-K filed on February 23, 2024. </w:t>
              </w:r>
            </w:hyperlink>
            <w:r>
              <w:rPr>
                <w:rFonts w:ascii="Times New Roman" w:cs="Times New Roman" w:eastAsia="Times New Roman" w:hAnsi="Times New Roman"/>
                <w:sz w:val="18"/>
                <w:szCs w:val="18"/>
                <w:color w:val="000000"/>
              </w:rPr>
              <w:t>(2)</w:t>
            </w:r>
          </w:p>
        </w:tc>
      </w:tr>
      <w:tr>
        <w:trPr>
          <w:trHeight w:val="20"/>
        </w:trPr>
        <w:tc>
          <w:tcPr>
            <w:tcW w:w="1520" w:type="dxa"/>
            <w:vAlign w:val="bottom"/>
            <w:gridSpan w:val="2"/>
          </w:tcPr>
          <w:p>
            <w:pPr>
              <w:spacing w:after="0" w:line="20" w:lineRule="exact"/>
              <w:rPr>
                <w:sz w:val="1"/>
                <w:szCs w:val="1"/>
                <w:color w:val="auto"/>
              </w:rPr>
            </w:pPr>
          </w:p>
        </w:tc>
        <w:tc>
          <w:tcPr>
            <w:tcW w:w="8200" w:type="dxa"/>
            <w:vAlign w:val="bottom"/>
            <w:gridSpan w:val="10"/>
            <w:shd w:val="clear" w:color="auto" w:fill="0000FF"/>
          </w:tcPr>
          <w:p>
            <w:pPr>
              <w:spacing w:after="0" w:line="20" w:lineRule="exact"/>
              <w:rPr>
                <w:sz w:val="1"/>
                <w:szCs w:val="1"/>
                <w:color w:val="auto"/>
              </w:rPr>
            </w:pPr>
          </w:p>
        </w:tc>
        <w:tc>
          <w:tcPr>
            <w:tcW w:w="1540" w:type="dxa"/>
            <w:vAlign w:val="bottom"/>
            <w:gridSpan w:val="15"/>
          </w:tcPr>
          <w:p>
            <w:pPr>
              <w:spacing w:after="0" w:line="20" w:lineRule="exact"/>
              <w:rPr>
                <w:sz w:val="1"/>
                <w:szCs w:val="1"/>
                <w:color w:val="auto"/>
              </w:rPr>
            </w:pPr>
          </w:p>
        </w:tc>
      </w:tr>
      <w:tr>
        <w:trPr>
          <w:trHeight w:val="345"/>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7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4"/>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87"/>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7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78"/>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7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78"/>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7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78"/>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7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78"/>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7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1134"/>
        </w:trPr>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80" w:type="dxa"/>
            <w:vAlign w:val="bottom"/>
            <w:gridSpan w:val="6"/>
          </w:tcPr>
          <w:p>
            <w:pPr>
              <w:ind w:left="4340"/>
              <w:spacing w:after="0"/>
              <w:rPr>
                <w:sz w:val="20"/>
                <w:szCs w:val="20"/>
                <w:color w:val="auto"/>
              </w:rPr>
            </w:pPr>
            <w:r>
              <w:rPr>
                <w:rFonts w:ascii="Times New Roman" w:cs="Times New Roman" w:eastAsia="Times New Roman" w:hAnsi="Times New Roman"/>
                <w:sz w:val="18"/>
                <w:szCs w:val="18"/>
                <w:color w:val="auto"/>
              </w:rPr>
              <w:t>97</w:t>
            </w: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520" w:hanging="1494"/>
        <w:spacing w:after="0"/>
        <w:tabs>
          <w:tab w:leader="none" w:pos="1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171" w:lineRule="exact"/>
        <w:rPr>
          <w:rFonts w:ascii="Times New Roman" w:cs="Times New Roman" w:eastAsia="Times New Roman" w:hAnsi="Times New Roman"/>
          <w:sz w:val="18"/>
          <w:szCs w:val="18"/>
          <w:color w:val="auto"/>
        </w:rPr>
      </w:pPr>
    </w:p>
    <w:p>
      <w:pPr>
        <w:ind w:left="1520" w:hanging="252"/>
        <w:spacing w:after="0"/>
        <w:tabs>
          <w:tab w:leader="none" w:pos="15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currently herewith.</w:t>
      </w:r>
    </w:p>
    <w:p>
      <w:pPr>
        <w:spacing w:after="0" w:line="27" w:lineRule="exact"/>
        <w:rPr>
          <w:rFonts w:ascii="Times New Roman" w:cs="Times New Roman" w:eastAsia="Times New Roman" w:hAnsi="Times New Roman"/>
          <w:sz w:val="18"/>
          <w:szCs w:val="18"/>
          <w:color w:val="auto"/>
        </w:rPr>
      </w:pPr>
    </w:p>
    <w:p>
      <w:pPr>
        <w:ind w:left="1520" w:hanging="252"/>
        <w:spacing w:after="0"/>
        <w:tabs>
          <w:tab w:leader="none" w:pos="15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agreement.</w:t>
      </w:r>
    </w:p>
    <w:p>
      <w:pPr>
        <w:spacing w:after="0" w:line="22" w:lineRule="exact"/>
        <w:rPr>
          <w:rFonts w:ascii="Times New Roman" w:cs="Times New Roman" w:eastAsia="Times New Roman" w:hAnsi="Times New Roman"/>
          <w:sz w:val="18"/>
          <w:szCs w:val="18"/>
          <w:color w:val="auto"/>
        </w:rPr>
      </w:pPr>
    </w:p>
    <w:p>
      <w:pPr>
        <w:ind w:left="1260" w:firstLine="8"/>
        <w:spacing w:after="0" w:line="234" w:lineRule="auto"/>
        <w:tabs>
          <w:tab w:leader="none" w:pos="151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601(b)(2) of Regulation S-K, certain exhibits and schedules have been omitted. The registrant hereby agrees to furnish supplementally a copy of any omitted exhibit or schedule to the SEC upon request.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21" w:right="8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7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SJW Group</w:t>
      </w:r>
    </w:p>
    <w:p>
      <w:pPr>
        <w:spacing w:after="0" w:line="77" w:lineRule="exact"/>
        <w:rPr>
          <w:sz w:val="20"/>
          <w:szCs w:val="20"/>
          <w:color w:val="auto"/>
        </w:rPr>
      </w:pPr>
    </w:p>
    <w:p>
      <w:pPr>
        <w:ind w:left="200"/>
        <w:spacing w:after="0"/>
        <w:tabs>
          <w:tab w:leader="none" w:pos="5520" w:val="left"/>
          <w:tab w:leader="none" w:pos="7700" w:val="left"/>
        </w:tabs>
        <w:rPr>
          <w:sz w:val="20"/>
          <w:szCs w:val="20"/>
          <w:color w:val="auto"/>
        </w:rPr>
      </w:pPr>
      <w:r>
        <w:rPr>
          <w:rFonts w:ascii="Times New Roman" w:cs="Times New Roman" w:eastAsia="Times New Roman" w:hAnsi="Times New Roman"/>
          <w:sz w:val="18"/>
          <w:szCs w:val="18"/>
          <w:color w:val="auto"/>
        </w:rPr>
        <w:t>Date: February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Eric W. Thornburg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8"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color w:val="auto"/>
        </w:rPr>
        <w:t>ERIC W. THORNBURG,</w:t>
      </w:r>
    </w:p>
    <w:p>
      <w:pPr>
        <w:jc w:val="center"/>
        <w:ind w:left="5720"/>
        <w:spacing w:after="0" w:line="203" w:lineRule="auto"/>
        <w:rPr>
          <w:sz w:val="20"/>
          <w:szCs w:val="20"/>
          <w:color w:val="auto"/>
        </w:rPr>
      </w:pPr>
      <w:r>
        <w:rPr>
          <w:rFonts w:ascii="Times New Roman" w:cs="Times New Roman" w:eastAsia="Times New Roman" w:hAnsi="Times New Roman"/>
          <w:sz w:val="18"/>
          <w:szCs w:val="18"/>
          <w:color w:val="auto"/>
        </w:rPr>
        <w:t>President, Chief Executive Officer and</w:t>
      </w:r>
    </w:p>
    <w:p>
      <w:pPr>
        <w:jc w:val="center"/>
        <w:ind w:left="5760"/>
        <w:spacing w:after="0" w:line="219" w:lineRule="auto"/>
        <w:rPr>
          <w:sz w:val="20"/>
          <w:szCs w:val="20"/>
          <w:color w:val="auto"/>
        </w:rPr>
      </w:pPr>
      <w:r>
        <w:rPr>
          <w:rFonts w:ascii="Times New Roman" w:cs="Times New Roman" w:eastAsia="Times New Roman" w:hAnsi="Times New Roman"/>
          <w:sz w:val="18"/>
          <w:szCs w:val="18"/>
          <w:color w:val="auto"/>
        </w:rPr>
        <w:t>Chair of the Board</w:t>
      </w:r>
    </w:p>
    <w:p>
      <w:pPr>
        <w:spacing w:after="0" w:line="1"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43" w:lineRule="exact"/>
        <w:rPr>
          <w:sz w:val="20"/>
          <w:szCs w:val="20"/>
          <w:color w:val="auto"/>
        </w:rPr>
      </w:pPr>
    </w:p>
    <w:p>
      <w:pPr>
        <w:ind w:left="200"/>
        <w:spacing w:after="0"/>
        <w:tabs>
          <w:tab w:leader="none" w:pos="5520" w:val="left"/>
          <w:tab w:leader="none" w:pos="7700" w:val="left"/>
        </w:tabs>
        <w:rPr>
          <w:sz w:val="20"/>
          <w:szCs w:val="20"/>
          <w:color w:val="auto"/>
        </w:rPr>
      </w:pPr>
      <w:r>
        <w:rPr>
          <w:rFonts w:ascii="Times New Roman" w:cs="Times New Roman" w:eastAsia="Times New Roman" w:hAnsi="Times New Roman"/>
          <w:sz w:val="18"/>
          <w:szCs w:val="18"/>
          <w:color w:val="auto"/>
        </w:rPr>
        <w:t>Date: February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Eric W. Thornburg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5">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5"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color w:val="auto"/>
        </w:rPr>
        <w:t>ERIC W. THORNBURG,</w:t>
      </w:r>
    </w:p>
    <w:p>
      <w:pPr>
        <w:jc w:val="center"/>
        <w:ind w:left="5720"/>
        <w:spacing w:after="0" w:line="219" w:lineRule="auto"/>
        <w:rPr>
          <w:sz w:val="20"/>
          <w:szCs w:val="20"/>
          <w:color w:val="auto"/>
        </w:rPr>
      </w:pPr>
      <w:r>
        <w:rPr>
          <w:rFonts w:ascii="Times New Roman" w:cs="Times New Roman" w:eastAsia="Times New Roman" w:hAnsi="Times New Roman"/>
          <w:sz w:val="18"/>
          <w:szCs w:val="18"/>
          <w:color w:val="auto"/>
        </w:rPr>
        <w:t>President, Chief Executive Officer and</w:t>
      </w:r>
    </w:p>
    <w:p>
      <w:pPr>
        <w:jc w:val="center"/>
        <w:ind w:left="5760"/>
        <w:spacing w:after="0" w:line="203" w:lineRule="auto"/>
        <w:rPr>
          <w:sz w:val="20"/>
          <w:szCs w:val="20"/>
          <w:color w:val="auto"/>
        </w:rPr>
      </w:pPr>
      <w:r>
        <w:rPr>
          <w:rFonts w:ascii="Times New Roman" w:cs="Times New Roman" w:eastAsia="Times New Roman" w:hAnsi="Times New Roman"/>
          <w:sz w:val="18"/>
          <w:szCs w:val="18"/>
          <w:color w:val="auto"/>
        </w:rPr>
        <w:t>Chair of the Board</w:t>
      </w:r>
    </w:p>
    <w:p>
      <w:pPr>
        <w:spacing w:after="0" w:line="1"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84" w:lineRule="exact"/>
        <w:rPr>
          <w:sz w:val="20"/>
          <w:szCs w:val="20"/>
          <w:color w:val="auto"/>
        </w:rPr>
      </w:pPr>
    </w:p>
    <w:p>
      <w:pPr>
        <w:ind w:left="200"/>
        <w:spacing w:after="0"/>
        <w:tabs>
          <w:tab w:leader="none" w:pos="5520" w:val="left"/>
          <w:tab w:leader="none" w:pos="7700" w:val="left"/>
        </w:tabs>
        <w:rPr>
          <w:sz w:val="20"/>
          <w:szCs w:val="20"/>
          <w:color w:val="auto"/>
        </w:rPr>
      </w:pPr>
      <w:r>
        <w:rPr>
          <w:rFonts w:ascii="Times New Roman" w:cs="Times New Roman" w:eastAsia="Times New Roman" w:hAnsi="Times New Roman"/>
          <w:sz w:val="18"/>
          <w:szCs w:val="18"/>
          <w:color w:val="auto"/>
        </w:rPr>
        <w:t>Date: February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F. Walters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6">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5"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color w:val="auto"/>
        </w:rPr>
        <w:t>ANDREW F. WALTERS,</w:t>
      </w:r>
    </w:p>
    <w:p>
      <w:pPr>
        <w:jc w:val="center"/>
        <w:ind w:left="5760"/>
        <w:spacing w:after="0" w:line="219" w:lineRule="auto"/>
        <w:rPr>
          <w:sz w:val="20"/>
          <w:szCs w:val="20"/>
          <w:color w:val="auto"/>
        </w:rPr>
      </w:pPr>
      <w:r>
        <w:rPr>
          <w:rFonts w:ascii="Times New Roman" w:cs="Times New Roman" w:eastAsia="Times New Roman" w:hAnsi="Times New Roman"/>
          <w:sz w:val="18"/>
          <w:szCs w:val="18"/>
          <w:color w:val="auto"/>
        </w:rPr>
        <w:t>Chief Financial Officer and Treasurer</w:t>
      </w:r>
    </w:p>
    <w:p>
      <w:pPr>
        <w:ind w:left="75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84" w:lineRule="exact"/>
        <w:rPr>
          <w:sz w:val="20"/>
          <w:szCs w:val="20"/>
          <w:color w:val="auto"/>
        </w:rPr>
      </w:pPr>
    </w:p>
    <w:p>
      <w:pPr>
        <w:ind w:left="200"/>
        <w:spacing w:after="0"/>
        <w:tabs>
          <w:tab w:leader="none" w:pos="5520" w:val="left"/>
          <w:tab w:leader="none" w:pos="7920" w:val="left"/>
        </w:tabs>
        <w:rPr>
          <w:sz w:val="20"/>
          <w:szCs w:val="20"/>
          <w:color w:val="auto"/>
        </w:rPr>
      </w:pPr>
      <w:r>
        <w:rPr>
          <w:rFonts w:ascii="Times New Roman" w:cs="Times New Roman" w:eastAsia="Times New Roman" w:hAnsi="Times New Roman"/>
          <w:sz w:val="18"/>
          <w:szCs w:val="18"/>
          <w:color w:val="auto"/>
        </w:rPr>
        <w:t>Date: February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Ann P.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7">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color w:val="auto"/>
        </w:rPr>
        <w:t>ANN P. KELLY,</w:t>
      </w:r>
    </w:p>
    <w:p>
      <w:pPr>
        <w:jc w:val="center"/>
        <w:ind w:left="5760"/>
        <w:spacing w:after="0" w:line="219" w:lineRule="auto"/>
        <w:rPr>
          <w:sz w:val="20"/>
          <w:szCs w:val="20"/>
          <w:color w:val="auto"/>
        </w:rPr>
      </w:pPr>
      <w:r>
        <w:rPr>
          <w:rFonts w:ascii="Times New Roman" w:cs="Times New Roman" w:eastAsia="Times New Roman" w:hAnsi="Times New Roman"/>
          <w:sz w:val="18"/>
          <w:szCs w:val="18"/>
          <w:color w:val="auto"/>
        </w:rPr>
        <w:t>Chief Accounting Officer</w:t>
      </w:r>
    </w:p>
    <w:p>
      <w:pPr>
        <w:ind w:left="74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78" w:lineRule="exact"/>
        <w:rPr>
          <w:sz w:val="20"/>
          <w:szCs w:val="20"/>
          <w:color w:val="auto"/>
        </w:rPr>
      </w:pPr>
    </w:p>
    <w:p>
      <w:pPr>
        <w:ind w:left="200"/>
        <w:spacing w:after="0"/>
        <w:tabs>
          <w:tab w:leader="none" w:pos="5520" w:val="left"/>
          <w:tab w:leader="none" w:pos="7860" w:val="left"/>
        </w:tabs>
        <w:rPr>
          <w:sz w:val="20"/>
          <w:szCs w:val="20"/>
          <w:color w:val="auto"/>
        </w:rPr>
      </w:pPr>
      <w:r>
        <w:rPr>
          <w:rFonts w:ascii="Times New Roman" w:cs="Times New Roman" w:eastAsia="Times New Roman" w:hAnsi="Times New Roman"/>
          <w:sz w:val="18"/>
          <w:szCs w:val="18"/>
          <w:color w:val="auto"/>
        </w:rPr>
        <w:t>Date: February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Carl Guardino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color w:val="auto"/>
        </w:rPr>
        <w:t>CARL GUARDINO,</w:t>
      </w:r>
    </w:p>
    <w:p>
      <w:pPr>
        <w:jc w:val="center"/>
        <w:ind w:left="5760"/>
        <w:spacing w:after="0"/>
        <w:rPr>
          <w:sz w:val="20"/>
          <w:szCs w:val="20"/>
          <w:color w:val="auto"/>
        </w:rPr>
      </w:pPr>
      <w:r>
        <w:rPr>
          <w:rFonts w:ascii="Times New Roman" w:cs="Times New Roman" w:eastAsia="Times New Roman" w:hAnsi="Times New Roman"/>
          <w:sz w:val="18"/>
          <w:szCs w:val="18"/>
          <w:color w:val="auto"/>
        </w:rPr>
        <w:t>Member, Board of Directors</w:t>
      </w:r>
    </w:p>
    <w:p>
      <w:pPr>
        <w:spacing w:after="0" w:line="70" w:lineRule="exact"/>
        <w:rPr>
          <w:sz w:val="20"/>
          <w:szCs w:val="20"/>
          <w:color w:val="auto"/>
        </w:rPr>
      </w:pPr>
    </w:p>
    <w:p>
      <w:pPr>
        <w:ind w:left="200"/>
        <w:spacing w:after="0"/>
        <w:tabs>
          <w:tab w:leader="none" w:pos="5520" w:val="left"/>
          <w:tab w:leader="none" w:pos="7720" w:val="left"/>
        </w:tabs>
        <w:rPr>
          <w:sz w:val="20"/>
          <w:szCs w:val="20"/>
          <w:color w:val="auto"/>
        </w:rPr>
      </w:pPr>
      <w:r>
        <w:rPr>
          <w:rFonts w:ascii="Times New Roman" w:cs="Times New Roman" w:eastAsia="Times New Roman" w:hAnsi="Times New Roman"/>
          <w:sz w:val="18"/>
          <w:szCs w:val="18"/>
          <w:color w:val="auto"/>
        </w:rPr>
        <w:t>Date: February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Mary Ann Hanley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color w:val="auto"/>
        </w:rPr>
        <w:t>MARY ANN HANLEY,</w:t>
      </w:r>
    </w:p>
    <w:p>
      <w:pPr>
        <w:jc w:val="center"/>
        <w:ind w:left="5760"/>
        <w:spacing w:after="0"/>
        <w:rPr>
          <w:sz w:val="20"/>
          <w:szCs w:val="20"/>
          <w:color w:val="auto"/>
        </w:rPr>
      </w:pPr>
      <w:r>
        <w:rPr>
          <w:rFonts w:ascii="Times New Roman" w:cs="Times New Roman" w:eastAsia="Times New Roman" w:hAnsi="Times New Roman"/>
          <w:sz w:val="18"/>
          <w:szCs w:val="18"/>
          <w:color w:val="auto"/>
        </w:rPr>
        <w:t>Member, Board of Directors</w:t>
      </w:r>
    </w:p>
    <w:p>
      <w:pPr>
        <w:spacing w:after="0" w:line="70" w:lineRule="exact"/>
        <w:rPr>
          <w:sz w:val="20"/>
          <w:szCs w:val="20"/>
          <w:color w:val="auto"/>
        </w:rPr>
      </w:pPr>
    </w:p>
    <w:p>
      <w:pPr>
        <w:ind w:left="200"/>
        <w:spacing w:after="0"/>
        <w:tabs>
          <w:tab w:leader="none" w:pos="5520" w:val="left"/>
          <w:tab w:leader="none" w:pos="7900" w:val="left"/>
        </w:tabs>
        <w:rPr>
          <w:sz w:val="20"/>
          <w:szCs w:val="20"/>
          <w:color w:val="auto"/>
        </w:rPr>
      </w:pPr>
      <w:r>
        <w:rPr>
          <w:rFonts w:ascii="Times New Roman" w:cs="Times New Roman" w:eastAsia="Times New Roman" w:hAnsi="Times New Roman"/>
          <w:sz w:val="18"/>
          <w:szCs w:val="18"/>
          <w:color w:val="auto"/>
        </w:rPr>
        <w:t>Date: February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Heather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0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color w:val="auto"/>
        </w:rPr>
        <w:t>HEATHER HUNT,</w:t>
      </w:r>
    </w:p>
    <w:p>
      <w:pPr>
        <w:jc w:val="center"/>
        <w:ind w:left="5760"/>
        <w:spacing w:after="0"/>
        <w:rPr>
          <w:sz w:val="20"/>
          <w:szCs w:val="20"/>
          <w:color w:val="auto"/>
        </w:rPr>
      </w:pPr>
      <w:r>
        <w:rPr>
          <w:rFonts w:ascii="Times New Roman" w:cs="Times New Roman" w:eastAsia="Times New Roman" w:hAnsi="Times New Roman"/>
          <w:sz w:val="18"/>
          <w:szCs w:val="18"/>
          <w:color w:val="auto"/>
        </w:rPr>
        <w:t>Member, Board of Directors</w:t>
      </w:r>
    </w:p>
    <w:p>
      <w:pPr>
        <w:spacing w:after="0" w:line="70" w:lineRule="exact"/>
        <w:rPr>
          <w:sz w:val="20"/>
          <w:szCs w:val="20"/>
          <w:color w:val="auto"/>
        </w:rPr>
      </w:pPr>
    </w:p>
    <w:p>
      <w:pPr>
        <w:ind w:left="200"/>
        <w:spacing w:after="0"/>
        <w:tabs>
          <w:tab w:leader="none" w:pos="5520" w:val="left"/>
          <w:tab w:leader="none" w:pos="7740" w:val="left"/>
        </w:tabs>
        <w:rPr>
          <w:sz w:val="20"/>
          <w:szCs w:val="20"/>
          <w:color w:val="auto"/>
        </w:rPr>
      </w:pPr>
      <w:r>
        <w:rPr>
          <w:rFonts w:ascii="Times New Roman" w:cs="Times New Roman" w:eastAsia="Times New Roman" w:hAnsi="Times New Roman"/>
          <w:sz w:val="18"/>
          <w:szCs w:val="18"/>
          <w:color w:val="auto"/>
        </w:rPr>
        <w:t>Date: February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Rebecca A.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1">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color w:val="auto"/>
        </w:rPr>
        <w:t>REBECCA A. KLEIN,</w:t>
      </w:r>
    </w:p>
    <w:p>
      <w:pPr>
        <w:jc w:val="center"/>
        <w:ind w:left="5760"/>
        <w:spacing w:after="0"/>
        <w:rPr>
          <w:sz w:val="20"/>
          <w:szCs w:val="20"/>
          <w:color w:val="auto"/>
        </w:rPr>
      </w:pPr>
      <w:r>
        <w:rPr>
          <w:rFonts w:ascii="Times New Roman" w:cs="Times New Roman" w:eastAsia="Times New Roman" w:hAnsi="Times New Roman"/>
          <w:sz w:val="18"/>
          <w:szCs w:val="18"/>
          <w:color w:val="auto"/>
        </w:rPr>
        <w:t>Member,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spacing w:after="0"/>
        <w:tabs>
          <w:tab w:leader="none" w:pos="5520" w:val="left"/>
          <w:tab w:leader="none" w:pos="7760" w:val="left"/>
        </w:tabs>
        <w:rPr>
          <w:sz w:val="20"/>
          <w:szCs w:val="20"/>
          <w:color w:val="auto"/>
        </w:rPr>
      </w:pPr>
      <w:r>
        <w:rPr>
          <w:rFonts w:ascii="Times New Roman" w:cs="Times New Roman" w:eastAsia="Times New Roman" w:hAnsi="Times New Roman"/>
          <w:sz w:val="18"/>
          <w:szCs w:val="18"/>
          <w:color w:val="auto"/>
        </w:rPr>
        <w:t>Date: February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Denise L. Kruger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3">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color w:val="auto"/>
        </w:rPr>
        <w:t>DENISE L. KRUGER,</w:t>
      </w:r>
    </w:p>
    <w:p>
      <w:pPr>
        <w:jc w:val="center"/>
        <w:ind w:left="5740"/>
        <w:spacing w:after="0"/>
        <w:rPr>
          <w:sz w:val="20"/>
          <w:szCs w:val="20"/>
          <w:color w:val="auto"/>
        </w:rPr>
      </w:pPr>
      <w:r>
        <w:rPr>
          <w:rFonts w:ascii="Times New Roman" w:cs="Times New Roman" w:eastAsia="Times New Roman" w:hAnsi="Times New Roman"/>
          <w:sz w:val="17"/>
          <w:szCs w:val="17"/>
          <w:color w:val="auto"/>
        </w:rPr>
        <w:t>Member, Board of Directors</w:t>
      </w:r>
    </w:p>
    <w:p>
      <w:pPr>
        <w:spacing w:after="0" w:line="82" w:lineRule="exact"/>
        <w:rPr>
          <w:sz w:val="20"/>
          <w:szCs w:val="20"/>
          <w:color w:val="auto"/>
        </w:rPr>
      </w:pPr>
    </w:p>
    <w:p>
      <w:pPr>
        <w:ind w:left="200"/>
        <w:spacing w:after="0"/>
        <w:tabs>
          <w:tab w:leader="none" w:pos="5520" w:val="left"/>
          <w:tab w:leader="none" w:pos="7720" w:val="left"/>
        </w:tabs>
        <w:rPr>
          <w:sz w:val="20"/>
          <w:szCs w:val="20"/>
          <w:color w:val="auto"/>
        </w:rPr>
      </w:pPr>
      <w:r>
        <w:rPr>
          <w:rFonts w:ascii="Times New Roman" w:cs="Times New Roman" w:eastAsia="Times New Roman" w:hAnsi="Times New Roman"/>
          <w:sz w:val="18"/>
          <w:szCs w:val="18"/>
          <w:color w:val="auto"/>
        </w:rPr>
        <w:t>Date: February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Gregory P. Landis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4">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5"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color w:val="auto"/>
        </w:rPr>
        <w:t>GREGORY P. LANDIS,</w:t>
      </w:r>
    </w:p>
    <w:p>
      <w:pPr>
        <w:jc w:val="center"/>
        <w:ind w:left="5740"/>
        <w:spacing w:after="0"/>
        <w:rPr>
          <w:sz w:val="20"/>
          <w:szCs w:val="20"/>
          <w:color w:val="auto"/>
        </w:rPr>
      </w:pPr>
      <w:r>
        <w:rPr>
          <w:rFonts w:ascii="Times New Roman" w:cs="Times New Roman" w:eastAsia="Times New Roman" w:hAnsi="Times New Roman"/>
          <w:sz w:val="17"/>
          <w:szCs w:val="17"/>
          <w:color w:val="auto"/>
        </w:rPr>
        <w:t>Member, Board of Directors</w:t>
      </w:r>
    </w:p>
    <w:p>
      <w:pPr>
        <w:spacing w:after="0" w:line="82" w:lineRule="exact"/>
        <w:rPr>
          <w:sz w:val="20"/>
          <w:szCs w:val="20"/>
          <w:color w:val="auto"/>
        </w:rPr>
      </w:pPr>
    </w:p>
    <w:p>
      <w:pPr>
        <w:ind w:left="200"/>
        <w:spacing w:after="0"/>
        <w:tabs>
          <w:tab w:leader="none" w:pos="5520" w:val="left"/>
          <w:tab w:leader="none" w:pos="7820" w:val="left"/>
        </w:tabs>
        <w:rPr>
          <w:sz w:val="20"/>
          <w:szCs w:val="20"/>
          <w:color w:val="auto"/>
        </w:rPr>
      </w:pPr>
      <w:r>
        <w:rPr>
          <w:rFonts w:ascii="Times New Roman" w:cs="Times New Roman" w:eastAsia="Times New Roman" w:hAnsi="Times New Roman"/>
          <w:sz w:val="18"/>
          <w:szCs w:val="18"/>
          <w:color w:val="auto"/>
        </w:rPr>
        <w:t>Date: February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B.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5">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color w:val="auto"/>
        </w:rPr>
        <w:t>DANIEL B. MORE,</w:t>
      </w:r>
    </w:p>
    <w:p>
      <w:pPr>
        <w:jc w:val="center"/>
        <w:ind w:left="5740"/>
        <w:spacing w:after="0"/>
        <w:rPr>
          <w:sz w:val="20"/>
          <w:szCs w:val="20"/>
          <w:color w:val="auto"/>
        </w:rPr>
      </w:pPr>
      <w:r>
        <w:rPr>
          <w:rFonts w:ascii="Times New Roman" w:cs="Times New Roman" w:eastAsia="Times New Roman" w:hAnsi="Times New Roman"/>
          <w:sz w:val="17"/>
          <w:szCs w:val="17"/>
          <w:color w:val="auto"/>
        </w:rPr>
        <w:t>Member, Board of Directors</w:t>
      </w:r>
    </w:p>
    <w:p>
      <w:pPr>
        <w:spacing w:after="0" w:line="82" w:lineRule="exact"/>
        <w:rPr>
          <w:sz w:val="20"/>
          <w:szCs w:val="20"/>
          <w:color w:val="auto"/>
        </w:rPr>
      </w:pPr>
    </w:p>
    <w:p>
      <w:pPr>
        <w:ind w:left="200"/>
        <w:spacing w:after="0"/>
        <w:tabs>
          <w:tab w:leader="none" w:pos="5520" w:val="left"/>
          <w:tab w:leader="none" w:pos="7780" w:val="left"/>
        </w:tabs>
        <w:rPr>
          <w:sz w:val="20"/>
          <w:szCs w:val="20"/>
          <w:color w:val="auto"/>
        </w:rPr>
      </w:pPr>
      <w:r>
        <w:rPr>
          <w:rFonts w:ascii="Times New Roman" w:cs="Times New Roman" w:eastAsia="Times New Roman" w:hAnsi="Times New Roman"/>
          <w:sz w:val="18"/>
          <w:szCs w:val="18"/>
          <w:color w:val="auto"/>
        </w:rPr>
        <w:t>Date: February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Carol P.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6">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5"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color w:val="auto"/>
        </w:rPr>
        <w:t>CAROL P. WALLACE,</w:t>
      </w:r>
    </w:p>
    <w:p>
      <w:pPr>
        <w:jc w:val="center"/>
        <w:ind w:left="5740"/>
        <w:spacing w:after="0"/>
        <w:rPr>
          <w:sz w:val="20"/>
          <w:szCs w:val="20"/>
          <w:color w:val="auto"/>
        </w:rPr>
      </w:pPr>
      <w:r>
        <w:rPr>
          <w:rFonts w:ascii="Times New Roman" w:cs="Times New Roman" w:eastAsia="Times New Roman" w:hAnsi="Times New Roman"/>
          <w:sz w:val="17"/>
          <w:szCs w:val="17"/>
          <w:color w:val="auto"/>
        </w:rPr>
        <w:t>Member,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0139"/>
          </w:cols>
          <w:pgMar w:left="320" w:top="121" w:right="1440"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SJW GROUP’S CAPITAL STOCK</w:t>
      </w:r>
    </w:p>
    <w:p>
      <w:pPr>
        <w:jc w:val="center"/>
        <w:spacing w:after="0" w:line="226" w:lineRule="auto"/>
        <w:rPr>
          <w:sz w:val="20"/>
          <w:szCs w:val="20"/>
          <w:color w:val="auto"/>
        </w:rPr>
      </w:pPr>
      <w:r>
        <w:rPr>
          <w:rFonts w:ascii="Times New Roman" w:cs="Times New Roman" w:eastAsia="Times New Roman" w:hAnsi="Times New Roman"/>
          <w:sz w:val="18"/>
          <w:szCs w:val="18"/>
          <w:b w:val="1"/>
          <w:bCs w:val="1"/>
          <w:color w:val="auto"/>
        </w:rPr>
        <w:t>REGISTERED UNDER SECTION 12 OF THE</w:t>
      </w: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8"/>
          <w:szCs w:val="18"/>
          <w:color w:val="auto"/>
        </w:rPr>
        <w:t>The following summary description of our capital stock is based on the provisions of the Delaware General Corporation Law (the “DGCL”), our certificate of incorporation, as amended, and our bylaws, as amended. This description does not purport to be complete and is qualified in its entirety by reference to the full text of the DGCL, as it may be amended from time to time, and to the terms of our certificate of incorporation and bylaws, as each may be amended from time to time, which are incorporated by reference as exhibits to the Annual Report on Form 10-K of which this Exhibit 4.5 is a part. As used in this “Description of Capital Stock,” the terms “SJW,” the “Company,” “we,” “our” and “us” refer to SJW Group, a Delaware corporation, and do not, unless otherwise specified, include our subsidiaries.</w:t>
      </w:r>
    </w:p>
    <w:p>
      <w:pPr>
        <w:spacing w:after="0" w:line="202"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Our authorized capital stock consists of 70,000,000 shares of common stock, par value $0.001 per share, and 1,000,000 shares of preferred stock, par value $0.001 per share.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right="40"/>
        <w:spacing w:after="0" w:line="236" w:lineRule="auto"/>
        <w:rPr>
          <w:sz w:val="20"/>
          <w:szCs w:val="20"/>
          <w:color w:val="auto"/>
        </w:rPr>
      </w:pPr>
      <w:r>
        <w:rPr>
          <w:rFonts w:ascii="Times New Roman" w:cs="Times New Roman" w:eastAsia="Times New Roman" w:hAnsi="Times New Roman"/>
          <w:sz w:val="18"/>
          <w:szCs w:val="18"/>
          <w:color w:val="auto"/>
        </w:rPr>
        <w:t>Each holder of record of our common stock is entitled to one vote for each share held on every matter properly submitted to our stockholders for their vote. Holders of our common stock do not have cumulative voting rights. After satisfaction of any dividend rights of holders of any outstanding preferred stock, holders of common stock are entitled ratably to any dividend declared by our board of directors out of funds legally available for this purpose.</w:t>
      </w:r>
    </w:p>
    <w:p>
      <w:pPr>
        <w:spacing w:after="0" w:line="199"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Upon our liquidation, dissolution or winding up, the holders of our common stock are entitled to receive ratably our net assets available, if any, after the payment of all debts and other liabilities and subject to the prior rights of any outstanding preferred stock.</w:t>
      </w:r>
    </w:p>
    <w:p>
      <w:pPr>
        <w:spacing w:after="0" w:line="190"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Our common stock is not subject to further calls or assessments by SJW, and holders of our common stock have no preemptive, subscription, redemption, conversion or exchange rights and no sinking fund provisions.</w:t>
      </w:r>
    </w:p>
    <w:p>
      <w:pPr>
        <w:spacing w:after="0" w:line="190"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The rights, preferences and privileges of holders of common stock are subject to, and may be adversely affected by, the rights of the holders of shares of any series of preferred stock that we may designate and issue in the future.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outstanding shares of our common stock are fully paid and non-assessable.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8"/>
          <w:szCs w:val="18"/>
          <w:color w:val="auto"/>
        </w:rPr>
        <w:t>Our certificate of incorporation permits us to issue up to 1,000,000 shares of preferred stock, par value $0.001 per share, in one or more series, subject to limitations prescribed by law, with such designations, powers, preferences and rights, and the qualifications, limitations or restrictions thereof, of any wholly unissued series of preferred stock as our board of directors may determine, including without limitation,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w:t>
      </w:r>
    </w:p>
    <w:p>
      <w:pPr>
        <w:spacing w:after="0" w:line="201" w:lineRule="exact"/>
        <w:rPr>
          <w:sz w:val="20"/>
          <w:szCs w:val="20"/>
          <w:color w:val="auto"/>
        </w:rPr>
      </w:pPr>
    </w:p>
    <w:p>
      <w:pPr>
        <w:ind w:right="180"/>
        <w:spacing w:after="0" w:line="227" w:lineRule="auto"/>
        <w:rPr>
          <w:sz w:val="20"/>
          <w:szCs w:val="20"/>
          <w:color w:val="auto"/>
        </w:rPr>
      </w:pPr>
      <w:r>
        <w:rPr>
          <w:rFonts w:ascii="Times New Roman" w:cs="Times New Roman" w:eastAsia="Times New Roman" w:hAnsi="Times New Roman"/>
          <w:sz w:val="18"/>
          <w:szCs w:val="18"/>
          <w:color w:val="auto"/>
        </w:rPr>
        <w:t>Our board of directors is further authorized to increase (but not above the total number of authorized shares of the class) or decrease (but not below the number of shares of any such series then outstanding) the number of shares of any series, the number of which was fixed by it, subsequent to the issuance of shares of such series then outstanding, subject to the powers, preferences and rights, and the qualifications, limitations and restrictions thereof stated in our certificate of incorporation or the resolution of our board of directors originally fixing the number of shares of such series. If the number of shares of any series is so decreased, then the shares constituting such decrease shall resume the status which they had prior to the adoption of the resolution originally fixing the number of shares of such series.</w:t>
      </w:r>
    </w:p>
    <w:p>
      <w:pPr>
        <w:spacing w:after="0" w:line="202" w:lineRule="exact"/>
        <w:rPr>
          <w:sz w:val="20"/>
          <w:szCs w:val="20"/>
          <w:color w:val="auto"/>
        </w:rPr>
      </w:pPr>
    </w:p>
    <w:p>
      <w:pPr>
        <w:ind w:right="800"/>
        <w:spacing w:after="0" w:line="250" w:lineRule="auto"/>
        <w:rPr>
          <w:sz w:val="20"/>
          <w:szCs w:val="20"/>
          <w:color w:val="auto"/>
        </w:rPr>
      </w:pPr>
      <w:r>
        <w:rPr>
          <w:rFonts w:ascii="Times New Roman" w:cs="Times New Roman" w:eastAsia="Times New Roman" w:hAnsi="Times New Roman"/>
          <w:sz w:val="18"/>
          <w:szCs w:val="18"/>
          <w:color w:val="auto"/>
        </w:rPr>
        <w:t>Our common stock is subject to the express terms of any preferred stock. Our board of directors may issue preferred stock with voting, dividend, liquidation and other rights that could adversely affect the relative rights of the holders of our common stock.</w:t>
      </w:r>
    </w:p>
    <w:p>
      <w:pPr>
        <w:sectPr>
          <w:pgSz w:w="11900" w:h="16838" w:orient="portrait"/>
          <w:cols w:equalWidth="0" w:num="1">
            <w:col w:w="11240"/>
          </w:cols>
          <w:pgMar w:left="320" w:top="11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the Certificate of Incorporation, Bylaws and Other Agreements</w:t>
      </w:r>
    </w:p>
    <w:p>
      <w:pPr>
        <w:spacing w:after="0" w:line="229"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Some provisions of Delaware law and our certificate of incorporation and bylaws may have an anti-takeover effect and may delay, defer or prevent a tender offer, proxy contest or other takeover attempt that a stockholder might consider in its best interest, including those attempts that might result in a premium over the market price for the shares held by stockholders. In particular, these provisions may frustrate or prevent any attempts by stockholders of SJW to replace or remove directors or take other corporate action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description of these provisions is set forth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Blank Check Preferred</w:t>
      </w:r>
    </w:p>
    <w:p>
      <w:pPr>
        <w:spacing w:after="0" w:line="229"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18"/>
          <w:szCs w:val="18"/>
          <w:color w:val="auto"/>
        </w:rPr>
        <w:t>As described above, our board of directors is authorized to create and issue from time to time, without stockholder approval, up to an aggregate of 1,000,000 shares of preferred stock in one or more series and to establish the number of shares of any series of preferred stock and to fix the designations, powers, preferences and rights of the shares of each series and any qualifications, limitations or restrictions of the shares of each series. The authority to designate preferred stock may be used to issue series of preferred stock, or rights to acquire preferred stock, that could dilute the interest of, or impair the voting power of, holders of our common stock or could also be used as a method of determining, delaying or preventing a change of control.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Meetings and Elections of Directors</w:t>
      </w:r>
    </w:p>
    <w:p>
      <w:pPr>
        <w:spacing w:after="0" w:line="227" w:lineRule="exact"/>
        <w:rPr>
          <w:sz w:val="20"/>
          <w:szCs w:val="20"/>
          <w:color w:val="auto"/>
        </w:rPr>
      </w:pPr>
    </w:p>
    <w:p>
      <w:pPr>
        <w:ind w:right="180"/>
        <w:spacing w:after="0" w:line="232" w:lineRule="auto"/>
        <w:rPr>
          <w:sz w:val="20"/>
          <w:szCs w:val="20"/>
          <w:color w:val="auto"/>
        </w:rPr>
      </w:pPr>
      <w:r>
        <w:rPr>
          <w:rFonts w:ascii="Times New Roman" w:cs="Times New Roman" w:eastAsia="Times New Roman" w:hAnsi="Times New Roman"/>
          <w:sz w:val="18"/>
          <w:szCs w:val="18"/>
          <w:i w:val="1"/>
          <w:iCs w:val="1"/>
          <w:color w:val="auto"/>
        </w:rPr>
        <w:t xml:space="preserve">Special Meetings of Stockholders. </w:t>
      </w:r>
      <w:r>
        <w:rPr>
          <w:rFonts w:ascii="Times New Roman" w:cs="Times New Roman" w:eastAsia="Times New Roman" w:hAnsi="Times New Roman"/>
          <w:sz w:val="18"/>
          <w:szCs w:val="18"/>
          <w:color w:val="auto"/>
        </w:rPr>
        <w:t>Our certificate of incorporation and bylaws limit the ability of stockholders to call a special meeting of stockholders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stockholders holding not less than 20% of outstanding voting power. In particular, our certificate of incorporation and bylaws provide that special meetings of the stockholders may be called at any time by the chair of the board, by the president, by our board of directors, or by stockholders holding 20% or more of our voting power.</w:t>
      </w:r>
    </w:p>
    <w:p>
      <w:pPr>
        <w:spacing w:after="0" w:line="199"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i w:val="1"/>
          <w:iCs w:val="1"/>
          <w:color w:val="auto"/>
        </w:rPr>
        <w:t xml:space="preserve">Stockholder Action by Written Consent. </w:t>
      </w:r>
      <w:r>
        <w:rPr>
          <w:rFonts w:ascii="Times New Roman" w:cs="Times New Roman" w:eastAsia="Times New Roman" w:hAnsi="Times New Roman"/>
          <w:sz w:val="18"/>
          <w:szCs w:val="18"/>
          <w:color w:val="auto"/>
        </w:rPr>
        <w:t>Our certificate of incorporation and bylaws provide that any action which may be taken at any annual or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of stockholders may be taken without a meeting and without prior notice, if a consent in writing, setting forth the action so taken, shall be signed by the holders of outstanding shares having not less than the minimum number of votes that would be necessary to authorize or take such action at a meeting at which all shares entitled to vote thereon were present and voted. However, directors may not be elected by written consent except by unanimous written consent of all shares entitled to vote for the election of directors.</w:t>
      </w:r>
    </w:p>
    <w:p>
      <w:pPr>
        <w:spacing w:after="0" w:line="196"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18"/>
          <w:szCs w:val="18"/>
          <w:i w:val="1"/>
          <w:iCs w:val="1"/>
          <w:color w:val="auto"/>
        </w:rPr>
        <w:t xml:space="preserve">Vacancies. </w:t>
      </w:r>
      <w:r>
        <w:rPr>
          <w:rFonts w:ascii="Times New Roman" w:cs="Times New Roman" w:eastAsia="Times New Roman" w:hAnsi="Times New Roman"/>
          <w:sz w:val="18"/>
          <w:szCs w:val="18"/>
          <w:color w:val="auto"/>
        </w:rPr>
        <w:t>Our certificate of incorporation and bylaws provide that vacancies occurring on our board of directors for any reason and newly created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directorships resulting from an increase in the authorized number of directors may be filled only by vote of a majority of the remaining members of our board of directors, although less than a quorum, or by a sole remaining director, at any meeting of our board of directors. A person so elected by our board of directors to fill a vacancy or newly created directorship shall hold office until the next succeeding annual meeting of stockholders and until his or her successor shall be duly elected and qualified or until his or her earlier resignation or removal.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certificate of incorporation prohibits cumulative voting in the election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Interested Stockholder Transaction and Business Combination</w:t>
      </w:r>
    </w:p>
    <w:p>
      <w:pPr>
        <w:spacing w:after="0" w:line="229"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The provisions of Section 203 of the DGCL govern SJW. Section 203 of DGCL prohibits, subject to certain exceptions, a Delaware corporation from engaging in a business combination with an interested stockholder (i.e., a stockholder acquiring 15% or more of the outstanding voting stock) for three years following the date that such stockholder becomes an interested stockholder without approval of our board of directors. Section 203 makes certain types of unfriendly or hostile corporate takeovers, or other non-board approved transactions involving a corporation and one or more of its significant stockholders, more difficult by prohibiting large stockholders, in particular those owning 15% or more of our outstanding voting stock, from merging or combining with us for a certain period of time without the consent of our board of directors. Delaware companies may opt out of Section 203 if the original certificate of incorporation expressly elects not to be governed by Section 203. Our certificate of incorporation and bylaws do not “opt out” of Section 203.</w:t>
      </w:r>
    </w:p>
    <w:p>
      <w:pPr>
        <w:sectPr>
          <w:pgSz w:w="11900" w:h="16838" w:orient="portrait"/>
          <w:cols w:equalWidth="0" w:num="1">
            <w:col w:w="11200"/>
          </w:cols>
          <w:pgMar w:left="320" w:top="1400" w:right="3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Delaware Forum</w:t>
      </w:r>
    </w:p>
    <w:p>
      <w:pPr>
        <w:spacing w:after="0" w:line="229"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Our certificate of incorporation provides, unless SJW consents in writing to the selection of an alternate forum, (a) a state or federal court located within the State of Delaware is the sole and exclusive forum for (i) any derivative action or proceeding brought on behalf of SJW, (ii) any action asserting a claim of breach of a fiduciary duty owed by any director, officer or other employee of SJW to SJW or SJW’s stockholders, (iii) any action asserting a claim arising pursuant to any provision of the DGCL, or (iv) any action asserting a claim governed by the internal affairs doctrine; and (b) the U.S. federal district courts is the sole and exclusive forum for any claim arising under the Securities Act of 1933 (unless such provision is deemed illegal, invalid or unenforceable, in which case, the sole exclusive state court forum for any claim arising under the Securities Act of 1933 will be the Court of Chancery in the State of Delaware)..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Bylaws</w:t>
      </w:r>
    </w:p>
    <w:p>
      <w:pPr>
        <w:spacing w:after="0" w:line="229"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Our bylaws contain an advance notice procedure for stockholder proposals to be brought before an annual meeting of stockholders, including proposed nominations of persons for election to our board of directors. Stockholders at an annual meeting will only be able to consider proposals or nominations specified in the notice of meeting or brought before the meeting by or at the direction of our board of directors or by a stockholder who was a stockholder of record on the record date for the meeting, who is entitled to vote at the meeting and who has given SJW’s corporate secretary timely written notice, in proper form, of the stockholder’s intention to bring that business before the annual meeting. Our bylaws may have the effect of precluding the conduct of certain business at a meeting if the proper procedures are not followed or may discourage or deter a potential acquiror from conducting a solicitation of proxies to elect its own slate of directors or otherwise attempting to obtain control of SJW.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Stock Market LLC under the symbol “SJW.”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w:t>
      </w:r>
    </w:p>
    <w:p>
      <w:pPr>
        <w:sectPr>
          <w:pgSz w:w="11900" w:h="16838" w:orient="portrait"/>
          <w:cols w:equalWidth="0" w:num="1">
            <w:col w:w="11240"/>
          </w:cols>
          <w:pgMar w:left="320" w:top="1400"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SECOND AMENDMENT TO THE SJW GROUP</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EXECUTIVE OFFICER SHORT-TERM INCENTIVE PLAN</w:t>
      </w:r>
    </w:p>
    <w:p>
      <w:pPr>
        <w:jc w:val="center"/>
        <w:spacing w:after="0"/>
        <w:rPr>
          <w:sz w:val="20"/>
          <w:szCs w:val="20"/>
          <w:color w:val="auto"/>
        </w:rPr>
      </w:pPr>
      <w:r>
        <w:rPr>
          <w:rFonts w:ascii="Times New Roman" w:cs="Times New Roman" w:eastAsia="Times New Roman" w:hAnsi="Times New Roman"/>
          <w:sz w:val="18"/>
          <w:szCs w:val="18"/>
          <w:color w:val="auto"/>
        </w:rPr>
        <w:t>(As Amended and Restated October 28, 2020)</w:t>
      </w:r>
    </w:p>
    <w:p>
      <w:pPr>
        <w:spacing w:after="0" w:line="219" w:lineRule="exact"/>
        <w:rPr>
          <w:sz w:val="20"/>
          <w:szCs w:val="20"/>
          <w:color w:val="auto"/>
        </w:rPr>
      </w:pPr>
    </w:p>
    <w:p>
      <w:pPr>
        <w:ind w:firstLine="583"/>
        <w:spacing w:after="0" w:line="266" w:lineRule="auto"/>
        <w:rPr>
          <w:sz w:val="20"/>
          <w:szCs w:val="20"/>
          <w:color w:val="auto"/>
        </w:rPr>
      </w:pPr>
      <w:r>
        <w:rPr>
          <w:rFonts w:ascii="Times New Roman" w:cs="Times New Roman" w:eastAsia="Times New Roman" w:hAnsi="Times New Roman"/>
          <w:sz w:val="18"/>
          <w:szCs w:val="18"/>
          <w:color w:val="auto"/>
        </w:rPr>
        <w:t>WHEREAS, SJW Group (the “Corporation”) maintains the SJW Group Executive Officer Short-Term Incentive Plan, as amended and restated on October 28, 2020 (the “Plan”);</w:t>
      </w:r>
    </w:p>
    <w:p>
      <w:pPr>
        <w:spacing w:after="0" w:line="189" w:lineRule="exact"/>
        <w:rPr>
          <w:sz w:val="20"/>
          <w:szCs w:val="20"/>
          <w:color w:val="auto"/>
        </w:rPr>
      </w:pPr>
    </w:p>
    <w:p>
      <w:pPr>
        <w:ind w:firstLine="583"/>
        <w:spacing w:after="0" w:line="266" w:lineRule="auto"/>
        <w:rPr>
          <w:sz w:val="20"/>
          <w:szCs w:val="20"/>
          <w:color w:val="auto"/>
        </w:rPr>
      </w:pPr>
      <w:r>
        <w:rPr>
          <w:rFonts w:ascii="Times New Roman" w:cs="Times New Roman" w:eastAsia="Times New Roman" w:hAnsi="Times New Roman"/>
          <w:sz w:val="18"/>
          <w:szCs w:val="18"/>
          <w:color w:val="auto"/>
        </w:rPr>
        <w:t>WHEREAS, the Corporation amended the Plan effective as of January 28, 2021 with respect to certain adjustment provisions related to the performance objectives set forth in the Plan; and</w:t>
      </w:r>
    </w:p>
    <w:p>
      <w:pPr>
        <w:spacing w:after="0" w:line="176" w:lineRule="exact"/>
        <w:rPr>
          <w:sz w:val="20"/>
          <w:szCs w:val="20"/>
          <w:color w:val="auto"/>
        </w:rPr>
      </w:pPr>
    </w:p>
    <w:p>
      <w:pPr>
        <w:ind w:firstLine="583"/>
        <w:spacing w:after="0" w:line="266" w:lineRule="auto"/>
        <w:rPr>
          <w:sz w:val="20"/>
          <w:szCs w:val="20"/>
          <w:color w:val="auto"/>
        </w:rPr>
      </w:pPr>
      <w:r>
        <w:rPr>
          <w:rFonts w:ascii="Times New Roman" w:cs="Times New Roman" w:eastAsia="Times New Roman" w:hAnsi="Times New Roman"/>
          <w:sz w:val="18"/>
          <w:szCs w:val="18"/>
          <w:color w:val="auto"/>
        </w:rPr>
        <w:t>WHEREAS, the Corporation wishes to further amend the Plan by removing the Maximum Incentive Compensation Award Amount, as defined in the Plan.</w:t>
      </w:r>
    </w:p>
    <w:p>
      <w:pPr>
        <w:spacing w:after="0" w:line="1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NOW, THEREFORE, the Plan is hereby amended as follows to be effective as of October 25, 2024:</w:t>
      </w:r>
    </w:p>
    <w:p>
      <w:pPr>
        <w:spacing w:after="0" w:line="235"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last sentence, excerpted below, of Section V.C. of the Plan is hereby </w:t>
      </w:r>
      <w:r>
        <w:rPr>
          <w:rFonts w:ascii="Times New Roman" w:cs="Times New Roman" w:eastAsia="Times New Roman" w:hAnsi="Times New Roman"/>
          <w:sz w:val="18"/>
          <w:szCs w:val="18"/>
          <w:b w:val="1"/>
          <w:bCs w:val="1"/>
          <w:color w:val="auto"/>
        </w:rPr>
        <w:t>deleted</w:t>
      </w:r>
      <w:r>
        <w:rPr>
          <w:rFonts w:ascii="Times New Roman" w:cs="Times New Roman" w:eastAsia="Times New Roman" w:hAnsi="Times New Roman"/>
          <w:sz w:val="18"/>
          <w:szCs w:val="18"/>
          <w:color w:val="auto"/>
        </w:rPr>
        <w:t xml:space="preserve"> in its entirety:</w:t>
      </w:r>
    </w:p>
    <w:p>
      <w:pPr>
        <w:spacing w:after="0" w:line="243" w:lineRule="exact"/>
        <w:rPr>
          <w:sz w:val="20"/>
          <w:szCs w:val="20"/>
          <w:color w:val="auto"/>
        </w:rPr>
      </w:pPr>
    </w:p>
    <w:p>
      <w:pPr>
        <w:ind w:right="220" w:firstLine="583"/>
        <w:spacing w:after="0" w:line="266" w:lineRule="auto"/>
        <w:rPr>
          <w:sz w:val="20"/>
          <w:szCs w:val="20"/>
          <w:color w:val="auto"/>
        </w:rPr>
      </w:pPr>
      <w:r>
        <w:rPr>
          <w:rFonts w:ascii="Times New Roman" w:cs="Times New Roman" w:eastAsia="Times New Roman" w:hAnsi="Times New Roman"/>
          <w:sz w:val="18"/>
          <w:szCs w:val="18"/>
          <w:color w:val="auto"/>
        </w:rPr>
        <w:t>“C. Under no circumstance, however, shall the aggregate incentive compensation award potential for any participant for any Performance Period exceed the applicable Maximum Incentive Compensation Award Amount set forth in Paragraph VI.B.”</w:t>
      </w:r>
    </w:p>
    <w:p>
      <w:pPr>
        <w:spacing w:after="0" w:line="189" w:lineRule="exact"/>
        <w:rPr>
          <w:sz w:val="20"/>
          <w:szCs w:val="20"/>
          <w:color w:val="auto"/>
        </w:rPr>
      </w:pPr>
    </w:p>
    <w:p>
      <w:pPr>
        <w:ind w:left="600" w:right="3220" w:hanging="268"/>
        <w:spacing w:after="0" w:line="516" w:lineRule="auto"/>
        <w:tabs>
          <w:tab w:leader="none" w:pos="52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VI.B. of the Plan is hereby deleted in its entirety and replaced with the following in lieu thereof: “B. Intentionally Omitted.”</w:t>
      </w:r>
    </w:p>
    <w:p>
      <w:pPr>
        <w:ind w:left="520" w:hanging="188"/>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modified by this Second Amendment, all the terms and provisions of the Plan shall continue to remain in full force and effect.</w:t>
      </w:r>
    </w:p>
    <w:p>
      <w:pPr>
        <w:spacing w:after="0" w:line="200" w:lineRule="exact"/>
        <w:rPr>
          <w:sz w:val="20"/>
          <w:szCs w:val="20"/>
          <w:color w:val="auto"/>
        </w:rPr>
      </w:pP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 WITNESS WHEREOF, the Corporation has caused this Second Amendment to be executed on this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October 2024.</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SJW Group</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Eric W. Thornburg</w:t>
      </w:r>
    </w:p>
    <w:p>
      <w:pPr>
        <w:spacing w:after="0" w:line="39" w:lineRule="exact"/>
        <w:rPr>
          <w:sz w:val="20"/>
          <w:szCs w:val="20"/>
          <w:color w:val="auto"/>
        </w:rPr>
      </w:pPr>
    </w:p>
    <w:p>
      <w:pPr>
        <w:sectPr>
          <w:pgSz w:w="11900" w:h="16838" w:orient="portrait"/>
          <w:cols w:equalWidth="0" w:num="2">
            <w:col w:w="3560" w:space="580"/>
            <w:col w:w="7100"/>
          </w:cols>
          <w:pgMar w:left="320" w:top="117" w:right="339" w:bottom="1440" w:gutter="0" w:footer="0" w:header="0"/>
          <w:type w:val="continuous"/>
        </w:sectPr>
      </w:pPr>
    </w:p>
    <w:p>
      <w:pPr>
        <w:ind w:left="33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Eric W. Thornburg</w:t>
      </w:r>
    </w:p>
    <w:p>
      <w:pPr>
        <w:spacing w:after="0" w:line="17" w:lineRule="exact"/>
        <w:rPr>
          <w:sz w:val="20"/>
          <w:szCs w:val="20"/>
          <w:color w:val="auto"/>
        </w:rPr>
      </w:pPr>
    </w:p>
    <w:p>
      <w:pPr>
        <w:sectPr>
          <w:pgSz w:w="11900" w:h="16838" w:orient="portrait"/>
          <w:cols w:equalWidth="0" w:num="2">
            <w:col w:w="3780" w:space="360"/>
            <w:col w:w="7100"/>
          </w:cols>
          <w:pgMar w:left="320" w:top="117" w:right="339" w:bottom="1440" w:gutter="0" w:footer="0" w:header="0"/>
          <w:type w:val="continuous"/>
        </w:sectPr>
      </w:pPr>
    </w:p>
    <w:p>
      <w:pPr>
        <w:spacing w:after="0" w:line="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President, Chief Executive</w:t>
      </w:r>
    </w:p>
    <w:p>
      <w:pPr>
        <w:spacing w:after="0"/>
        <w:rPr>
          <w:sz w:val="20"/>
          <w:szCs w:val="20"/>
          <w:color w:val="auto"/>
        </w:rPr>
      </w:pPr>
      <w:r>
        <w:rPr>
          <w:rFonts w:ascii="Times New Roman" w:cs="Times New Roman" w:eastAsia="Times New Roman" w:hAnsi="Times New Roman"/>
          <w:sz w:val="17"/>
          <w:szCs w:val="17"/>
          <w:color w:val="auto"/>
        </w:rPr>
        <w:t>Officer and Chairman of the Board</w:t>
      </w:r>
    </w:p>
    <w:p>
      <w:pPr>
        <w:sectPr>
          <w:pgSz w:w="11900" w:h="16838" w:orient="portrait"/>
          <w:cols w:equalWidth="0" w:num="2">
            <w:col w:w="3680" w:space="460"/>
            <w:col w:w="7100"/>
          </w:cols>
          <w:pgMar w:left="320" w:top="117" w:right="339" w:bottom="1440" w:gutter="0" w:footer="0" w:header="0"/>
          <w:type w:val="continuous"/>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SJW GROUP</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DEFERRAL ELECTION PROGRAM FOR NON-EMPLOYEE BOARD MEMBERS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AS AMENDED AND RESTATED FEBRUARY 26, 2025</w:t>
      </w:r>
    </w:p>
    <w:p>
      <w:pPr>
        <w:spacing w:after="0" w:line="192" w:lineRule="exact"/>
        <w:rPr>
          <w:sz w:val="20"/>
          <w:szCs w:val="20"/>
          <w:color w:val="auto"/>
        </w:rPr>
      </w:pPr>
    </w:p>
    <w:p>
      <w:pPr>
        <w:ind w:left="640" w:hanging="632"/>
        <w:spacing w:after="0"/>
        <w:tabs>
          <w:tab w:leader="none" w:pos="6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PURPOSE OF RESTATEMENT</w:t>
      </w:r>
    </w:p>
    <w:p>
      <w:pPr>
        <w:spacing w:after="0" w:line="223" w:lineRule="exact"/>
        <w:rPr>
          <w:rFonts w:ascii="Times New Roman" w:cs="Times New Roman" w:eastAsia="Times New Roman" w:hAnsi="Times New Roman"/>
          <w:sz w:val="22"/>
          <w:szCs w:val="22"/>
          <w:color w:val="auto"/>
        </w:rPr>
      </w:pPr>
    </w:p>
    <w:p>
      <w:pPr>
        <w:jc w:val="both"/>
        <w:ind w:firstLine="656"/>
        <w:spacing w:after="0" w:line="224" w:lineRule="auto"/>
        <w:tabs>
          <w:tab w:leader="none" w:pos="129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Amended and Restated Annual Retainer Fee Deferral Program (the “Program”) became effective upon adoption by the Board of Directors of SJW Group (the “Corporation”) at its February 26, 2025 meeting. The Program incorporates the terms of the Plan as amended and restated effective June 1, 2006, and as further amended December 6, 2007, October 30, 2013, and November 14, 2016, and to incorporate a new provision at Section V(E) addressing distribution of a Participant’s Deferral Election Accounts in the event of his or her death.</w:t>
      </w:r>
    </w:p>
    <w:p>
      <w:pPr>
        <w:spacing w:after="0" w:line="4"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2"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objectives of the Program as so restated are to (i) continue to promote the long-term success of the Corporation by linking incentive opportunities for non-employee members of the Board to the performance of the Corporation and (ii) expand the elements of compensation which such Board members may elect to defer under the Program to include retainer fees for service on any Board committee and fees for attendance at Board and Board committee meetings.</w:t>
      </w:r>
    </w:p>
    <w:p>
      <w:pPr>
        <w:spacing w:after="0" w:line="3" w:lineRule="exact"/>
        <w:rPr>
          <w:rFonts w:ascii="Times New Roman" w:cs="Times New Roman" w:eastAsia="Times New Roman" w:hAnsi="Times New Roman"/>
          <w:sz w:val="22"/>
          <w:szCs w:val="22"/>
          <w:color w:val="auto"/>
        </w:rPr>
      </w:pPr>
    </w:p>
    <w:p>
      <w:pPr>
        <w:jc w:val="both"/>
        <w:ind w:firstLine="656"/>
        <w:spacing w:after="0" w:line="231" w:lineRule="auto"/>
        <w:tabs>
          <w:tab w:leader="none" w:pos="1292"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such restated objectives, the Program was renamed the SJW Corp. Deferral Election Program for Non-Employee Board Members, effective June 1, 2006. By amendment effective November 15, 2016, the title of the Program was revised to SJW Group Deferral Election Program for Non-Employee Board Members.</w:t>
      </w:r>
    </w:p>
    <w:p>
      <w:pPr>
        <w:spacing w:after="0" w:line="187"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ELIGIBILITY</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Each non-employee member of the Corporation’s Board of Directors is eligible to participate in the Program.</w:t>
      </w:r>
    </w:p>
    <w:p>
      <w:pPr>
        <w:spacing w:after="0" w:line="216"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DEFERRAL AWARDS.</w:t>
      </w:r>
    </w:p>
    <w:p>
      <w:pPr>
        <w:spacing w:after="0" w:line="223" w:lineRule="exact"/>
        <w:rPr>
          <w:rFonts w:ascii="Times New Roman" w:cs="Times New Roman" w:eastAsia="Times New Roman" w:hAnsi="Times New Roman"/>
          <w:sz w:val="22"/>
          <w:szCs w:val="22"/>
          <w:color w:val="auto"/>
        </w:rPr>
      </w:pPr>
    </w:p>
    <w:p>
      <w:pPr>
        <w:jc w:val="both"/>
        <w:ind w:firstLine="648"/>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A. </w:t>
      </w:r>
      <w:r>
        <w:rPr>
          <w:rFonts w:ascii="Times New Roman" w:cs="Times New Roman" w:eastAsia="Times New Roman" w:hAnsi="Times New Roman"/>
          <w:sz w:val="21"/>
          <w:szCs w:val="21"/>
          <w:u w:val="single" w:color="auto"/>
          <w:color w:val="auto"/>
        </w:rPr>
        <w:t>Term of Program.</w:t>
      </w:r>
      <w:r>
        <w:rPr>
          <w:rFonts w:ascii="Times New Roman" w:cs="Times New Roman" w:eastAsia="Times New Roman" w:hAnsi="Times New Roman"/>
          <w:sz w:val="21"/>
          <w:szCs w:val="21"/>
          <w:color w:val="auto"/>
        </w:rPr>
        <w:t xml:space="preserve"> The following fees payable to an eligible Board member for each calendar year, beginning with the 2007 calendar year, may be deferred under the Program as restated June 1, 2006: (i) the annual retainer fee for his service as a non-employee member of the board of directors of the Corporation or any affiliated entity (with each such board to be separately referred to herein as the “Board”), (ii) the annual retainer fee for his service as a non-employee member of any committee of each such Board, (iii) the attendance fee for each meeting of each such Board which is scheduled for such calendar year prior to the start of that calendar year and (iv) the attendance fee for each meeting of each committee of each such Board on which such individual serves which is scheduled for such calendar year prior to the start of that calendar year. Such retainer and scheduled meeting fees for each calendar year for which the restated Program continues in effect shall hereinafter be collectively referred to as the “Annual Service Fees.” Fees for Board or Board committee meetings which occur during a particular calendar year but which were not scheduled prior to the start of that calendar year cannot be deferred under the Program.</w:t>
      </w:r>
    </w:p>
    <w:p>
      <w:pPr>
        <w:sectPr>
          <w:pgSz w:w="11900" w:h="16838" w:orient="portrait"/>
          <w:cols w:equalWidth="0" w:num="1">
            <w:col w:w="11240"/>
          </w:cols>
          <w:pgMar w:left="320" w:top="117" w:right="339" w:bottom="1440" w:gutter="0" w:footer="0" w:header="0"/>
        </w:sectPr>
      </w:pPr>
    </w:p>
    <w:bookmarkStart w:id="105" w:name="page106"/>
    <w:bookmarkEnd w:id="105"/>
    <w:p>
      <w:pPr>
        <w:jc w:val="both"/>
        <w:ind w:firstLine="656"/>
        <w:spacing w:after="0" w:line="244" w:lineRule="auto"/>
        <w:tabs>
          <w:tab w:leader="none" w:pos="1292"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Deferral Procedure.</w:t>
      </w:r>
      <w:r>
        <w:rPr>
          <w:rFonts w:ascii="Times New Roman" w:cs="Times New Roman" w:eastAsia="Times New Roman" w:hAnsi="Times New Roman"/>
          <w:sz w:val="22"/>
          <w:szCs w:val="22"/>
          <w:color w:val="auto"/>
        </w:rPr>
        <w:t xml:space="preserve"> Each non-employee member of the Corporation’s Board of Directors (“Participant”) may elect to defer the following percentages of the Annual Services Fees for any calendar year by completing and filing with the Corporation a Deferral Election Form for that calendar year:</w:t>
      </w:r>
    </w:p>
    <w:p>
      <w:pPr>
        <w:spacing w:after="0" w:line="200" w:lineRule="exact"/>
        <w:rPr>
          <w:sz w:val="20"/>
          <w:szCs w:val="20"/>
          <w:color w:val="auto"/>
        </w:rPr>
      </w:pPr>
    </w:p>
    <w:p>
      <w:pPr>
        <w:ind w:firstLine="656"/>
        <w:spacing w:after="0" w:line="245" w:lineRule="auto"/>
        <w:tabs>
          <w:tab w:leader="none" w:pos="787"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fifty percent (50%) or one hundred percent (100%) of the portion of the Annual Service Fees attributable to the retainer fees for service on each Board and each committee of such Board on which the Participant serves, and</w:t>
      </w:r>
    </w:p>
    <w:p>
      <w:pPr>
        <w:spacing w:after="0" w:line="199" w:lineRule="exact"/>
        <w:rPr>
          <w:rFonts w:ascii="Times New Roman" w:cs="Times New Roman" w:eastAsia="Times New Roman" w:hAnsi="Times New Roman"/>
          <w:sz w:val="22"/>
          <w:szCs w:val="22"/>
          <w:color w:val="auto"/>
        </w:rPr>
      </w:pPr>
    </w:p>
    <w:p>
      <w:pPr>
        <w:ind w:firstLine="656"/>
        <w:spacing w:after="0" w:line="245" w:lineRule="auto"/>
        <w:tabs>
          <w:tab w:leader="none" w:pos="774"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hundred percent (100%) of the portion of the Annual Service Fees attributable to the meeting fees of each Board and each committee of such Board on which the Participant serves.</w:t>
      </w:r>
    </w:p>
    <w:p>
      <w:pPr>
        <w:spacing w:after="0" w:line="186" w:lineRule="exact"/>
        <w:rPr>
          <w:sz w:val="20"/>
          <w:szCs w:val="20"/>
          <w:color w:val="auto"/>
        </w:rPr>
      </w:pPr>
    </w:p>
    <w:p>
      <w:pPr>
        <w:jc w:val="both"/>
        <w:ind w:firstLine="656"/>
        <w:spacing w:after="0" w:line="238" w:lineRule="auto"/>
        <w:tabs>
          <w:tab w:leader="none" w:pos="121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Filing of Election.</w:t>
      </w:r>
      <w:r>
        <w:rPr>
          <w:rFonts w:ascii="Times New Roman" w:cs="Times New Roman" w:eastAsia="Times New Roman" w:hAnsi="Times New Roman"/>
          <w:sz w:val="22"/>
          <w:szCs w:val="22"/>
          <w:color w:val="auto"/>
        </w:rPr>
        <w:t xml:space="preserve"> Such election must be filed on or before December 31 of the calendar year preceding the particular calendar year for which the Annual Service Fees subject to that election are to be earned. Each such election shall become irrevocable on that December 31 filing deadline and cannot be modified for any reason thereafter.</w:t>
      </w:r>
    </w:p>
    <w:p>
      <w:pPr>
        <w:spacing w:after="0" w:line="192" w:lineRule="exact"/>
        <w:rPr>
          <w:rFonts w:ascii="Times New Roman" w:cs="Times New Roman" w:eastAsia="Times New Roman" w:hAnsi="Times New Roman"/>
          <w:sz w:val="22"/>
          <w:szCs w:val="22"/>
          <w:color w:val="auto"/>
        </w:rPr>
      </w:pPr>
    </w:p>
    <w:p>
      <w:pPr>
        <w:jc w:val="both"/>
        <w:ind w:firstLine="656"/>
        <w:spacing w:after="0" w:line="227" w:lineRule="auto"/>
        <w:tabs>
          <w:tab w:leader="none" w:pos="111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Separate Account.</w:t>
      </w:r>
      <w:r>
        <w:rPr>
          <w:rFonts w:ascii="Times New Roman" w:cs="Times New Roman" w:eastAsia="Times New Roman" w:hAnsi="Times New Roman"/>
          <w:sz w:val="22"/>
          <w:szCs w:val="22"/>
          <w:color w:val="auto"/>
        </w:rPr>
        <w:t xml:space="preserve"> For each calendar year for which the Participant defers all or part of his Annual Service Fees, a separate Deferral Election Account shall be established and credited with the amount of the Annual Service Fees deferred for that year. The Annual Service Fees that the Participant elects to defer for each calendar year shall be credited to his or her Deferral Election Account for that year pursuant to one of the following alternatives selected by the Plan Administrator prior to the start of that calendar year:</w:t>
      </w:r>
    </w:p>
    <w:p>
      <w:pPr>
        <w:spacing w:after="0" w:line="194" w:lineRule="exact"/>
        <w:rPr>
          <w:rFonts w:ascii="Times New Roman" w:cs="Times New Roman" w:eastAsia="Times New Roman" w:hAnsi="Times New Roman"/>
          <w:sz w:val="22"/>
          <w:szCs w:val="22"/>
          <w:color w:val="auto"/>
        </w:rPr>
      </w:pPr>
    </w:p>
    <w:p>
      <w:pPr>
        <w:jc w:val="both"/>
        <w:ind w:firstLine="1304"/>
        <w:spacing w:after="0" w:line="230" w:lineRule="auto"/>
        <w:tabs>
          <w:tab w:leader="none" w:pos="1944"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Service Fees that the Participant defers for a particular calendar year may be credited in a lump sum to the Participant’s Deferral Election Account for that year on the first business day of that calendar year or as soon as administratively practicable thereafter, but in no event later than the last business day in January in that calendar year. In the event of such lump sum credit, the vesting schedule set forth in Section III.G below shall be applicable to the Annual Service Fees credited to the Participant’s Deferral Election Account established for that calendar year.</w:t>
      </w:r>
    </w:p>
    <w:p>
      <w:pPr>
        <w:spacing w:after="0" w:line="191" w:lineRule="exact"/>
        <w:rPr>
          <w:rFonts w:ascii="Times New Roman" w:cs="Times New Roman" w:eastAsia="Times New Roman" w:hAnsi="Times New Roman"/>
          <w:sz w:val="22"/>
          <w:szCs w:val="22"/>
          <w:color w:val="auto"/>
        </w:rPr>
      </w:pPr>
    </w:p>
    <w:p>
      <w:pPr>
        <w:jc w:val="both"/>
        <w:ind w:firstLine="1304"/>
        <w:spacing w:after="0" w:line="237" w:lineRule="auto"/>
        <w:tabs>
          <w:tab w:leader="none" w:pos="1944"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Annual Service Fees that a Participant defers for a particular calendar year may be credited periodically to the Participant’s Deferral Election Account for that year as and when those Annual Service Fees would otherwise become due and payable to the Participant during such calendar year in the absence of his or her Deferral Election for that calendar year, with the final such credit to be made no later than the last business day in that calendar year. All amounts so credited to the Participant’s Deferral Election Account established for that calendar year shall at all times be fully vested, and the vesting schedule set forth in Section III.G below shall not be applicable to those periodically-credited Annual Service Fees. For the Deferral Election Account established for the 2013 calendar year, the periodic credit alternative shall be utilized.</w:t>
      </w:r>
    </w:p>
    <w:p>
      <w:pPr>
        <w:spacing w:after="0" w:line="19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1"/>
          <w:szCs w:val="21"/>
          <w:color w:val="auto"/>
        </w:rPr>
        <w:t>The Participant’s right to receive the balance credited to his or her Deferral Election Account, whether denominated as a dollar amount or in deferred shares of the Corporation’s Common Stock, shall be an unfunded and unsecured right of a general creditor.</w:t>
      </w:r>
    </w:p>
    <w:p>
      <w:pPr>
        <w:spacing w:after="0" w:line="176" w:lineRule="exact"/>
        <w:rPr>
          <w:sz w:val="20"/>
          <w:szCs w:val="20"/>
          <w:color w:val="auto"/>
        </w:rPr>
      </w:pPr>
    </w:p>
    <w:p>
      <w:pPr>
        <w:ind w:firstLine="656"/>
        <w:spacing w:after="0" w:line="245" w:lineRule="auto"/>
        <w:tabs>
          <w:tab w:leader="none" w:pos="110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of Deferral for Pre-2008 Annual Service Fees.</w:t>
      </w:r>
      <w:r>
        <w:rPr>
          <w:rFonts w:ascii="Times New Roman" w:cs="Times New Roman" w:eastAsia="Times New Roman" w:hAnsi="Times New Roman"/>
          <w:sz w:val="22"/>
          <w:szCs w:val="22"/>
          <w:color w:val="auto"/>
        </w:rPr>
        <w:t xml:space="preserve"> The Annual Service Fees for any pre-2008 calendar year that were deferred under the Program and credited to the</w:t>
      </w:r>
    </w:p>
    <w:p>
      <w:pPr>
        <w:sectPr>
          <w:pgSz w:w="11900" w:h="16838" w:orient="portrait"/>
          <w:cols w:equalWidth="0" w:num="1">
            <w:col w:w="11240"/>
          </w:cols>
          <w:pgMar w:left="320" w:top="1408" w:right="339" w:bottom="1440" w:gutter="0" w:footer="0" w:header="0"/>
        </w:sectPr>
      </w:pPr>
    </w:p>
    <w:bookmarkStart w:id="106" w:name="page107"/>
    <w:bookmarkEnd w:id="106"/>
    <w:p>
      <w:pPr>
        <w:jc w:val="both"/>
        <w:spacing w:after="0" w:line="230" w:lineRule="auto"/>
        <w:rPr>
          <w:sz w:val="20"/>
          <w:szCs w:val="20"/>
          <w:color w:val="auto"/>
        </w:rPr>
      </w:pPr>
      <w:r>
        <w:rPr>
          <w:rFonts w:ascii="Times New Roman" w:cs="Times New Roman" w:eastAsia="Times New Roman" w:hAnsi="Times New Roman"/>
          <w:sz w:val="22"/>
          <w:szCs w:val="22"/>
          <w:color w:val="auto"/>
        </w:rPr>
        <w:t>Participant’s Deferral Election Account for that year were converted into deferred shares of Common Stock subject to the terms of this Program. Such conversion was effected on the first business day of each such pre-2008 calendar year by dividing (i) the dollar amount of the Annual Service Fees deferred for that year by (ii) the Fair Market Value per share of the Corporation’s Common Stock on the business day immediately prior to such conversion date.</w:t>
      </w:r>
    </w:p>
    <w:p>
      <w:pPr>
        <w:spacing w:after="0" w:line="191" w:lineRule="exact"/>
        <w:rPr>
          <w:sz w:val="20"/>
          <w:szCs w:val="20"/>
          <w:color w:val="auto"/>
        </w:rPr>
      </w:pPr>
    </w:p>
    <w:p>
      <w:pPr>
        <w:jc w:val="both"/>
        <w:ind w:firstLine="656"/>
        <w:spacing w:after="0" w:line="233" w:lineRule="auto"/>
        <w:tabs>
          <w:tab w:leader="none" w:pos="104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of Deferral for Post-2007 Annual Service Fees.</w:t>
      </w:r>
      <w:r>
        <w:rPr>
          <w:rFonts w:ascii="Times New Roman" w:cs="Times New Roman" w:eastAsia="Times New Roman" w:hAnsi="Times New Roman"/>
          <w:sz w:val="22"/>
          <w:szCs w:val="22"/>
          <w:color w:val="auto"/>
        </w:rPr>
        <w:t xml:space="preserve"> The Annual Service Fees for any post-2007 calendar year that are deferred under the Program will be credited as a dollar amount to the Deferral Election Account established for the Participant for that particular year. The account will subsequently be credited with a fixed rate of interest, compounded semi-annually and periodically reset in accordance with the following procedures:</w:t>
      </w:r>
    </w:p>
    <w:p>
      <w:pPr>
        <w:spacing w:after="0" w:line="192" w:lineRule="exact"/>
        <w:rPr>
          <w:sz w:val="20"/>
          <w:szCs w:val="20"/>
          <w:color w:val="auto"/>
        </w:rPr>
      </w:pPr>
    </w:p>
    <w:p>
      <w:pPr>
        <w:jc w:val="both"/>
        <w:ind w:firstLine="656"/>
        <w:spacing w:after="0" w:line="246" w:lineRule="auto"/>
        <w:tabs>
          <w:tab w:leader="none" w:pos="787"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each calendar year, beginning with the 2008 calendar year, in which there is a balance credited to such Deferral Election Account, the fixed rate of interest shall be equal to the lower of (i) the then current 30-year long-term borrowing cost of funds to San Jose Water Company (or the equivalent thereof), as measured as of the start of such calendar year, or (ii) 120% of the long-term Applicable Federal Rate determined as of the start of such calendar year and based on semi-annual compounding.</w:t>
      </w:r>
    </w:p>
    <w:p>
      <w:pPr>
        <w:spacing w:after="0" w:line="198" w:lineRule="exact"/>
        <w:rPr>
          <w:sz w:val="20"/>
          <w:szCs w:val="20"/>
          <w:color w:val="auto"/>
        </w:rPr>
      </w:pPr>
    </w:p>
    <w:p>
      <w:pPr>
        <w:jc w:val="both"/>
        <w:ind w:firstLine="656"/>
        <w:spacing w:after="0" w:line="248" w:lineRule="auto"/>
        <w:tabs>
          <w:tab w:leader="none" w:pos="1074"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w:t>
      </w:r>
      <w:r>
        <w:rPr>
          <w:rFonts w:ascii="Times New Roman" w:cs="Times New Roman" w:eastAsia="Times New Roman" w:hAnsi="Times New Roman"/>
          <w:sz w:val="21"/>
          <w:szCs w:val="21"/>
          <w:color w:val="auto"/>
        </w:rPr>
        <w:t xml:space="preserve"> The Deferral Election Account established for the Annual Service Fees for a particular calendar year that are deferred in whole or in part under the Program shall vest in accordance the following provisions, if those Annual Service Fees are credited to the Participant’s Deferral Election Account pursuant to the lump sum alternative set forth in Section III.D above:</w:t>
      </w:r>
    </w:p>
    <w:p>
      <w:pPr>
        <w:spacing w:after="0" w:line="183" w:lineRule="exact"/>
        <w:rPr>
          <w:sz w:val="20"/>
          <w:szCs w:val="20"/>
          <w:color w:val="auto"/>
        </w:rPr>
      </w:pPr>
    </w:p>
    <w:p>
      <w:pPr>
        <w:jc w:val="both"/>
        <w:ind w:firstLine="656"/>
        <w:spacing w:after="0" w:line="238" w:lineRule="auto"/>
        <w:tabs>
          <w:tab w:leader="none" w:pos="77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portion of such account attributable to the annual retainer fee for service as a non-employee member of each Board on which the Participant serves will vest in twelve (12) equal monthly installments upon the Participant’s completion of each month of such Board service during the calendar year to which that award relates;</w:t>
      </w:r>
    </w:p>
    <w:p>
      <w:pPr>
        <w:spacing w:after="0" w:line="192" w:lineRule="exact"/>
        <w:rPr>
          <w:rFonts w:ascii="Times New Roman" w:cs="Times New Roman" w:eastAsia="Times New Roman" w:hAnsi="Times New Roman"/>
          <w:sz w:val="22"/>
          <w:szCs w:val="22"/>
          <w:color w:val="auto"/>
        </w:rPr>
      </w:pPr>
    </w:p>
    <w:p>
      <w:pPr>
        <w:jc w:val="both"/>
        <w:ind w:firstLine="656"/>
        <w:spacing w:after="0" w:line="238" w:lineRule="auto"/>
        <w:tabs>
          <w:tab w:leader="none" w:pos="787"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portion of the account attributable to the annual retainer fee for service as a non-employee member of any Board committee will vest in twelve (12) equal monthly installments upon the Participant’s completion of each month of such committee service during the calendar year to which that award relates; and</w:t>
      </w:r>
    </w:p>
    <w:p>
      <w:pPr>
        <w:spacing w:after="0" w:line="205" w:lineRule="exact"/>
        <w:rPr>
          <w:rFonts w:ascii="Times New Roman" w:cs="Times New Roman" w:eastAsia="Times New Roman" w:hAnsi="Times New Roman"/>
          <w:sz w:val="22"/>
          <w:szCs w:val="22"/>
          <w:color w:val="auto"/>
        </w:rPr>
      </w:pPr>
    </w:p>
    <w:p>
      <w:pPr>
        <w:jc w:val="both"/>
        <w:ind w:firstLine="656"/>
        <w:spacing w:after="0" w:line="234" w:lineRule="auto"/>
        <w:tabs>
          <w:tab w:leader="none" w:pos="787"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portion of the account attributable to meeting fees for each Board or each committee of such Board on which the Participant serves will vest in twelve (12) equal monthly installments upon the Participant’s completion of each month of service on that Board during the calendar year to which those meeting fees relate.</w:t>
      </w:r>
    </w:p>
    <w:p>
      <w:pPr>
        <w:spacing w:after="0" w:line="20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IV.</w:t>
      </w:r>
      <w:r>
        <w:rPr>
          <w:sz w:val="20"/>
          <w:szCs w:val="20"/>
          <w:color w:val="auto"/>
        </w:rPr>
        <w:tab/>
      </w:r>
      <w:r>
        <w:rPr>
          <w:rFonts w:ascii="Times New Roman" w:cs="Times New Roman" w:eastAsia="Times New Roman" w:hAnsi="Times New Roman"/>
          <w:sz w:val="22"/>
          <w:szCs w:val="22"/>
          <w:b w:val="1"/>
          <w:bCs w:val="1"/>
          <w:color w:val="auto"/>
        </w:rPr>
        <w:t>DIVIDEND RIGHTS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656"/>
        <w:spacing w:after="0" w:line="234" w:lineRule="auto"/>
        <w:tabs>
          <w:tab w:leader="none" w:pos="1083"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through December 31, 2017 or such earlier date as the deferred shares of Common Stock credited to one or more of the Participant’s Deferral Election Accounts may be distributed, the Participant shall have the following dividend equivalent rights with respect to those deferred shares:</w:t>
      </w:r>
    </w:p>
    <w:p>
      <w:pPr>
        <w:spacing w:after="0" w:line="191"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44"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time a dividend is paid on the outstanding Common Stock while one or more deferred shares of Common Stock remain credited to the Participant’s Deferral Election Accounts, each of those Accounts will be credited with a dollar amount equal to the dividend</w:t>
      </w:r>
    </w:p>
    <w:p>
      <w:pPr>
        <w:sectPr>
          <w:pgSz w:w="11900" w:h="16838" w:orient="portrait"/>
          <w:cols w:equalWidth="0" w:num="1">
            <w:col w:w="11240"/>
          </w:cols>
          <w:pgMar w:left="320" w:top="1408" w:right="339" w:bottom="1440" w:gutter="0" w:footer="0" w:header="0"/>
        </w:sectPr>
      </w:pPr>
    </w:p>
    <w:bookmarkStart w:id="107" w:name="page108"/>
    <w:bookmarkEnd w:id="107"/>
    <w:p>
      <w:pPr>
        <w:jc w:val="both"/>
        <w:spacing w:after="0" w:line="228" w:lineRule="auto"/>
        <w:rPr>
          <w:sz w:val="20"/>
          <w:szCs w:val="20"/>
          <w:color w:val="auto"/>
        </w:rPr>
      </w:pPr>
      <w:r>
        <w:rPr>
          <w:rFonts w:ascii="Times New Roman" w:cs="Times New Roman" w:eastAsia="Times New Roman" w:hAnsi="Times New Roman"/>
          <w:sz w:val="22"/>
          <w:szCs w:val="22"/>
          <w:color w:val="auto"/>
        </w:rPr>
        <w:t>paid per share multiplied by the number of shares of deferred Common Stock at the time credited to such Account and not otherwise distributed prior to the record date for the dividend. As of the first business day in January of each year, the cash dividend equivalents so credited to each Deferral Election Account for the immediately preceding calendar year will be converted into additional deferred shares of Common Stock by dividing (i) those cash dividend equivalent amounts by (ii) the average of the Fair Market Value per share of Common Stock on each of the dates in the immediately preceding year on which dividends were paid.</w:t>
      </w:r>
    </w:p>
    <w:p>
      <w:pPr>
        <w:spacing w:after="0" w:line="192" w:lineRule="exact"/>
        <w:rPr>
          <w:sz w:val="20"/>
          <w:szCs w:val="20"/>
          <w:color w:val="auto"/>
        </w:rPr>
      </w:pPr>
    </w:p>
    <w:p>
      <w:pPr>
        <w:jc w:val="both"/>
        <w:ind w:firstLine="1304"/>
        <w:spacing w:after="0" w:line="227" w:lineRule="auto"/>
        <w:tabs>
          <w:tab w:leader="none" w:pos="2003"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deferred shares of Common Stock credited to the Participant’s Deferral Election Accounts as of December 31, 2007 (including the deferred shares of Common Stock resulting from the conversion of the 2007 calendar year cash dividends) shall be consolidated into a special Earmarked Account. The Participant’s dividend equivalent rights with respect to the deferred shares of Common Stock credited to that Earmarked Account shall remain in effect only through December 31, 2017 or any earlier date the deferred shares of Common Stock credited to that Earmarked Account may be distributed to the Participant pursuant to the special distribution election set forth in Section IV.B below. Accordingly, the Participant’s existing dividend equivalent rights shall in no event continue beyond the conversion of the cash equivalent dividends credited to his Earmarked Account for the 2017 calendar year, which will occur on the first trading day in January 2018. All amounts attributable to the Participant’s continuing dividend equivalent rights hereunder shall be credited to his Earmarked Account in accordance with the procedure set forth in subparagraph (i) above.</w:t>
      </w:r>
    </w:p>
    <w:p>
      <w:pPr>
        <w:spacing w:after="0" w:line="199" w:lineRule="exact"/>
        <w:rPr>
          <w:rFonts w:ascii="Times New Roman" w:cs="Times New Roman" w:eastAsia="Times New Roman" w:hAnsi="Times New Roman"/>
          <w:sz w:val="22"/>
          <w:szCs w:val="22"/>
          <w:color w:val="auto"/>
        </w:rPr>
      </w:pPr>
    </w:p>
    <w:p>
      <w:pPr>
        <w:jc w:val="both"/>
        <w:ind w:firstLine="656"/>
        <w:spacing w:after="0" w:line="222" w:lineRule="auto"/>
        <w:tabs>
          <w:tab w:leader="none" w:pos="107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conjunction with the phase-out of the dividend equivalent rights on the Earmarked Account, each Participant shall have until December 31, 2007 in which to make an election to receive a distribution from his Earmarked Account in either (i) a lump sum distribution in any calendar year within the ten (10)-year period from the 2009 calendar year to the 2018 calendar year or (ii) an installment distribution effected over a five (5) or ten (10) year period within that ten (10)-year period. The amount distributable from such Earmarked Account would be equal to the number of deferred shares of Common Stock credited to that account as of December 31, 2007 plus the number of additional deferred shares of Common Stock subsequently credited to that account by reason of the dividend equivalent rights existing on those deferred shares during the period prior to their distribution. The actual distribution shall be made in January of each applicable year and will be in the form of shares of Common Stock issued under the Corporation’s Long-Term Incentive Plan (the “Plan”). If an installment distribution is elected, then the number of shares to be distributed each January will be determined by dividing the total number of deferred shares of Common Stock credited to the Participant’s Earmarked Account at that time by the remaining number of installments, including the current installment. Alternatively, the Participant may defer the distribution of his Earmarked Account until his cessation of service as a Board member and receive such distribution in accordance with Section V below. The appropriate form for making a distribution election pursuant to this Section IV.B shall be provided to each Participant prior to the December 31, 2007 deadline for making such election. Such election shall be treated as an initial payment election under Section 409A of the Code in accordance with the transitional relief provided by Internal Revenue Service Notice 2006-79 and shall only have force and effect if the Participant continues in Board service through the completion of the 2007 calendar year.</w:t>
      </w:r>
    </w:p>
    <w:p>
      <w:pPr>
        <w:spacing w:after="0" w:line="193" w:lineRule="exact"/>
        <w:rPr>
          <w:rFonts w:ascii="Times New Roman" w:cs="Times New Roman" w:eastAsia="Times New Roman" w:hAnsi="Times New Roman"/>
          <w:sz w:val="22"/>
          <w:szCs w:val="22"/>
          <w:color w:val="auto"/>
        </w:rPr>
      </w:pPr>
    </w:p>
    <w:p>
      <w:pPr>
        <w:jc w:val="both"/>
        <w:ind w:firstLine="656"/>
        <w:spacing w:after="0" w:line="248" w:lineRule="auto"/>
        <w:tabs>
          <w:tab w:leader="none" w:pos="1074"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deferred shares of Common Stock credited to the Participant’s Earmarked Account as of December 31, 2007 are fully vested. Any additional deferred shares of Common Stock subsequently credited to such Earmarked Account as a result of the dividend equivalent rights provided to the Participant under this Section IV will also be fully vested. All the deferred</w:t>
      </w:r>
    </w:p>
    <w:p>
      <w:pPr>
        <w:sectPr>
          <w:pgSz w:w="11900" w:h="16838" w:orient="portrait"/>
          <w:cols w:equalWidth="0" w:num="1">
            <w:col w:w="11240"/>
          </w:cols>
          <w:pgMar w:left="320" w:top="1408" w:right="339" w:bottom="1440" w:gutter="0" w:footer="0" w:header="0"/>
        </w:sectPr>
      </w:pPr>
    </w:p>
    <w:bookmarkStart w:id="108" w:name="page109"/>
    <w:bookmarkEnd w:id="108"/>
    <w:p>
      <w:pPr>
        <w:ind w:right="20"/>
        <w:spacing w:after="0" w:line="245" w:lineRule="auto"/>
        <w:rPr>
          <w:sz w:val="20"/>
          <w:szCs w:val="20"/>
          <w:color w:val="auto"/>
        </w:rPr>
      </w:pPr>
      <w:r>
        <w:rPr>
          <w:rFonts w:ascii="Times New Roman" w:cs="Times New Roman" w:eastAsia="Times New Roman" w:hAnsi="Times New Roman"/>
          <w:sz w:val="22"/>
          <w:szCs w:val="22"/>
          <w:color w:val="auto"/>
        </w:rPr>
        <w:t>shares of Common Stock credited to the Participant’s Earmarked Account shall be distributed in accordance with either Section IV.B above or Section V below.</w:t>
      </w:r>
    </w:p>
    <w:p>
      <w:pPr>
        <w:spacing w:after="0" w:line="182" w:lineRule="exact"/>
        <w:rPr>
          <w:sz w:val="20"/>
          <w:szCs w:val="20"/>
          <w:color w:val="auto"/>
        </w:rPr>
      </w:pPr>
    </w:p>
    <w:p>
      <w:pPr>
        <w:ind w:left="620" w:hanging="612"/>
        <w:spacing w:after="0"/>
        <w:tabs>
          <w:tab w:leader="none" w:pos="6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DISTRIBUTION OF DEFERRAL ELECTION ACCOUNTS</w:t>
      </w:r>
    </w:p>
    <w:p>
      <w:pPr>
        <w:spacing w:after="0" w:line="223" w:lineRule="exact"/>
        <w:rPr>
          <w:rFonts w:ascii="Times New Roman" w:cs="Times New Roman" w:eastAsia="Times New Roman" w:hAnsi="Times New Roman"/>
          <w:sz w:val="22"/>
          <w:szCs w:val="22"/>
          <w:color w:val="auto"/>
        </w:rPr>
      </w:pPr>
    </w:p>
    <w:p>
      <w:pPr>
        <w:jc w:val="both"/>
        <w:ind w:firstLine="656"/>
        <w:spacing w:after="0" w:line="224" w:lineRule="auto"/>
        <w:tabs>
          <w:tab w:leader="none" w:pos="114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Distribution of each of the Participant’s Deferral Election Accounts relating to deferred post-2007 Annual Service Fees and (in the event the Participant does not make a special distribution election under Section IV.B above) his Earmarked Account shall, to the extent vested, be made or commence on the thirtieth (30th) day following the Participant’s cessation of service as a member of the Corporation’s Board of Directors or as soon as administratively practicable after such scheduled distribution date, but in no event later than the end of the calendar year in which such cessation of Board service occurs or (if later) the fifteenth (15th) day of the third (3rd) calendar month following the date of such cessation of Board service. Each of the Participant’s separate post-2007 Deferral Election Accounts shall be distributed in cash either in the form of a single lump sum or in up to ten (10) annual installments, as the Participant may elect in his or her Deferral Election Form for the calendar year to which that account pertains. The portion of any Deferral Election Account in which the Participant is not vested at the time of his cessation of service as a member of the Corporation’s Board of Directors will be forfeited.</w:t>
      </w:r>
    </w:p>
    <w:p>
      <w:pPr>
        <w:spacing w:after="0" w:line="190" w:lineRule="exact"/>
        <w:rPr>
          <w:rFonts w:ascii="Times New Roman" w:cs="Times New Roman" w:eastAsia="Times New Roman" w:hAnsi="Times New Roman"/>
          <w:sz w:val="22"/>
          <w:szCs w:val="22"/>
          <w:color w:val="auto"/>
        </w:rPr>
      </w:pPr>
    </w:p>
    <w:p>
      <w:pPr>
        <w:jc w:val="both"/>
        <w:ind w:firstLine="656"/>
        <w:spacing w:after="0" w:line="238" w:lineRule="auto"/>
        <w:tabs>
          <w:tab w:leader="none" w:pos="1080"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Participant who does not make a special distribution election under Section IV.B with respect to his Earmarked Account and who will accordingly be subject to the distribution commencement date provisions of Section V.A may make a new election as to the method of distribution of that account (lump sum or up to ten (10) annual installments) in accordance with the transitional relief under Section 409A of the Code provided by Internal Revenue Service Notice 2006-79. Such election must be made no later than December 31, 2007 and shall be treated as an initial payment election under Section 409A of the Code. However, such election shall not change the payment date of any distribution that would otherwise be made to the Participant during the 2007 calendar year or cause a payment to be made to him under the Program during the 2007 calendar year that would otherwise be made in a later calendar year. The distribution from such Earmarked Account shall be made in shares of Common Stock issued under the Plan. In the absence of a new distribution election under either Section IV.B or this Section V.B, each Deferral Election Account consolidated into the Earmarked Account shall be distributed in accordance with the method of distribution originally elected on the Deferral Election Form applicable to that Deferral Election Account.</w:t>
      </w:r>
    </w:p>
    <w:p>
      <w:pPr>
        <w:spacing w:after="0" w:line="200" w:lineRule="exact"/>
        <w:rPr>
          <w:rFonts w:ascii="Times New Roman" w:cs="Times New Roman" w:eastAsia="Times New Roman" w:hAnsi="Times New Roman"/>
          <w:sz w:val="21"/>
          <w:szCs w:val="21"/>
          <w:color w:val="auto"/>
        </w:rPr>
      </w:pPr>
    </w:p>
    <w:p>
      <w:pPr>
        <w:jc w:val="both"/>
        <w:ind w:firstLine="656"/>
        <w:spacing w:after="0" w:line="234" w:lineRule="auto"/>
        <w:tabs>
          <w:tab w:leader="none" w:pos="1132"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shares of Common Stock distributed under the Program shall be drawn from the Common Stock reserved for issuance under the Plan. Accordingly, the share reserve under the Plan shall be reduced by any and all shares of Common Stock distributed under the Program.</w:t>
      </w:r>
    </w:p>
    <w:p>
      <w:pPr>
        <w:spacing w:after="0" w:line="205" w:lineRule="exact"/>
        <w:rPr>
          <w:rFonts w:ascii="Times New Roman" w:cs="Times New Roman" w:eastAsia="Times New Roman" w:hAnsi="Times New Roman"/>
          <w:sz w:val="22"/>
          <w:szCs w:val="22"/>
          <w:color w:val="auto"/>
        </w:rPr>
      </w:pPr>
    </w:p>
    <w:p>
      <w:pPr>
        <w:jc w:val="both"/>
        <w:ind w:firstLine="656"/>
        <w:spacing w:after="0" w:line="234" w:lineRule="auto"/>
        <w:tabs>
          <w:tab w:leader="none" w:pos="1084"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any amount attributable to the Participant’s dividend equivalent rights is to be distributed before the date that amount is to be converted into deferred shares of Common Stock in accordance with Section IV, that amount shall be distributed in cash.</w:t>
      </w:r>
    </w:p>
    <w:p>
      <w:pPr>
        <w:spacing w:after="0" w:line="191" w:lineRule="exact"/>
        <w:rPr>
          <w:rFonts w:ascii="Times New Roman" w:cs="Times New Roman" w:eastAsia="Times New Roman" w:hAnsi="Times New Roman"/>
          <w:sz w:val="22"/>
          <w:szCs w:val="22"/>
          <w:color w:val="auto"/>
        </w:rPr>
      </w:pPr>
    </w:p>
    <w:p>
      <w:pPr>
        <w:jc w:val="both"/>
        <w:ind w:firstLine="656"/>
        <w:spacing w:after="0" w:line="226" w:lineRule="auto"/>
        <w:tabs>
          <w:tab w:leader="none" w:pos="1215"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dies before the entire balance of his Deferral Election Accounts (including his consolidated Earmarked Account, if any) is distributed, then the unpaid balance shall be paid in a lump sum to his or her designated beneficiary(ies) under the Program. Such payment shall be made within sixty (60) days after the date of the Participant’s death or as soon as administratively practical following the Participant’s death, but in no event later than the later of: (i) the end of the calendar year in which the Participant’s death occurs or (ii) the fifteenth (15th) day of the third (3rd) calendar month following the date of the Participant’s death. The</w:t>
      </w:r>
    </w:p>
    <w:p>
      <w:pPr>
        <w:sectPr>
          <w:pgSz w:w="11900" w:h="16838" w:orient="portrait"/>
          <w:cols w:equalWidth="0" w:num="1">
            <w:col w:w="11240"/>
          </w:cols>
          <w:pgMar w:left="320" w:top="1408" w:right="339" w:bottom="1440" w:gutter="0" w:footer="0" w:header="0"/>
        </w:sectPr>
      </w:pPr>
    </w:p>
    <w:bookmarkStart w:id="109" w:name="page110"/>
    <w:bookmarkEnd w:id="109"/>
    <w:p>
      <w:pPr>
        <w:jc w:val="both"/>
        <w:spacing w:after="0" w:line="228" w:lineRule="auto"/>
        <w:rPr>
          <w:sz w:val="20"/>
          <w:szCs w:val="20"/>
          <w:color w:val="auto"/>
        </w:rPr>
      </w:pPr>
      <w:r>
        <w:rPr>
          <w:rFonts w:ascii="Times New Roman" w:cs="Times New Roman" w:eastAsia="Times New Roman" w:hAnsi="Times New Roman"/>
          <w:sz w:val="22"/>
          <w:szCs w:val="22"/>
          <w:color w:val="auto"/>
        </w:rPr>
        <w:t>Participant may designate one or more such beneficiaries or may revoke his or her existing beneficiary designation and make a new designation, by filing a properly completed Beneficiary Designation, in substantially the form of attached Exhibit A, with the Plan Administrator or its designate. Should the Participant die without a valid beneficiary designation in effect or after the death of his or her designated beneficiary(ies), then any amounts due him or her under the Program shall be paid to the personal representative of his or her estate. The portion of any Deferral Election Account in which the Participant is not vested at the time of his death will be forfeited.</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VI.</w:t>
      </w:r>
      <w:r>
        <w:rPr>
          <w:sz w:val="20"/>
          <w:szCs w:val="20"/>
          <w:color w:val="auto"/>
        </w:rPr>
        <w:tab/>
      </w:r>
      <w:r>
        <w:rPr>
          <w:rFonts w:ascii="Times New Roman" w:cs="Times New Roman" w:eastAsia="Times New Roman" w:hAnsi="Times New Roman"/>
          <w:sz w:val="22"/>
          <w:szCs w:val="22"/>
          <w:b w:val="1"/>
          <w:bCs w:val="1"/>
          <w:color w:val="auto"/>
        </w:rPr>
        <w:t>DEFINED TERMS</w:t>
      </w:r>
    </w:p>
    <w:p>
      <w:pPr>
        <w:spacing w:after="0" w:line="22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All capitalized terms in this Agreement, to the extent not expressly defined herein, shall have the meaning assigned to them in the Plan, this document or the Deferral Election Form.</w:t>
      </w:r>
    </w:p>
    <w:p>
      <w:pPr>
        <w:spacing w:after="0" w:line="19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VII.</w:t>
      </w:r>
      <w:r>
        <w:rPr>
          <w:sz w:val="20"/>
          <w:szCs w:val="20"/>
          <w:color w:val="auto"/>
        </w:rPr>
        <w:tab/>
      </w:r>
      <w:r>
        <w:rPr>
          <w:rFonts w:ascii="Times New Roman" w:cs="Times New Roman" w:eastAsia="Times New Roman" w:hAnsi="Times New Roman"/>
          <w:sz w:val="22"/>
          <w:szCs w:val="22"/>
          <w:b w:val="1"/>
          <w:bCs w:val="1"/>
          <w:color w:val="auto"/>
        </w:rPr>
        <w:t>MISCELLANEOUS.</w:t>
      </w:r>
    </w:p>
    <w:p>
      <w:pPr>
        <w:spacing w:after="0" w:line="22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Any deferred shares of Common Stock credited to a Participant’s Deferral Election Accounts or to his consolidated Earmarked Account are awarded pursuant to the Plan and are in all respects limited by and subject to the terms of the Plan. All of the Participant’s Deferral Election Accounts and his Earmarked Account are in all respects limited by and subject to the terms of this Program, the applicable Deferral Election Forms and any distribution elections made by the Participant pursuant to Sections IV.B, V.A and V.B of the Program.</w:t>
      </w:r>
    </w:p>
    <w:p>
      <w:pPr>
        <w:sectPr>
          <w:pgSz w:w="11900" w:h="16838" w:orient="portrait"/>
          <w:cols w:equalWidth="0" w:num="1">
            <w:col w:w="11240"/>
          </w:cols>
          <w:pgMar w:left="320" w:top="1408" w:right="339" w:bottom="1440" w:gutter="0" w:footer="0" w:header="0"/>
        </w:sectPr>
      </w:pPr>
    </w:p>
    <w:bookmarkStart w:id="110" w:name="page111"/>
    <w:bookmarkEnd w:id="110"/>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SJW GROUP</w:t>
      </w:r>
    </w:p>
    <w:p>
      <w:pPr>
        <w:ind w:left="3660"/>
        <w:spacing w:after="0" w:line="237" w:lineRule="auto"/>
        <w:rPr>
          <w:sz w:val="20"/>
          <w:szCs w:val="20"/>
          <w:color w:val="auto"/>
        </w:rPr>
      </w:pPr>
      <w:r>
        <w:rPr>
          <w:rFonts w:ascii="Times New Roman" w:cs="Times New Roman" w:eastAsia="Times New Roman" w:hAnsi="Times New Roman"/>
          <w:sz w:val="20"/>
          <w:szCs w:val="20"/>
          <w:b w:val="1"/>
          <w:bCs w:val="1"/>
          <w:color w:val="auto"/>
        </w:rPr>
        <w:t>BENEFICIARY DESIGNATION FORM FOR</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NON-EMPLOYEE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40575" cy="3103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7">
                      <a:extLst>
                        <a:ext uri="{28A0092B-C50C-407E-A947-70E740481C1C}"/>
                      </a:extLst>
                    </a:blip>
                    <a:srcRect/>
                    <a:stretch>
                      <a:fillRect/>
                    </a:stretch>
                  </pic:blipFill>
                  <pic:spPr bwMode="auto">
                    <a:xfrm>
                      <a:off x="0" y="0"/>
                      <a:ext cx="7140575" cy="3103245"/>
                    </a:xfrm>
                    <a:prstGeom prst="rect">
                      <a:avLst/>
                    </a:prstGeom>
                    <a:noFill/>
                  </pic:spPr>
                </pic:pic>
              </a:graphicData>
            </a:graphic>
          </wp:anchor>
        </w:drawing>
      </w:r>
    </w:p>
    <w:p>
      <w:pPr>
        <w:spacing w:after="0" w:line="2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Director Name:</w:t>
      </w:r>
    </w:p>
    <w:p>
      <w:pPr>
        <w:spacing w:after="0" w:line="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b w:val="1"/>
          <w:bCs w:val="1"/>
          <w:color w:val="auto"/>
        </w:rPr>
        <w:t>______________________________</w:t>
      </w:r>
    </w:p>
    <w:p>
      <w:pPr>
        <w:ind w:left="2200"/>
        <w:spacing w:after="0"/>
        <w:rPr>
          <w:sz w:val="20"/>
          <w:szCs w:val="20"/>
          <w:color w:val="auto"/>
        </w:rPr>
      </w:pPr>
      <w:r>
        <w:rPr>
          <w:rFonts w:ascii="Times New Roman" w:cs="Times New Roman" w:eastAsia="Times New Roman" w:hAnsi="Times New Roman"/>
          <w:sz w:val="20"/>
          <w:szCs w:val="20"/>
          <w:b w:val="1"/>
          <w:bCs w:val="1"/>
          <w:color w:val="auto"/>
        </w:rPr>
        <w:t>Print Name</w:t>
      </w:r>
    </w:p>
    <w:p>
      <w:pPr>
        <w:spacing w:after="0" w:line="221" w:lineRule="exact"/>
        <w:rPr>
          <w:sz w:val="20"/>
          <w:szCs w:val="20"/>
          <w:color w:val="auto"/>
        </w:rPr>
      </w:pPr>
    </w:p>
    <w:p>
      <w:pPr>
        <w:jc w:val="both"/>
        <w:ind w:left="2200" w:right="40"/>
        <w:spacing w:after="0" w:line="234" w:lineRule="auto"/>
        <w:rPr>
          <w:sz w:val="20"/>
          <w:szCs w:val="20"/>
          <w:color w:val="auto"/>
        </w:rPr>
      </w:pPr>
      <w:r>
        <w:rPr>
          <w:rFonts w:ascii="Times New Roman" w:cs="Times New Roman" w:eastAsia="Times New Roman" w:hAnsi="Times New Roman"/>
          <w:sz w:val="20"/>
          <w:szCs w:val="20"/>
          <w:color w:val="auto"/>
        </w:rPr>
        <w:t>I understand that neither this Designation of Beneficiary nor any future change of Designation of Beneficiary will be effective for any purpose unless filed with the SJW Group (“Company”) prior to my death. I reserve the right to change my Beneficiary(ies) for either or both of the Plan(s) listed below at any time by signing a new Designation of Beneficiary and filing it with the Company.</w:t>
      </w:r>
    </w:p>
    <w:p>
      <w:pPr>
        <w:spacing w:after="0" w:line="3" w:lineRule="exact"/>
        <w:rPr>
          <w:sz w:val="20"/>
          <w:szCs w:val="20"/>
          <w:color w:val="auto"/>
        </w:rPr>
      </w:pPr>
    </w:p>
    <w:p>
      <w:pPr>
        <w:jc w:val="center"/>
        <w:ind w:left="2020"/>
        <w:spacing w:after="0"/>
        <w:rPr>
          <w:sz w:val="20"/>
          <w:szCs w:val="20"/>
          <w:color w:val="auto"/>
        </w:rPr>
      </w:pPr>
      <w:r>
        <w:rPr>
          <w:rFonts w:ascii="Times New Roman" w:cs="Times New Roman" w:eastAsia="Times New Roman" w:hAnsi="Times New Roman"/>
          <w:sz w:val="20"/>
          <w:szCs w:val="20"/>
          <w:color w:val="auto"/>
        </w:rPr>
        <w:t>This Designation of Beneficiary is subject to the terms of the Plan(s) checked below.</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2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Director Address:</w:t>
            </w:r>
          </w:p>
        </w:tc>
        <w:tc>
          <w:tcPr>
            <w:tcW w:w="5060" w:type="dxa"/>
            <w:vAlign w:val="bottom"/>
            <w:tcBorders>
              <w:top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___________________________</w:t>
            </w:r>
          </w:p>
        </w:tc>
        <w:tc>
          <w:tcPr>
            <w:tcW w:w="40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20"/>
                <w:szCs w:val="20"/>
                <w:color w:val="auto"/>
              </w:rPr>
              <w:t>________________________</w:t>
            </w:r>
          </w:p>
        </w:tc>
        <w:tc>
          <w:tcPr>
            <w:tcW w:w="0" w:type="dxa"/>
            <w:vAlign w:val="bottom"/>
          </w:tcPr>
          <w:p>
            <w:pPr>
              <w:spacing w:after="0"/>
              <w:rPr>
                <w:sz w:val="1"/>
                <w:szCs w:val="1"/>
                <w:color w:val="auto"/>
              </w:rPr>
            </w:pPr>
          </w:p>
        </w:tc>
      </w:tr>
      <w:tr>
        <w:trPr>
          <w:trHeight w:val="174"/>
        </w:trPr>
        <w:tc>
          <w:tcPr>
            <w:tcW w:w="2160" w:type="dxa"/>
            <w:vAlign w:val="bottom"/>
          </w:tcPr>
          <w:p>
            <w:pPr>
              <w:spacing w:after="0"/>
              <w:rPr>
                <w:sz w:val="15"/>
                <w:szCs w:val="15"/>
                <w:color w:val="auto"/>
              </w:rPr>
            </w:pPr>
          </w:p>
        </w:tc>
        <w:tc>
          <w:tcPr>
            <w:tcW w:w="5060" w:type="dxa"/>
            <w:vAlign w:val="bottom"/>
            <w:tcBorders>
              <w:right w:val="single" w:sz="8" w:color="auto"/>
            </w:tcBorders>
            <w:vMerge w:val="continue"/>
          </w:tcPr>
          <w:p>
            <w:pPr>
              <w:spacing w:after="0"/>
              <w:rPr>
                <w:sz w:val="15"/>
                <w:szCs w:val="15"/>
                <w:color w:val="auto"/>
              </w:rPr>
            </w:pPr>
          </w:p>
        </w:tc>
        <w:tc>
          <w:tcPr>
            <w:tcW w:w="4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2160" w:type="dxa"/>
            <w:vAlign w:val="bottom"/>
          </w:tcPr>
          <w:p>
            <w:pPr>
              <w:spacing w:after="0"/>
              <w:rPr>
                <w:sz w:val="22"/>
                <w:szCs w:val="22"/>
                <w:color w:val="auto"/>
              </w:rPr>
            </w:pPr>
          </w:p>
        </w:tc>
        <w:tc>
          <w:tcPr>
            <w:tcW w:w="50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Street Address</w:t>
            </w:r>
          </w:p>
        </w:tc>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Apt. No.</w:t>
            </w:r>
          </w:p>
        </w:tc>
        <w:tc>
          <w:tcPr>
            <w:tcW w:w="0" w:type="dxa"/>
            <w:vAlign w:val="bottom"/>
          </w:tcPr>
          <w:p>
            <w:pPr>
              <w:spacing w:after="0"/>
              <w:rPr>
                <w:sz w:val="1"/>
                <w:szCs w:val="1"/>
                <w:color w:val="auto"/>
              </w:rPr>
            </w:pPr>
          </w:p>
        </w:tc>
      </w:tr>
      <w:tr>
        <w:trPr>
          <w:trHeight w:val="21"/>
        </w:trPr>
        <w:tc>
          <w:tcPr>
            <w:tcW w:w="2160" w:type="dxa"/>
            <w:vAlign w:val="bottom"/>
            <w:tcBorders>
              <w:bottom w:val="single" w:sz="8" w:color="auto"/>
            </w:tcBorders>
          </w:tcPr>
          <w:p>
            <w:pPr>
              <w:spacing w:after="0" w:line="20" w:lineRule="exact"/>
              <w:rPr>
                <w:sz w:val="1"/>
                <w:szCs w:val="1"/>
                <w:color w:val="auto"/>
              </w:rPr>
            </w:pPr>
          </w:p>
        </w:tc>
        <w:tc>
          <w:tcPr>
            <w:tcW w:w="5060" w:type="dxa"/>
            <w:vAlign w:val="bottom"/>
            <w:tcBorders>
              <w:bottom w:val="single" w:sz="8" w:color="auto"/>
              <w:right w:val="single" w:sz="8" w:color="auto"/>
            </w:tcBorders>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216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b w:val="1"/>
                <w:bCs w:val="1"/>
                <w:color w:val="auto"/>
              </w:rPr>
              <w:t>Director Information:</w:t>
            </w:r>
          </w:p>
        </w:tc>
        <w:tc>
          <w:tcPr>
            <w:tcW w:w="506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w w:val="99"/>
              </w:rPr>
              <w:t>Social Security Number: ______________________________</w:t>
            </w:r>
          </w:p>
        </w:tc>
        <w:tc>
          <w:tcPr>
            <w:tcW w:w="4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2160" w:type="dxa"/>
            <w:vAlign w:val="bottom"/>
          </w:tcPr>
          <w:p>
            <w:pPr>
              <w:spacing w:after="0"/>
              <w:rPr>
                <w:sz w:val="22"/>
                <w:szCs w:val="22"/>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(last 4 digits only)</w:t>
            </w:r>
          </w:p>
        </w:tc>
        <w:tc>
          <w:tcPr>
            <w:tcW w:w="4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2"/>
        </w:trPr>
        <w:tc>
          <w:tcPr>
            <w:tcW w:w="2160" w:type="dxa"/>
            <w:vAlign w:val="bottom"/>
          </w:tcPr>
          <w:p>
            <w:pPr>
              <w:spacing w:after="0"/>
              <w:rPr>
                <w:sz w:val="24"/>
                <w:szCs w:val="24"/>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Date of Birth: _____________________________</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0" w:right="40"/>
        <w:spacing w:after="0" w:line="259" w:lineRule="auto"/>
        <w:rPr>
          <w:sz w:val="20"/>
          <w:szCs w:val="20"/>
          <w:color w:val="auto"/>
        </w:rPr>
      </w:pPr>
      <w:r>
        <w:rPr>
          <w:rFonts w:ascii="Times New Roman" w:cs="Times New Roman" w:eastAsia="Times New Roman" w:hAnsi="Times New Roman"/>
          <w:sz w:val="20"/>
          <w:szCs w:val="20"/>
          <w:b w:val="1"/>
          <w:bCs w:val="1"/>
          <w:color w:val="auto"/>
        </w:rPr>
        <w:t>This Designation of Beneficiary is intended to designate the beneficiary or beneficiaries of all my right, title and interest in and to the unpaid vested balance credited to my vested account(s) under the following Plan(s) at the time of my death:</w:t>
      </w:r>
    </w:p>
    <w:tbl>
      <w:tblPr>
        <w:tblLayout w:type="fixed"/>
        <w:tblInd w:w="0" w:type="dxa"/>
        <w:tblCellMar>
          <w:top w:w="0" w:type="dxa"/>
          <w:left w:w="0" w:type="dxa"/>
          <w:bottom w:w="0" w:type="dxa"/>
          <w:right w:w="0" w:type="dxa"/>
        </w:tblCellMar>
      </w:tblPr>
      <w:tr>
        <w:trPr>
          <w:trHeight w:val="217"/>
        </w:trPr>
        <w:tc>
          <w:tcPr>
            <w:tcW w:w="5380" w:type="dxa"/>
            <w:vAlign w:val="bottom"/>
            <w:tcBorders>
              <w:top w:val="single" w:sz="8" w:color="auto"/>
              <w:right w:val="single" w:sz="8" w:color="auto"/>
            </w:tcBorders>
          </w:tcPr>
          <w:p>
            <w:pPr>
              <w:ind w:left="360"/>
              <w:spacing w:after="0" w:line="217" w:lineRule="exact"/>
              <w:rPr>
                <w:sz w:val="20"/>
                <w:szCs w:val="20"/>
                <w:color w:val="auto"/>
              </w:rPr>
            </w:pPr>
            <w:r>
              <w:rPr>
                <w:rFonts w:ascii="Times New Roman" w:cs="Times New Roman" w:eastAsia="Times New Roman" w:hAnsi="Times New Roman"/>
                <w:sz w:val="20"/>
                <w:szCs w:val="20"/>
                <w:color w:val="auto"/>
              </w:rPr>
              <w:t>◦   SJW Group Deferral Election Program for Non-Employee</w:t>
            </w:r>
          </w:p>
        </w:tc>
        <w:tc>
          <w:tcPr>
            <w:tcW w:w="520" w:type="dxa"/>
            <w:vAlign w:val="bottom"/>
            <w:tcBorders>
              <w:top w:val="single" w:sz="8" w:color="auto"/>
            </w:tcBorders>
          </w:tcPr>
          <w:p>
            <w:pPr>
              <w:ind w:left="320"/>
              <w:spacing w:after="0" w:line="217" w:lineRule="exact"/>
              <w:rPr>
                <w:sz w:val="20"/>
                <w:szCs w:val="20"/>
                <w:color w:val="auto"/>
              </w:rPr>
            </w:pPr>
            <w:r>
              <w:rPr>
                <w:rFonts w:ascii="Times New Roman" w:cs="Times New Roman" w:eastAsia="Times New Roman" w:hAnsi="Times New Roman"/>
                <w:sz w:val="20"/>
                <w:szCs w:val="20"/>
                <w:color w:val="auto"/>
              </w:rPr>
              <w:t>◦</w:t>
            </w:r>
          </w:p>
        </w:tc>
        <w:tc>
          <w:tcPr>
            <w:tcW w:w="5360" w:type="dxa"/>
            <w:vAlign w:val="bottom"/>
            <w:tcBorders>
              <w:top w:val="single" w:sz="8" w:color="auto"/>
            </w:tcBorders>
          </w:tcPr>
          <w:p>
            <w:pPr>
              <w:ind w:left="220"/>
              <w:spacing w:after="0" w:line="217" w:lineRule="exact"/>
              <w:rPr>
                <w:sz w:val="20"/>
                <w:szCs w:val="20"/>
                <w:color w:val="auto"/>
              </w:rPr>
            </w:pPr>
            <w:r>
              <w:rPr>
                <w:rFonts w:ascii="Times New Roman" w:cs="Times New Roman" w:eastAsia="Times New Roman" w:hAnsi="Times New Roman"/>
                <w:sz w:val="20"/>
                <w:szCs w:val="20"/>
                <w:color w:val="auto"/>
              </w:rPr>
              <w:t>SJW  Group  Formulaic  Equity  Award  Program  for  Non-</w:t>
            </w:r>
          </w:p>
        </w:tc>
      </w:tr>
      <w:tr>
        <w:trPr>
          <w:trHeight w:val="258"/>
        </w:trPr>
        <w:tc>
          <w:tcPr>
            <w:tcW w:w="538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Board Members (cash deferrals)</w:t>
            </w:r>
          </w:p>
        </w:tc>
        <w:tc>
          <w:tcPr>
            <w:tcW w:w="520" w:type="dxa"/>
            <w:vAlign w:val="bottom"/>
          </w:tcPr>
          <w:p>
            <w:pPr>
              <w:spacing w:after="0"/>
              <w:rPr>
                <w:sz w:val="22"/>
                <w:szCs w:val="22"/>
                <w:color w:val="auto"/>
              </w:rPr>
            </w:pPr>
          </w:p>
        </w:tc>
        <w:tc>
          <w:tcPr>
            <w:tcW w:w="5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Employee Board Members</w:t>
            </w:r>
          </w:p>
        </w:tc>
      </w:tr>
      <w:tr>
        <w:trPr>
          <w:trHeight w:val="21"/>
        </w:trPr>
        <w:tc>
          <w:tcPr>
            <w:tcW w:w="538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36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Primary Beneficiary(ies)</w:t>
      </w:r>
    </w:p>
    <w:p>
      <w:pPr>
        <w:spacing w:after="0" w:line="12" w:lineRule="exact"/>
        <w:rPr>
          <w:sz w:val="20"/>
          <w:szCs w:val="20"/>
          <w:color w:val="auto"/>
        </w:rPr>
      </w:pPr>
    </w:p>
    <w:p>
      <w:pPr>
        <w:ind w:right="520"/>
        <w:spacing w:after="0" w:line="236" w:lineRule="auto"/>
        <w:rPr>
          <w:sz w:val="20"/>
          <w:szCs w:val="20"/>
          <w:color w:val="auto"/>
        </w:rPr>
      </w:pPr>
      <w:r>
        <w:rPr>
          <w:rFonts w:ascii="Times New Roman" w:cs="Times New Roman" w:eastAsia="Times New Roman" w:hAnsi="Times New Roman"/>
          <w:sz w:val="20"/>
          <w:szCs w:val="20"/>
          <w:color w:val="auto"/>
        </w:rPr>
        <w:t>I hereby revoke any Designation of Beneficiary I may previously have made under the above plan(s) and designate the following as my primary beneficiary(ies) under the plan(s):</w:t>
      </w:r>
    </w:p>
    <w:p>
      <w:pPr>
        <w:spacing w:after="0" w:line="21" w:lineRule="exact"/>
        <w:rPr>
          <w:sz w:val="20"/>
          <w:szCs w:val="20"/>
          <w:color w:val="auto"/>
        </w:rPr>
      </w:pPr>
    </w:p>
    <w:p>
      <w:pPr>
        <w:ind w:left="600"/>
        <w:spacing w:after="0"/>
        <w:tabs>
          <w:tab w:leader="none" w:pos="4860" w:val="left"/>
          <w:tab w:leader="none" w:pos="9100" w:val="left"/>
        </w:tabs>
        <w:rPr>
          <w:sz w:val="20"/>
          <w:szCs w:val="20"/>
          <w:color w:val="auto"/>
        </w:rPr>
      </w:pPr>
      <w:r>
        <w:rPr>
          <w:rFonts w:ascii="Times New Roman" w:cs="Times New Roman" w:eastAsia="Times New Roman" w:hAnsi="Times New Roman"/>
          <w:sz w:val="20"/>
          <w:szCs w:val="20"/>
          <w:b w:val="1"/>
          <w:bCs w:val="1"/>
          <w:color w:val="auto"/>
        </w:rPr>
        <w:t>Name and Current Address</w:t>
      </w:r>
      <w:r>
        <w:rPr>
          <w:sz w:val="20"/>
          <w:szCs w:val="20"/>
          <w:color w:val="auto"/>
        </w:rPr>
        <w:tab/>
      </w:r>
      <w:r>
        <w:rPr>
          <w:rFonts w:ascii="Times New Roman" w:cs="Times New Roman" w:eastAsia="Times New Roman" w:hAnsi="Times New Roman"/>
          <w:sz w:val="20"/>
          <w:szCs w:val="20"/>
          <w:b w:val="1"/>
          <w:bCs w:val="1"/>
          <w:color w:val="auto"/>
        </w:rPr>
        <w:t>Relationship</w:t>
      </w:r>
      <w:r>
        <w:rPr>
          <w:sz w:val="20"/>
          <w:szCs w:val="20"/>
          <w:color w:val="auto"/>
        </w:rPr>
        <w:tab/>
      </w:r>
      <w:r>
        <w:rPr>
          <w:rFonts w:ascii="Times New Roman" w:cs="Times New Roman" w:eastAsia="Times New Roman" w:hAnsi="Times New Roman"/>
          <w:sz w:val="19"/>
          <w:szCs w:val="19"/>
          <w:b w:val="1"/>
          <w:bCs w:val="1"/>
          <w:color w:val="auto"/>
        </w:rPr>
        <w:t>Percent of Total</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(1)</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(2)</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(3)</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(4)</w:t>
      </w:r>
    </w:p>
    <w:p>
      <w:pPr>
        <w:spacing w:after="0" w:line="4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(If more than one person is designated above and all but one die, state whether survivor will receive 100%)</w:t>
      </w:r>
    </w:p>
    <w:p>
      <w:pPr>
        <w:sectPr>
          <w:pgSz w:w="11900" w:h="16838" w:orient="portrait"/>
          <w:cols w:equalWidth="0" w:num="1">
            <w:col w:w="11260"/>
          </w:cols>
          <w:pgMar w:left="320" w:top="1409" w:right="319" w:bottom="1440" w:gutter="0" w:footer="0" w:header="0"/>
        </w:sectPr>
      </w:pPr>
    </w:p>
    <w:bookmarkStart w:id="111" w:name="page112"/>
    <w:bookmarkEnd w:id="111"/>
    <w:p>
      <w:pPr>
        <w:ind w:left="4460"/>
        <w:spacing w:after="0"/>
        <w:rPr>
          <w:sz w:val="20"/>
          <w:szCs w:val="20"/>
          <w:color w:val="auto"/>
        </w:rPr>
      </w:pPr>
      <w:r>
        <w:rPr>
          <w:rFonts w:ascii="Times New Roman" w:cs="Times New Roman" w:eastAsia="Times New Roman" w:hAnsi="Times New Roman"/>
          <w:sz w:val="20"/>
          <w:szCs w:val="20"/>
          <w:b w:val="1"/>
          <w:bCs w:val="1"/>
          <w:color w:val="auto"/>
        </w:rPr>
        <w:t>Contingent Beneficiary(ies)</w:t>
      </w:r>
    </w:p>
    <w:p>
      <w:pPr>
        <w:spacing w:after="0" w:line="1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In the event none of the above designated individual(s) survive me, I hereby designate the following as the contingent beneficiary or beneficiaries under the plan(s):</w:t>
      </w:r>
    </w:p>
    <w:p>
      <w:pPr>
        <w:spacing w:after="0" w:line="2" w:lineRule="exact"/>
        <w:rPr>
          <w:sz w:val="20"/>
          <w:szCs w:val="20"/>
          <w:color w:val="auto"/>
        </w:rPr>
      </w:pPr>
    </w:p>
    <w:p>
      <w:pPr>
        <w:ind w:left="1140"/>
        <w:spacing w:after="0"/>
        <w:tabs>
          <w:tab w:leader="none" w:pos="5640" w:val="left"/>
          <w:tab w:leader="none" w:pos="9100" w:val="left"/>
        </w:tabs>
        <w:rPr>
          <w:sz w:val="20"/>
          <w:szCs w:val="20"/>
          <w:color w:val="auto"/>
        </w:rPr>
      </w:pPr>
      <w:r>
        <w:rPr>
          <w:rFonts w:ascii="Times New Roman" w:cs="Times New Roman" w:eastAsia="Times New Roman" w:hAnsi="Times New Roman"/>
          <w:sz w:val="20"/>
          <w:szCs w:val="20"/>
          <w:b w:val="1"/>
          <w:bCs w:val="1"/>
          <w:color w:val="auto"/>
        </w:rPr>
        <w:t>Name and Current Address</w:t>
      </w:r>
      <w:r>
        <w:rPr>
          <w:sz w:val="20"/>
          <w:szCs w:val="20"/>
          <w:color w:val="auto"/>
        </w:rPr>
        <w:tab/>
      </w:r>
      <w:r>
        <w:rPr>
          <w:rFonts w:ascii="Times New Roman" w:cs="Times New Roman" w:eastAsia="Times New Roman" w:hAnsi="Times New Roman"/>
          <w:sz w:val="20"/>
          <w:szCs w:val="20"/>
          <w:b w:val="1"/>
          <w:bCs w:val="1"/>
          <w:color w:val="auto"/>
        </w:rPr>
        <w:t>Relationship</w:t>
      </w:r>
      <w:r>
        <w:rPr>
          <w:sz w:val="20"/>
          <w:szCs w:val="20"/>
          <w:color w:val="auto"/>
        </w:rPr>
        <w:tab/>
      </w:r>
      <w:r>
        <w:rPr>
          <w:rFonts w:ascii="Times New Roman" w:cs="Times New Roman" w:eastAsia="Times New Roman" w:hAnsi="Times New Roman"/>
          <w:sz w:val="19"/>
          <w:szCs w:val="19"/>
          <w:b w:val="1"/>
          <w:bCs w:val="1"/>
          <w:color w:val="auto"/>
        </w:rPr>
        <w:t>Percent of Total</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(1)</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(2)</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(3)</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(4)</w:t>
      </w:r>
    </w:p>
    <w:p>
      <w:pPr>
        <w:spacing w:after="0" w:line="4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(If more than one person is designated above and all but one die, state whether survivor will receive 100%)</w:t>
      </w:r>
    </w:p>
    <w:p>
      <w:pPr>
        <w:spacing w:after="0" w:line="200" w:lineRule="exact"/>
        <w:rPr>
          <w:sz w:val="20"/>
          <w:szCs w:val="20"/>
          <w:color w:val="auto"/>
        </w:rPr>
      </w:pPr>
    </w:p>
    <w:p>
      <w:pPr>
        <w:spacing w:after="0" w:line="2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(Signature of Director)</w:t>
      </w:r>
    </w:p>
    <w:p>
      <w:pPr>
        <w:spacing w:after="0" w:line="310" w:lineRule="exact"/>
        <w:rPr>
          <w:sz w:val="20"/>
          <w:szCs w:val="20"/>
          <w:color w:val="auto"/>
        </w:rPr>
      </w:pPr>
    </w:p>
    <w:p>
      <w:pPr>
        <w:ind w:left="20"/>
        <w:spacing w:after="0"/>
        <w:tabs>
          <w:tab w:leader="none" w:pos="4560" w:val="left"/>
        </w:tabs>
        <w:rPr>
          <w:sz w:val="20"/>
          <w:szCs w:val="20"/>
          <w:color w:val="auto"/>
        </w:rPr>
      </w:pPr>
      <w:r>
        <w:rPr>
          <w:rFonts w:ascii="Times New Roman" w:cs="Times New Roman" w:eastAsia="Times New Roman" w:hAnsi="Times New Roman"/>
          <w:sz w:val="20"/>
          <w:szCs w:val="20"/>
          <w:color w:val="auto"/>
        </w:rPr>
        <w:t>FOR COMPANY USE ONLY:</w:t>
      </w:r>
      <w:r>
        <w:rPr>
          <w:sz w:val="20"/>
          <w:szCs w:val="20"/>
          <w:color w:val="auto"/>
        </w:rPr>
        <w:tab/>
      </w:r>
      <w:r>
        <w:rPr>
          <w:rFonts w:ascii="Times New Roman" w:cs="Times New Roman" w:eastAsia="Times New Roman" w:hAnsi="Times New Roman"/>
          <w:sz w:val="19"/>
          <w:szCs w:val="19"/>
          <w:color w:val="auto"/>
        </w:rPr>
        <w:t>Received for filing on , _____</w:t>
      </w:r>
    </w:p>
    <w:p>
      <w:pPr>
        <w:spacing w:after="0" w:line="31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By</w:t>
      </w:r>
    </w:p>
    <w:p>
      <w:pPr>
        <w:spacing w:after="0" w:line="31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10480"/>
          </w:cols>
          <w:pgMar w:left="320" w:top="1409" w:right="109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10.38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Restricted Stock Issuance Agreement – rTSR</w:t>
      </w:r>
    </w:p>
    <w:p>
      <w:pPr>
        <w:spacing w:after="0" w:line="2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 xml:space="preserve">SJW </w:t>
      </w:r>
      <w:r>
        <w:rPr>
          <w:rFonts w:ascii="Times New Roman" w:cs="Times New Roman" w:eastAsia="Times New Roman" w:hAnsi="Times New Roman"/>
          <w:sz w:val="21"/>
          <w:szCs w:val="21"/>
          <w:b w:val="1"/>
          <w:bCs w:val="1"/>
          <w:color w:val="auto"/>
        </w:rPr>
        <w:t>GROUP</w:t>
      </w:r>
    </w:p>
    <w:p>
      <w:pPr>
        <w:spacing w:after="0" w:line="3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RESTRICTED STOCK UNIT ISSUANCE AGREEMENT</w:t>
      </w: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42" w:lineRule="exact"/>
        <w:rPr>
          <w:sz w:val="20"/>
          <w:szCs w:val="20"/>
          <w:color w:val="auto"/>
        </w:rPr>
      </w:pPr>
    </w:p>
    <w:p>
      <w:pPr>
        <w:ind w:firstLine="476"/>
        <w:spacing w:after="0" w:line="255" w:lineRule="auto"/>
        <w:tabs>
          <w:tab w:leader="none" w:pos="112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has adopted the Plan for the purpose of retaining the services of selected Employees of the Corporation (or any Parent or Subsidiary).</w:t>
      </w:r>
    </w:p>
    <w:p>
      <w:pPr>
        <w:spacing w:after="0" w:line="199" w:lineRule="exact"/>
        <w:rPr>
          <w:rFonts w:ascii="Times New Roman" w:cs="Times New Roman" w:eastAsia="Times New Roman" w:hAnsi="Times New Roman"/>
          <w:sz w:val="20"/>
          <w:szCs w:val="20"/>
          <w:color w:val="auto"/>
        </w:rPr>
      </w:pPr>
    </w:p>
    <w:p>
      <w:pPr>
        <w:jc w:val="both"/>
        <w:ind w:firstLine="476"/>
        <w:spacing w:after="0" w:line="268" w:lineRule="auto"/>
        <w:tabs>
          <w:tab w:leader="none" w:pos="105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is to render valuable services to the Corporation (or a Parent or Subsidiary), and this Agreement is executed pursuant to, and is intended to carry out the purposes of, the Plan in connection with the Corporation’s issuance of an equity incentive award under the Plan designed to retain Participant’s continued service.</w:t>
      </w:r>
    </w:p>
    <w:p>
      <w:pPr>
        <w:spacing w:after="0" w:line="188" w:lineRule="exact"/>
        <w:rPr>
          <w:rFonts w:ascii="Times New Roman" w:cs="Times New Roman" w:eastAsia="Times New Roman" w:hAnsi="Times New Roman"/>
          <w:sz w:val="20"/>
          <w:szCs w:val="20"/>
          <w:color w:val="auto"/>
        </w:rPr>
      </w:pPr>
    </w:p>
    <w:p>
      <w:pPr>
        <w:ind w:left="900" w:hanging="424"/>
        <w:spacing w:after="0"/>
        <w:tabs>
          <w:tab w:leader="none" w:pos="9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capitalized terms in this Agreement shall have the meaning assigned to them in the attached Appendix A.</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NOW, THEREFORE, </w:t>
      </w:r>
      <w:r>
        <w:rPr>
          <w:rFonts w:ascii="Times New Roman" w:cs="Times New Roman" w:eastAsia="Times New Roman" w:hAnsi="Times New Roman"/>
          <w:sz w:val="20"/>
          <w:szCs w:val="20"/>
          <w:color w:val="auto"/>
        </w:rPr>
        <w:t>it is hereby agreed as follows:</w:t>
      </w:r>
    </w:p>
    <w:p>
      <w:pPr>
        <w:spacing w:after="0" w:line="229" w:lineRule="exact"/>
        <w:rPr>
          <w:sz w:val="20"/>
          <w:szCs w:val="20"/>
          <w:color w:val="auto"/>
        </w:rPr>
      </w:pPr>
    </w:p>
    <w:p>
      <w:pPr>
        <w:jc w:val="both"/>
        <w:ind w:firstLine="476"/>
        <w:spacing w:after="0" w:line="248" w:lineRule="auto"/>
        <w:tabs>
          <w:tab w:leader="none" w:pos="1134"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Grant of Restricted Stock Units</w:t>
      </w:r>
      <w:r>
        <w:rPr>
          <w:rFonts w:ascii="Times New Roman" w:cs="Times New Roman" w:eastAsia="Times New Roman" w:hAnsi="Times New Roman"/>
          <w:sz w:val="19"/>
          <w:szCs w:val="19"/>
          <w:color w:val="auto"/>
        </w:rPr>
        <w:t>. The Corporation hereby awards to Participant, as of the Award Date, a performance-based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award (the “Award”) under the Plan comprised of two tranches, each entitling Participant to receive a number of shares of Common Stock based upon the attainment of pre-established performance objectives tied to total shareholder return measured over a specified period, provided Participant continues in Service through the completion date of that measurement period. The aggregate target number of shares of Common Stock used to determine Participant’s rights under the Award (the “Target Shares”) shall be the number of shares designated as Target Granted for the Award as set forth on the “Acknowledge Grant” page (which is incorporated as part of this Agreement), rounded up to the next whole share, linked to the Award in Participant’s personal web portal administered by Computershare Online Services, or a successor administrator, website. The number of Target Shares shall be divided into two tranches as set forth on attached Schedule I. The actual number of shares of Common Stock that may become issuable pursuant to the Award under each tranche shall be determined in accordance with the Vesting Schedule below. The applicable performance target for the vesting of those shares under each tranche, the alternative and special vesting provisions which may become applicable to such shares, the date or dates on which the vested shares shall become issuable to Participant and the remaining terms and conditions governing the Award shall be as set forth in this Agreement.</w:t>
      </w:r>
    </w:p>
    <w:p>
      <w:pPr>
        <w:spacing w:after="0" w:line="19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 xml:space="preserve">Award </w:t>
      </w:r>
      <w:r>
        <w:rPr>
          <w:rFonts w:ascii="Times New Roman" w:cs="Times New Roman" w:eastAsia="Times New Roman" w:hAnsi="Times New Roman"/>
          <w:sz w:val="21"/>
          <w:szCs w:val="21"/>
          <w:color w:val="auto"/>
        </w:rPr>
        <w:t>Date:</w:t>
      </w:r>
      <w:r>
        <w:rPr>
          <w:rFonts w:ascii="Times New Roman" w:cs="Times New Roman" w:eastAsia="Times New Roman" w:hAnsi="Times New Roman"/>
          <w:sz w:val="20"/>
          <w:szCs w:val="20"/>
          <w:color w:val="auto"/>
        </w:rPr>
        <w:t xml:space="preserve"> __________________</w:t>
      </w:r>
    </w:p>
    <w:p>
      <w:pPr>
        <w:spacing w:after="0" w:line="2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 xml:space="preserve">Vesting </w:t>
      </w:r>
      <w:r>
        <w:rPr>
          <w:rFonts w:ascii="Times New Roman" w:cs="Times New Roman" w:eastAsia="Times New Roman" w:hAnsi="Times New Roman"/>
          <w:sz w:val="21"/>
          <w:szCs w:val="21"/>
          <w:color w:val="auto"/>
        </w:rPr>
        <w:t>Schedule:</w:t>
      </w:r>
      <w:r>
        <w:rPr>
          <w:rFonts w:ascii="Times New Roman" w:cs="Times New Roman" w:eastAsia="Times New Roman" w:hAnsi="Times New Roman"/>
          <w:sz w:val="20"/>
          <w:szCs w:val="20"/>
          <w:color w:val="auto"/>
        </w:rPr>
        <w:t xml:space="preserve"> The number of shares of Common Stock which may </w:t>
      </w:r>
      <w:r>
        <w:rPr>
          <w:rFonts w:ascii="Times New Roman" w:cs="Times New Roman" w:eastAsia="Times New Roman" w:hAnsi="Times New Roman"/>
          <w:sz w:val="21"/>
          <w:szCs w:val="21"/>
          <w:color w:val="auto"/>
        </w:rPr>
        <w:t>actually</w:t>
      </w:r>
    </w:p>
    <w:p>
      <w:pPr>
        <w:spacing w:after="0" w:line="41" w:lineRule="exact"/>
        <w:rPr>
          <w:sz w:val="20"/>
          <w:szCs w:val="20"/>
          <w:color w:val="auto"/>
        </w:rPr>
      </w:pPr>
    </w:p>
    <w:p>
      <w:pPr>
        <w:ind w:left="2900"/>
        <w:spacing w:after="0" w:line="247" w:lineRule="auto"/>
        <w:rPr>
          <w:sz w:val="20"/>
          <w:szCs w:val="20"/>
          <w:color w:val="auto"/>
        </w:rPr>
      </w:pPr>
      <w:r>
        <w:rPr>
          <w:rFonts w:ascii="Times New Roman" w:cs="Times New Roman" w:eastAsia="Times New Roman" w:hAnsi="Times New Roman"/>
          <w:sz w:val="20"/>
          <w:szCs w:val="20"/>
          <w:color w:val="auto"/>
        </w:rPr>
        <w:t xml:space="preserve">vest and become issuable pursuant to each tranche of the Award shall be determined pursuant to a two-step </w:t>
      </w:r>
      <w:r>
        <w:rPr>
          <w:rFonts w:ascii="Times New Roman" w:cs="Times New Roman" w:eastAsia="Times New Roman" w:hAnsi="Times New Roman"/>
          <w:sz w:val="21"/>
          <w:szCs w:val="21"/>
          <w:color w:val="auto"/>
        </w:rPr>
        <w:t>process:</w:t>
      </w:r>
    </w:p>
    <w:p>
      <w:pPr>
        <w:spacing w:after="0" w:line="1" w:lineRule="exact"/>
        <w:rPr>
          <w:sz w:val="20"/>
          <w:szCs w:val="20"/>
          <w:color w:val="auto"/>
        </w:rPr>
      </w:pPr>
    </w:p>
    <w:p>
      <w:pPr>
        <w:jc w:val="both"/>
        <w:ind w:left="2900" w:firstLine="6"/>
        <w:spacing w:after="0" w:line="241" w:lineRule="auto"/>
        <w:tabs>
          <w:tab w:leader="none" w:pos="315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first the maximum number of shares of Common Stock in which Participant can vest under the Performance Vesting section below shall be calculated on the basis of the level at which the Performance Objective specified on attached Schedule I for the tranche is actually attained and (ii) then the number of shares calculated under clause (i) in which Participant may actually vest</w:t>
      </w:r>
    </w:p>
    <w:p>
      <w:pPr>
        <w:sectPr>
          <w:pgSz w:w="11900" w:h="16838" w:orient="portrait"/>
          <w:cols w:equalWidth="0" w:num="1">
            <w:col w:w="11060"/>
          </w:cols>
          <w:pgMar w:left="500" w:top="117" w:right="339" w:bottom="1440" w:gutter="0" w:footer="0" w:header="0"/>
        </w:sectPr>
      </w:pPr>
    </w:p>
    <w:bookmarkStart w:id="113" w:name="page114"/>
    <w:bookmarkEnd w:id="113"/>
    <w:p>
      <w:pPr>
        <w:jc w:val="both"/>
        <w:ind w:left="2080"/>
        <w:spacing w:after="0" w:line="282" w:lineRule="auto"/>
        <w:rPr>
          <w:sz w:val="20"/>
          <w:szCs w:val="20"/>
          <w:color w:val="auto"/>
        </w:rPr>
      </w:pPr>
      <w:r>
        <w:rPr>
          <w:rFonts w:ascii="Times New Roman" w:cs="Times New Roman" w:eastAsia="Times New Roman" w:hAnsi="Times New Roman"/>
          <w:sz w:val="20"/>
          <w:szCs w:val="20"/>
          <w:color w:val="auto"/>
        </w:rPr>
        <w:t xml:space="preserve">shall be determined on the basis of his or her completion of the applicable </w:t>
      </w:r>
      <w:r>
        <w:rPr>
          <w:rFonts w:ascii="Times New Roman" w:cs="Times New Roman" w:eastAsia="Times New Roman" w:hAnsi="Times New Roman"/>
          <w:sz w:val="21"/>
          <w:szCs w:val="21"/>
          <w:color w:val="auto"/>
        </w:rPr>
        <w:t>Service</w:t>
      </w:r>
      <w:r>
        <w:rPr>
          <w:rFonts w:ascii="Times New Roman" w:cs="Times New Roman" w:eastAsia="Times New Roman" w:hAnsi="Times New Roman"/>
          <w:sz w:val="20"/>
          <w:szCs w:val="20"/>
          <w:color w:val="auto"/>
        </w:rPr>
        <w:t xml:space="preserve"> vesting requirements set forth in Paragraph 3 of this </w:t>
      </w:r>
      <w:r>
        <w:rPr>
          <w:rFonts w:ascii="Times New Roman" w:cs="Times New Roman" w:eastAsia="Times New Roman" w:hAnsi="Times New Roman"/>
          <w:sz w:val="21"/>
          <w:szCs w:val="21"/>
          <w:color w:val="auto"/>
        </w:rPr>
        <w:t>Agreement.</w:t>
      </w:r>
    </w:p>
    <w:p>
      <w:pPr>
        <w:spacing w:after="0" w:line="156" w:lineRule="exact"/>
        <w:rPr>
          <w:sz w:val="20"/>
          <w:szCs w:val="20"/>
          <w:color w:val="auto"/>
        </w:rPr>
      </w:pPr>
    </w:p>
    <w:p>
      <w:pPr>
        <w:jc w:val="both"/>
        <w:ind w:left="2080"/>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Performance Vesting</w:t>
      </w:r>
      <w:r>
        <w:rPr>
          <w:rFonts w:ascii="Times New Roman" w:cs="Times New Roman" w:eastAsia="Times New Roman" w:hAnsi="Times New Roman"/>
          <w:sz w:val="19"/>
          <w:szCs w:val="19"/>
          <w:color w:val="auto"/>
        </w:rPr>
        <w:t>: Attached Schedule I specifies the Performance Objective to be attained for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 xml:space="preserve">each tranche for the specified Measurement Period. No later than the last business day of February in the calendar year immediately following the end of the Measurement Period, the Plan Administrator shall determine and certify the actual level of attainment for the Performance Objective for each tranche (the “Performance Certification Date”). On the basis of that certified level of attainment, for each tranche of the Award, the number of Target Shares allocated to that tranche of the Award will be multiplied by the applicable percentage for that tranche (which may range from 0% to 200%) </w:t>
      </w:r>
      <w:r>
        <w:rPr>
          <w:rFonts w:ascii="Times New Roman" w:cs="Times New Roman" w:eastAsia="Times New Roman" w:hAnsi="Times New Roman"/>
          <w:sz w:val="21"/>
          <w:szCs w:val="21"/>
          <w:color w:val="auto"/>
        </w:rPr>
        <w:t xml:space="preserve">determined in accordance with the table set forth in Schedule </w:t>
      </w:r>
      <w:r>
        <w:rPr>
          <w:rFonts w:ascii="Times New Roman" w:cs="Times New Roman" w:eastAsia="Times New Roman" w:hAnsi="Times New Roman"/>
          <w:sz w:val="19"/>
          <w:szCs w:val="19"/>
          <w:color w:val="auto"/>
        </w:rPr>
        <w:t>I. The number of shares resulting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from such calculation for each tranche shall be aggregated, and such aggregated number of shares shall constitute the maximum number of shares of Common Stock in which Participant may vest under this Award and shall be designated the “Performance- Qualified Shares.” In no event may the number of such Performance-Qualified Shares exceed 200% of the number of Target Shares.</w:t>
      </w:r>
    </w:p>
    <w:p>
      <w:pPr>
        <w:spacing w:after="0" w:line="202" w:lineRule="exact"/>
        <w:rPr>
          <w:sz w:val="20"/>
          <w:szCs w:val="20"/>
          <w:color w:val="auto"/>
        </w:rPr>
      </w:pPr>
    </w:p>
    <w:p>
      <w:pPr>
        <w:jc w:val="both"/>
        <w:ind w:left="2080"/>
        <w:spacing w:after="0" w:line="263" w:lineRule="auto"/>
        <w:rPr>
          <w:sz w:val="20"/>
          <w:szCs w:val="20"/>
          <w:color w:val="auto"/>
        </w:rPr>
      </w:pPr>
      <w:r>
        <w:rPr>
          <w:rFonts w:ascii="Times New Roman" w:cs="Times New Roman" w:eastAsia="Times New Roman" w:hAnsi="Times New Roman"/>
          <w:sz w:val="20"/>
          <w:szCs w:val="20"/>
          <w:color w:val="auto"/>
        </w:rPr>
        <w:t>Should the Performance Objective for any tranche be attained at a level below the threshold level specified in the attached Schedule I for that tranche, the Award with respect to that tranche shall be forfeited and shall be immediately cancelled. Participant shall thereupon cease to have any further right, title or interest in the shares of Common Stock underlying the cancelled tranche of the Award.</w:t>
      </w:r>
    </w:p>
    <w:p>
      <w:pPr>
        <w:spacing w:after="0" w:line="183" w:lineRule="exact"/>
        <w:rPr>
          <w:sz w:val="20"/>
          <w:szCs w:val="20"/>
          <w:color w:val="auto"/>
        </w:rPr>
      </w:pPr>
    </w:p>
    <w:p>
      <w:pPr>
        <w:jc w:val="both"/>
        <w:ind w:left="2080"/>
        <w:spacing w:after="0" w:line="259" w:lineRule="auto"/>
        <w:rPr>
          <w:sz w:val="20"/>
          <w:szCs w:val="20"/>
          <w:color w:val="auto"/>
        </w:rPr>
      </w:pPr>
      <w:r>
        <w:rPr>
          <w:rFonts w:ascii="Times New Roman" w:cs="Times New Roman" w:eastAsia="Times New Roman" w:hAnsi="Times New Roman"/>
          <w:sz w:val="22"/>
          <w:szCs w:val="22"/>
          <w:b w:val="1"/>
          <w:bCs w:val="1"/>
          <w:i w:val="1"/>
          <w:iCs w:val="1"/>
          <w:color w:val="auto"/>
        </w:rPr>
        <w:t xml:space="preserve">Service Vesting. </w:t>
      </w:r>
      <w:r>
        <w:rPr>
          <w:rFonts w:ascii="Times New Roman" w:cs="Times New Roman" w:eastAsia="Times New Roman" w:hAnsi="Times New Roman"/>
          <w:sz w:val="19"/>
          <w:szCs w:val="19"/>
          <w:color w:val="auto"/>
        </w:rPr>
        <w:t>The number of Performance-Qualified Shares in which Participant actually vests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shall be determined on the basis of Participant’s satisfaction of the Service vesting requirements set forth in Paragraph 3.</w:t>
      </w:r>
    </w:p>
    <w:p>
      <w:pPr>
        <w:spacing w:after="0" w:line="18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Change in Control Vesting. </w:t>
      </w:r>
      <w:r>
        <w:rPr>
          <w:rFonts w:ascii="Times New Roman" w:cs="Times New Roman" w:eastAsia="Times New Roman" w:hAnsi="Times New Roman"/>
          <w:sz w:val="19"/>
          <w:szCs w:val="19"/>
          <w:color w:val="auto"/>
        </w:rPr>
        <w:t>The shares of Common Stock underlying the Award may also vest on</w:t>
      </w:r>
    </w:p>
    <w:p>
      <w:pPr>
        <w:spacing w:after="0" w:line="35" w:lineRule="exact"/>
        <w:rPr>
          <w:sz w:val="20"/>
          <w:szCs w:val="20"/>
          <w:color w:val="auto"/>
        </w:rPr>
      </w:pPr>
    </w:p>
    <w:p>
      <w:pPr>
        <w:jc w:val="both"/>
        <w:ind w:left="2080"/>
        <w:spacing w:after="0" w:line="236" w:lineRule="auto"/>
        <w:rPr>
          <w:sz w:val="20"/>
          <w:szCs w:val="20"/>
          <w:color w:val="auto"/>
        </w:rPr>
      </w:pPr>
      <w:r>
        <w:rPr>
          <w:rFonts w:ascii="Times New Roman" w:cs="Times New Roman" w:eastAsia="Times New Roman" w:hAnsi="Times New Roman"/>
          <w:sz w:val="20"/>
          <w:szCs w:val="20"/>
          <w:color w:val="auto"/>
        </w:rPr>
        <w:t>an alternative basis in accordance with Paragraph 5 should a Change in Control occur prior to the completion of the Measurement Period.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Issuance </w:t>
      </w:r>
      <w:r>
        <w:rPr>
          <w:rFonts w:ascii="Times New Roman" w:cs="Times New Roman" w:eastAsia="Times New Roman" w:hAnsi="Times New Roman"/>
          <w:sz w:val="21"/>
          <w:szCs w:val="21"/>
          <w:color w:val="auto"/>
        </w:rPr>
        <w:t>Schedule:</w:t>
      </w:r>
      <w:r>
        <w:rPr>
          <w:rFonts w:ascii="Times New Roman" w:cs="Times New Roman" w:eastAsia="Times New Roman" w:hAnsi="Times New Roman"/>
          <w:sz w:val="20"/>
          <w:szCs w:val="20"/>
          <w:color w:val="auto"/>
        </w:rPr>
        <w:t xml:space="preserve"> The shares of Common Stock which actually vest </w:t>
      </w:r>
      <w:r>
        <w:rPr>
          <w:rFonts w:ascii="Times New Roman" w:cs="Times New Roman" w:eastAsia="Times New Roman" w:hAnsi="Times New Roman"/>
          <w:sz w:val="21"/>
          <w:szCs w:val="21"/>
          <w:color w:val="auto"/>
        </w:rPr>
        <w:t>and</w:t>
      </w:r>
    </w:p>
    <w:p>
      <w:pPr>
        <w:spacing w:after="0" w:line="28" w:lineRule="exact"/>
        <w:rPr>
          <w:sz w:val="20"/>
          <w:szCs w:val="20"/>
          <w:color w:val="auto"/>
        </w:rPr>
      </w:pPr>
    </w:p>
    <w:p>
      <w:pPr>
        <w:jc w:val="both"/>
        <w:ind w:left="2080"/>
        <w:spacing w:after="0" w:line="247" w:lineRule="auto"/>
        <w:rPr>
          <w:sz w:val="20"/>
          <w:szCs w:val="20"/>
          <w:color w:val="auto"/>
        </w:rPr>
      </w:pPr>
      <w:r>
        <w:rPr>
          <w:rFonts w:ascii="Times New Roman" w:cs="Times New Roman" w:eastAsia="Times New Roman" w:hAnsi="Times New Roman"/>
          <w:sz w:val="20"/>
          <w:szCs w:val="20"/>
          <w:color w:val="auto"/>
        </w:rPr>
        <w:t xml:space="preserve">become issuable pursuant to the terms of this Agreement shall be issued in accordance with the provisions of this Agreement applicable to the particular circumstances under which such vesting occurs. The actual issuance of the shares shall be subject to the Corporation’s collection of </w:t>
      </w:r>
      <w:r>
        <w:rPr>
          <w:rFonts w:ascii="Times New Roman" w:cs="Times New Roman" w:eastAsia="Times New Roman" w:hAnsi="Times New Roman"/>
          <w:sz w:val="21"/>
          <w:szCs w:val="21"/>
          <w:color w:val="auto"/>
        </w:rPr>
        <w:t>all</w:t>
      </w:r>
      <w:r>
        <w:rPr>
          <w:rFonts w:ascii="Times New Roman" w:cs="Times New Roman" w:eastAsia="Times New Roman" w:hAnsi="Times New Roman"/>
          <w:sz w:val="20"/>
          <w:szCs w:val="20"/>
          <w:color w:val="auto"/>
        </w:rPr>
        <w:t xml:space="preserve"> applicable Withholding Taxes as set forth in Paragraph 7 of this Agreement.</w:t>
      </w:r>
    </w:p>
    <w:p>
      <w:pPr>
        <w:sectPr>
          <w:pgSz w:w="11900" w:h="16838" w:orient="portrait"/>
          <w:cols w:equalWidth="0" w:num="1">
            <w:col w:w="10240"/>
          </w:cols>
          <w:pgMar w:left="1320" w:top="1408" w:right="339" w:bottom="1440" w:gutter="0" w:footer="0" w:header="0"/>
        </w:sectPr>
      </w:pPr>
    </w:p>
    <w:bookmarkStart w:id="114" w:name="page115"/>
    <w:bookmarkEnd w:id="114"/>
    <w:p>
      <w:pPr>
        <w:jc w:val="both"/>
        <w:ind w:firstLine="656"/>
        <w:spacing w:after="0" w:line="247" w:lineRule="auto"/>
        <w:tabs>
          <w:tab w:leader="none" w:pos="1053"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Limited Transferability</w:t>
      </w:r>
      <w:r>
        <w:rPr>
          <w:rFonts w:ascii="Times New Roman" w:cs="Times New Roman" w:eastAsia="Times New Roman" w:hAnsi="Times New Roman"/>
          <w:sz w:val="19"/>
          <w:szCs w:val="19"/>
          <w:color w:val="auto"/>
        </w:rPr>
        <w:t>. Prior to actual receipt of the shares of Common Stock which vest and become issuable hereunder,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Participant may not transfer any interest in the Award or the underlying shares. Any shares which vest hereunder but which otherwise remain unissued at the time of Participant’s death may be transferred pursuant to the provisions of Participant’s will or the laws of inheritance or to Participant’s designated beneficiary or beneficiaries of this Award. Participant may also direct the Corporation to re-issue the stock certificates for any shares which in fact vest and become issuable under the Award during his lifetime to one or more designated family members or a trust established for Participant and/or his family members. Participant may make such a beneficiary designation or certificate directive at any time by filing the appropriate form with the Plan Administrator or its designee.</w:t>
      </w:r>
    </w:p>
    <w:p>
      <w:pPr>
        <w:spacing w:after="0" w:line="191" w:lineRule="exact"/>
        <w:rPr>
          <w:rFonts w:ascii="Times New Roman" w:cs="Times New Roman" w:eastAsia="Times New Roman" w:hAnsi="Times New Roman"/>
          <w:sz w:val="22"/>
          <w:szCs w:val="22"/>
          <w:color w:val="auto"/>
        </w:rPr>
      </w:pPr>
    </w:p>
    <w:p>
      <w:pPr>
        <w:jc w:val="both"/>
        <w:ind w:firstLine="656"/>
        <w:spacing w:after="0" w:line="261" w:lineRule="auto"/>
        <w:tabs>
          <w:tab w:leader="none" w:pos="1093"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Service Requirement</w:t>
      </w:r>
      <w:r>
        <w:rPr>
          <w:rFonts w:ascii="Times New Roman" w:cs="Times New Roman" w:eastAsia="Times New Roman" w:hAnsi="Times New Roman"/>
          <w:sz w:val="19"/>
          <w:szCs w:val="19"/>
          <w:color w:val="auto"/>
        </w:rPr>
        <w:t>. The number of Performance-Qualified Shares calculated in accordance with the Performance-Vesting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provisions of Paragraph 1 and attached Schedule I represent the maximum number of shares of Common Stock in which Participant can vest hereunder. The actual number of shares of Common Stock in which Participant shall vest shall be determined as follows:</w:t>
      </w:r>
    </w:p>
    <w:p>
      <w:pPr>
        <w:spacing w:after="0" w:line="206" w:lineRule="exact"/>
        <w:rPr>
          <w:rFonts w:ascii="Times New Roman" w:cs="Times New Roman" w:eastAsia="Times New Roman" w:hAnsi="Times New Roman"/>
          <w:sz w:val="22"/>
          <w:szCs w:val="22"/>
          <w:color w:val="auto"/>
        </w:rPr>
      </w:pPr>
    </w:p>
    <w:p>
      <w:pPr>
        <w:ind w:left="660" w:firstLine="644"/>
        <w:spacing w:after="0" w:line="282" w:lineRule="auto"/>
        <w:tabs>
          <w:tab w:leader="none" w:pos="1551" w:val="left"/>
        </w:tabs>
        <w:numPr>
          <w:ilvl w:val="1"/>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Participant shall vest in one hundred percent (100%) of the Performance- Qualified Shares on the Performance Certification Date provided Participant has remained in Service through _________________.</w:t>
      </w:r>
    </w:p>
    <w:p>
      <w:pPr>
        <w:spacing w:after="0" w:line="174" w:lineRule="exact"/>
        <w:rPr>
          <w:rFonts w:ascii="Arial" w:cs="Arial" w:eastAsia="Arial" w:hAnsi="Arial"/>
          <w:sz w:val="20"/>
          <w:szCs w:val="20"/>
          <w:color w:val="auto"/>
        </w:rPr>
      </w:pPr>
    </w:p>
    <w:p>
      <w:pPr>
        <w:jc w:val="both"/>
        <w:ind w:left="660" w:firstLine="644"/>
        <w:spacing w:after="0" w:line="260" w:lineRule="auto"/>
        <w:tabs>
          <w:tab w:leader="none" w:pos="1497" w:val="left"/>
        </w:tabs>
        <w:numPr>
          <w:ilvl w:val="1"/>
          <w:numId w:val="52"/>
        </w:numPr>
        <w:rPr>
          <w:rFonts w:ascii="Arial" w:cs="Arial" w:eastAsia="Arial" w:hAnsi="Arial"/>
          <w:sz w:val="19"/>
          <w:szCs w:val="19"/>
          <w:color w:val="auto"/>
        </w:rPr>
      </w:pPr>
      <w:r>
        <w:rPr>
          <w:rFonts w:ascii="Times New Roman" w:cs="Times New Roman" w:eastAsia="Times New Roman" w:hAnsi="Times New Roman"/>
          <w:sz w:val="19"/>
          <w:szCs w:val="19"/>
          <w:color w:val="auto"/>
        </w:rPr>
        <w:t>Except to the extent otherwise provided in Paragraph 5, should Participant’s cessation of Employee status occur prior to the completion of the Measurement Period by reason of (A) Participant’s cessation of Employee status by reason of death or Permanent Disability, (B) Participant’s Retirement, (C) Participant’s resignation from Employee status for Good Reason or (D) the Corporation’s termination of Participant’s Employee status other than for Good Cause, then Participant shall, following the completion of the Measurement Period, vest in that number of shares of Common Stock determined by multiplying the Performance-Qualified Shares in which Participant could vest based on the actual level of attainment of the Performance Objectives certified by the Plan Administrator by a fraction, the numerator of which is the number of whole months of Service (rounded up to the next whole month) completed by Participant during the Measurement Period and the denominator of which is thirty-six (36) months.</w:t>
      </w:r>
    </w:p>
    <w:p>
      <w:pPr>
        <w:spacing w:after="0" w:line="211" w:lineRule="exact"/>
        <w:rPr>
          <w:rFonts w:ascii="Arial" w:cs="Arial" w:eastAsia="Arial" w:hAnsi="Arial"/>
          <w:sz w:val="19"/>
          <w:szCs w:val="19"/>
          <w:color w:val="auto"/>
        </w:rPr>
      </w:pPr>
    </w:p>
    <w:p>
      <w:pPr>
        <w:jc w:val="both"/>
        <w:ind w:left="660" w:firstLine="644"/>
        <w:spacing w:after="0" w:line="254" w:lineRule="auto"/>
        <w:tabs>
          <w:tab w:leader="none" w:pos="1510" w:val="left"/>
        </w:tabs>
        <w:numPr>
          <w:ilvl w:val="1"/>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If Participant’s Service ceases for any other reason prior to the completion of the Measurement Period, then Participant shall not vest in any of the shares of Common Stock subject to the Award, and all of Participant’s right, title and interest to the Award shall immediately terminate;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b w:val="1"/>
          <w:bCs w:val="1"/>
          <w:i w:val="1"/>
          <w:iCs w:val="1"/>
          <w:color w:val="auto"/>
        </w:rPr>
        <w:t>however</w:t>
      </w:r>
      <w:r>
        <w:rPr>
          <w:rFonts w:ascii="Times New Roman" w:cs="Times New Roman" w:eastAsia="Times New Roman" w:hAnsi="Times New Roman"/>
          <w:sz w:val="20"/>
          <w:szCs w:val="20"/>
          <w:color w:val="auto"/>
        </w:rPr>
        <w:t>, that should a Change in Control occur prior to the completion of the Measurement Period, then the provisions of Paragraph 5 shall govern the vesting of the shares.</w:t>
      </w:r>
    </w:p>
    <w:p>
      <w:pPr>
        <w:spacing w:after="0" w:line="21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To the extent Participant so vests in one or more Performance-Qualified Shares pursuant to this Paragraph 3, the underlying shares that vest on the Performance Certification Date shall be issued on the last business day of February in the calendar year immediately following the end of the Measurement Period (the “Issuance Date”), subject to the Corporation’s collection of the applicable Withholding Taxes, but in no event later than the close of the calendar year in which the Issuance Date occurs.</w:t>
      </w:r>
    </w:p>
    <w:p>
      <w:pPr>
        <w:spacing w:after="0" w:line="204" w:lineRule="exact"/>
        <w:rPr>
          <w:sz w:val="20"/>
          <w:szCs w:val="20"/>
          <w:color w:val="auto"/>
        </w:rPr>
      </w:pPr>
    </w:p>
    <w:p>
      <w:pPr>
        <w:jc w:val="both"/>
        <w:ind w:firstLine="656"/>
        <w:spacing w:after="0" w:line="254" w:lineRule="auto"/>
        <w:tabs>
          <w:tab w:leader="none" w:pos="112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Stockholder Rights</w:t>
      </w:r>
      <w:r>
        <w:rPr>
          <w:rFonts w:ascii="Times New Roman" w:cs="Times New Roman" w:eastAsia="Times New Roman" w:hAnsi="Times New Roman"/>
          <w:sz w:val="19"/>
          <w:szCs w:val="19"/>
          <w:color w:val="auto"/>
        </w:rPr>
        <w:t>. Participant shall not have any stockholder rights, including voting, dividend or liquidation rights,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respect to the shares of Common Stock subject to the Award until the shares vest and Participant becomes the record holder of those shares upon their actual issuance following the Corporation’s collection of the applicable Withholding Taxes.</w:t>
      </w:r>
    </w:p>
    <w:p>
      <w:pPr>
        <w:sectPr>
          <w:pgSz w:w="11900" w:h="16838" w:orient="portrait"/>
          <w:cols w:equalWidth="0" w:num="1">
            <w:col w:w="11240"/>
          </w:cols>
          <w:pgMar w:left="320" w:top="1404" w:right="339" w:bottom="1440" w:gutter="0" w:footer="0" w:header="0"/>
        </w:sectPr>
      </w:pPr>
    </w:p>
    <w:bookmarkStart w:id="115" w:name="page116"/>
    <w:bookmarkEnd w:id="115"/>
    <w:p>
      <w:pPr>
        <w:ind w:left="424" w:hanging="424"/>
        <w:spacing w:after="0"/>
        <w:tabs>
          <w:tab w:leader="none" w:pos="42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color w:val="auto"/>
        </w:rPr>
        <w:t>.</w:t>
      </w:r>
    </w:p>
    <w:p>
      <w:pPr>
        <w:spacing w:after="0" w:line="241" w:lineRule="exact"/>
        <w:rPr>
          <w:rFonts w:ascii="Times New Roman" w:cs="Times New Roman" w:eastAsia="Times New Roman" w:hAnsi="Times New Roman"/>
          <w:sz w:val="22"/>
          <w:szCs w:val="22"/>
          <w:color w:val="auto"/>
        </w:rPr>
      </w:pPr>
    </w:p>
    <w:p>
      <w:pPr>
        <w:jc w:val="both"/>
        <w:ind w:left="-656" w:firstLine="1304"/>
        <w:spacing w:after="0" w:line="247" w:lineRule="auto"/>
        <w:tabs>
          <w:tab w:leader="none" w:pos="1278"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 Change of Control occurs during the Measurement Period and Participant remains in Service through the effective date of the Change of Control, then the number of Performance-Qualified Shares issuable under the Award shall be equal to the Target Shares.</w:t>
      </w:r>
    </w:p>
    <w:p>
      <w:pPr>
        <w:spacing w:after="0" w:line="207" w:lineRule="exact"/>
        <w:rPr>
          <w:rFonts w:ascii="Times New Roman" w:cs="Times New Roman" w:eastAsia="Times New Roman" w:hAnsi="Times New Roman"/>
          <w:sz w:val="20"/>
          <w:szCs w:val="20"/>
          <w:color w:val="auto"/>
        </w:rPr>
      </w:pPr>
    </w:p>
    <w:p>
      <w:pPr>
        <w:jc w:val="both"/>
        <w:ind w:left="-656" w:firstLine="1304"/>
        <w:spacing w:after="0" w:line="257" w:lineRule="auto"/>
        <w:tabs>
          <w:tab w:leader="none" w:pos="1101"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Award as so adjusted at the time of a Change in Control may be assumed by the successor entity or otherwise continued in full force and effect or may be replaced with a cash retention program of the successor entity which preserves the Fair Market Value of the underlying shares of Common Stock at the time of the Change in Control and provides for the subsequent vesting and payout of that value in accordance with the provisions of this Paragraph 5.B. In the event the Award is assumed, replaced or otherwise continued in effect, the following Service-based vesting schedule shall apply:</w:t>
      </w:r>
    </w:p>
    <w:p>
      <w:pPr>
        <w:spacing w:after="0" w:line="186" w:lineRule="exact"/>
        <w:rPr>
          <w:rFonts w:ascii="Times New Roman" w:cs="Times New Roman" w:eastAsia="Times New Roman" w:hAnsi="Times New Roman"/>
          <w:sz w:val="20"/>
          <w:szCs w:val="20"/>
          <w:color w:val="auto"/>
        </w:rPr>
      </w:pPr>
    </w:p>
    <w:p>
      <w:pPr>
        <w:jc w:val="both"/>
        <w:ind w:left="4" w:firstLine="1049"/>
        <w:spacing w:after="0" w:line="253" w:lineRule="auto"/>
        <w:tabs>
          <w:tab w:leader="none" w:pos="1293" w:val="left"/>
        </w:tabs>
        <w:numPr>
          <w:ilvl w:val="3"/>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Award (whether in its assumed or continued form or as converted into a cash retention program) shall vest in full upon Participant’s continuation in Service through the completion date of the Measurement Period. Following the completion of such Service-vesting period, the securities, cash or other property underlying the vested Award shall be issued on the Issuance Date or as soon as administratively practicable thereafter, subject to the Corporation’s collection of the applicable Withholding Taxes, but in no event later than March 15 following the end of the Measurement Period.</w:t>
      </w:r>
    </w:p>
    <w:p>
      <w:pPr>
        <w:spacing w:after="0" w:line="218" w:lineRule="exact"/>
        <w:rPr>
          <w:rFonts w:ascii="Times New Roman" w:cs="Times New Roman" w:eastAsia="Times New Roman" w:hAnsi="Times New Roman"/>
          <w:sz w:val="20"/>
          <w:szCs w:val="20"/>
          <w:color w:val="auto"/>
        </w:rPr>
      </w:pPr>
    </w:p>
    <w:p>
      <w:pPr>
        <w:jc w:val="right"/>
        <w:ind w:left="6984" w:hanging="5179"/>
        <w:spacing w:after="0" w:line="263" w:lineRule="auto"/>
        <w:tabs>
          <w:tab w:leader="none" w:pos="2092" w:val="left"/>
        </w:tabs>
        <w:numPr>
          <w:ilvl w:val="4"/>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Should any of the following events occur after the effective date of such Change in Control but prior to the completion date of the Measurement </w:t>
      </w:r>
      <w:r>
        <w:rPr>
          <w:rFonts w:ascii="Times New Roman" w:cs="Times New Roman" w:eastAsia="Times New Roman" w:hAnsi="Times New Roman"/>
          <w:sz w:val="20"/>
          <w:szCs w:val="20"/>
          <w:color w:val="auto"/>
        </w:rPr>
        <w:t>Period:</w:t>
      </w:r>
    </w:p>
    <w:p>
      <w:pPr>
        <w:ind w:left="3644" w:hanging="311"/>
        <w:spacing w:after="0"/>
        <w:tabs>
          <w:tab w:leader="none" w:pos="3644" w:val="left"/>
        </w:tabs>
        <w:numPr>
          <w:ilvl w:val="5"/>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Participant’s cessation of Employee status by reason of death or Permanent </w:t>
      </w:r>
      <w:r>
        <w:rPr>
          <w:rFonts w:ascii="Times New Roman" w:cs="Times New Roman" w:eastAsia="Times New Roman" w:hAnsi="Times New Roman"/>
          <w:sz w:val="20"/>
          <w:szCs w:val="20"/>
          <w:color w:val="auto"/>
        </w:rPr>
        <w:t>Disability,</w:t>
      </w:r>
    </w:p>
    <w:p>
      <w:pPr>
        <w:spacing w:after="0" w:line="28" w:lineRule="exact"/>
        <w:rPr>
          <w:rFonts w:ascii="Times New Roman" w:cs="Times New Roman" w:eastAsia="Times New Roman" w:hAnsi="Times New Roman"/>
          <w:sz w:val="19"/>
          <w:szCs w:val="19"/>
          <w:color w:val="auto"/>
        </w:rPr>
      </w:pPr>
    </w:p>
    <w:p>
      <w:pPr>
        <w:jc w:val="both"/>
        <w:ind w:left="4" w:firstLine="482"/>
        <w:spacing w:after="0" w:line="244" w:lineRule="auto"/>
        <w:tabs>
          <w:tab w:leader="none" w:pos="1294"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 resignation from Employee status for Good Reason or (C) the Corporation’s termination of Participant’s Employee status other than for Good Cause, then the Award shall immediately vest in full with respect to the Performance-Qualified Shares determined under Paragraph 5.A, and the securities, cash or other property underlying such portion of the Award shall, subject to the Corporation’s collection of the applicable Withholding Taxes, be distributed on the earlier of (x) the Issuance Date or (y) the date of Participant’s Separation from Service, provided such Separation from Service occurs within twenty-four (24) months after a Qualifying Change in Control, or as soon as administratively practicable after the applicable distribution date, but in no event later than the close of the calendar year in which such distribution date occurs (subject to the delayed payment provisions of Paragraph 8).</w:t>
      </w:r>
    </w:p>
    <w:p>
      <w:pPr>
        <w:spacing w:after="0" w:line="200" w:lineRule="exact"/>
        <w:rPr>
          <w:rFonts w:ascii="Times New Roman" w:cs="Times New Roman" w:eastAsia="Times New Roman" w:hAnsi="Times New Roman"/>
          <w:sz w:val="20"/>
          <w:szCs w:val="20"/>
          <w:color w:val="auto"/>
        </w:rPr>
      </w:pPr>
    </w:p>
    <w:p>
      <w:pPr>
        <w:jc w:val="both"/>
        <w:ind w:left="-656" w:firstLine="1304"/>
        <w:spacing w:after="0" w:line="248" w:lineRule="auto"/>
        <w:tabs>
          <w:tab w:leader="none" w:pos="1104" w:val="left"/>
        </w:tabs>
        <w:numPr>
          <w:ilvl w:val="2"/>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Award is assumed or otherwise continued in effect, the shares of Common Stock subject to the Award (as determined pursuant to Paragraph 5.A) will be adjusted immediately after the consummation of the Change in Control so as to apply to the number and class of securities into which the shares of Common Stock subject to the Award immediately prior to the Change in Control would have been converted in consummation of that Change in Control had those shares actually been issued and outstanding at that time. To the extent the actual holders of the outstanding Common Stock receive cash consideration for their Common Stock in consummation of the Change in Control, the successor corporation may, in connection with the assumption or continuation of the Award at that time, substitute one or more shares of its own common stock with a fair market value equivalent to the cash consideration paid per share of Common Stock in the Change in Control transaction, provided such shares are registered under the federal securities laws and readily tradable on an established securities exchange.</w:t>
      </w:r>
    </w:p>
    <w:p>
      <w:pPr>
        <w:sectPr>
          <w:pgSz w:w="11900" w:h="16838" w:orient="portrait"/>
          <w:cols w:equalWidth="0" w:num="1">
            <w:col w:w="10584"/>
          </w:cols>
          <w:pgMar w:left="976" w:top="1404" w:right="339" w:bottom="1440" w:gutter="0" w:footer="0" w:header="0"/>
        </w:sectPr>
      </w:pPr>
    </w:p>
    <w:bookmarkStart w:id="116" w:name="page117"/>
    <w:bookmarkEnd w:id="116"/>
    <w:p>
      <w:pPr>
        <w:jc w:val="both"/>
        <w:ind w:left="-656" w:firstLine="1304"/>
        <w:spacing w:after="0" w:line="247" w:lineRule="auto"/>
        <w:tabs>
          <w:tab w:leader="none" w:pos="1201"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Award is not so assumed or otherwise continued in effect or replaced with a cash retention program under Paragraph 5.B, then the Award will vest immediately prior to the closing of the Change in Control with respect to the Performance-Qualified Shares determined under Paragraph 5.A. The shares subject to the vested Award shall be converted into the right to receive the same consideration per share of Common Stock payable to the other stockholders of the Corporation in consummation of that Change in Control, and such consideration shall be distributed to Participant on the tenth (10th) business day following the earliest to occur of (i) the Issuance Date, (ii) the date of Participant’s Separation from Service (subject to the delayed payment provisions of Paragraph 8), provided such Separation from Service occurs within twenty-four (24) months after a Qualifying Change in Control, or (iii) the first date following a Qualifying Change in Control on which the distribution can be made without contravention of any applicable provisions of Code Section 409A. Such distribution shall be subject to the Corporation’s collection of the applicable Withholding Taxes pursuant to the provisions of Paragraph 7.</w:t>
      </w:r>
    </w:p>
    <w:p>
      <w:pPr>
        <w:spacing w:after="0" w:line="211" w:lineRule="exact"/>
        <w:rPr>
          <w:rFonts w:ascii="Times New Roman" w:cs="Times New Roman" w:eastAsia="Times New Roman" w:hAnsi="Times New Roman"/>
          <w:sz w:val="20"/>
          <w:szCs w:val="20"/>
          <w:color w:val="auto"/>
        </w:rPr>
      </w:pPr>
    </w:p>
    <w:p>
      <w:pPr>
        <w:ind w:left="-656" w:firstLine="1304"/>
        <w:spacing w:after="0" w:line="283" w:lineRule="auto"/>
        <w:tabs>
          <w:tab w:leader="none" w:pos="1073"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not in any way affect the right of the Corporation to adjust, reclassify, reorganize or otherwise change its capital or business structure or to merge, consolidate, dissolve, liquidate or sell or transfer all or any part of its business or assets.</w:t>
      </w:r>
    </w:p>
    <w:p>
      <w:pPr>
        <w:spacing w:after="0" w:line="164" w:lineRule="exact"/>
        <w:rPr>
          <w:rFonts w:ascii="Times New Roman" w:cs="Times New Roman" w:eastAsia="Times New Roman" w:hAnsi="Times New Roman"/>
          <w:sz w:val="20"/>
          <w:szCs w:val="20"/>
          <w:color w:val="auto"/>
        </w:rPr>
      </w:pPr>
    </w:p>
    <w:p>
      <w:pPr>
        <w:jc w:val="both"/>
        <w:ind w:left="-656" w:firstLine="656"/>
        <w:spacing w:after="0" w:line="257" w:lineRule="auto"/>
        <w:tabs>
          <w:tab w:leader="none" w:pos="46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Adjustment in Shares</w:t>
      </w:r>
      <w:r>
        <w:rPr>
          <w:rFonts w:ascii="Times New Roman" w:cs="Times New Roman" w:eastAsia="Times New Roman" w:hAnsi="Times New Roman"/>
          <w:sz w:val="19"/>
          <w:szCs w:val="19"/>
          <w:color w:val="auto"/>
        </w:rPr>
        <w:t>. Should any change be made to the Common Stock by reason of any stock split, stock dividend,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recapitalization, combination of shares, exchange of shares, spin-off transaction, extraordinary dividend or distribution or other change affecting the outstanding Common Stock as a class without the Corporation’s receipt of consideration, or should the value of outstanding shares of Common Stock be substantially reduced as a result of a spin-off transaction or an extraordinary dividend or distribution, or should there occur any merger, consolidation or other reorganization, then equitable adjustments shall be made by the Plan Administrator to the total number and/or class of securities issuable pursuant to this Award in order to reflect such change and the determination of the Plan Administrator shall be final, binding and conclusive. In the event of a Change in Control, the adjustments (if any) shall be made in accordance with the provisions of Paragraph 5.</w:t>
      </w:r>
    </w:p>
    <w:p>
      <w:pPr>
        <w:spacing w:after="0" w:line="200" w:lineRule="exact"/>
        <w:rPr>
          <w:rFonts w:ascii="Times New Roman" w:cs="Times New Roman" w:eastAsia="Times New Roman" w:hAnsi="Times New Roman"/>
          <w:sz w:val="22"/>
          <w:szCs w:val="22"/>
          <w:color w:val="auto"/>
        </w:rPr>
      </w:pPr>
    </w:p>
    <w:p>
      <w:pPr>
        <w:spacing w:after="0" w:line="221" w:lineRule="exact"/>
        <w:rPr>
          <w:rFonts w:ascii="Times New Roman" w:cs="Times New Roman" w:eastAsia="Times New Roman" w:hAnsi="Times New Roman"/>
          <w:sz w:val="22"/>
          <w:szCs w:val="22"/>
          <w:color w:val="auto"/>
        </w:rPr>
      </w:pPr>
    </w:p>
    <w:p>
      <w:pPr>
        <w:ind w:left="384" w:hanging="384"/>
        <w:spacing w:after="0"/>
        <w:tabs>
          <w:tab w:leader="none" w:pos="38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Issuance of Shares/Collection of Withholding Taxes</w:t>
      </w:r>
      <w:r>
        <w:rPr>
          <w:rFonts w:ascii="Times New Roman" w:cs="Times New Roman" w:eastAsia="Times New Roman" w:hAnsi="Times New Roman"/>
          <w:sz w:val="22"/>
          <w:szCs w:val="22"/>
          <w:color w:val="auto"/>
        </w:rPr>
        <w:t>.</w:t>
      </w:r>
    </w:p>
    <w:p>
      <w:pPr>
        <w:spacing w:after="0" w:line="255" w:lineRule="exact"/>
        <w:rPr>
          <w:rFonts w:ascii="Times New Roman" w:cs="Times New Roman" w:eastAsia="Times New Roman" w:hAnsi="Times New Roman"/>
          <w:sz w:val="22"/>
          <w:szCs w:val="22"/>
          <w:color w:val="auto"/>
        </w:rPr>
      </w:pPr>
    </w:p>
    <w:p>
      <w:pPr>
        <w:jc w:val="both"/>
        <w:ind w:left="-656" w:firstLine="1304"/>
        <w:spacing w:after="0" w:line="261" w:lineRule="auto"/>
        <w:tabs>
          <w:tab w:leader="none" w:pos="1278"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Issuance Date (or any earlier date on which the shares of Common Stock are to be issued in accordance with the terms of this Agreement), the Corporation shall issue to or on behalf of Participant a certificate (which may be in electronic form) for the applicable number of shares of Common Stock, subject, however, to the Corporation’s collection of the applicable Withholding Taxes.</w:t>
      </w:r>
    </w:p>
    <w:p>
      <w:pPr>
        <w:spacing w:after="0" w:line="194" w:lineRule="exact"/>
        <w:rPr>
          <w:rFonts w:ascii="Times New Roman" w:cs="Times New Roman" w:eastAsia="Times New Roman" w:hAnsi="Times New Roman"/>
          <w:sz w:val="20"/>
          <w:szCs w:val="20"/>
          <w:color w:val="auto"/>
        </w:rPr>
      </w:pPr>
    </w:p>
    <w:p>
      <w:pPr>
        <w:jc w:val="both"/>
        <w:ind w:left="-656" w:firstLine="1304"/>
        <w:spacing w:after="0" w:line="243" w:lineRule="auto"/>
        <w:tabs>
          <w:tab w:leader="none" w:pos="1016"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Corporation shall collect the applicable Withholding Taxes with respect to the shares of Common Stock which vest and become issuable hereunder through an automatic share withholding procedure pursuant to which the Corporation will withhold, at the time of such issuance, a portion of the shares with a Fair Market Value (measured as of the trading day immediately preceding the date of taxation of such shares) equal to the amount of those taxes; </w:t>
      </w:r>
      <w:r>
        <w:rPr>
          <w:rFonts w:ascii="Times New Roman" w:cs="Times New Roman" w:eastAsia="Times New Roman" w:hAnsi="Times New Roman"/>
          <w:sz w:val="21"/>
          <w:szCs w:val="21"/>
          <w:b w:val="1"/>
          <w:bCs w:val="1"/>
          <w:i w:val="1"/>
          <w:iCs w:val="1"/>
          <w:color w:val="auto"/>
        </w:rPr>
        <w:t>provided, however</w:t>
      </w:r>
      <w:r>
        <w:rPr>
          <w:rFonts w:ascii="Times New Roman" w:cs="Times New Roman" w:eastAsia="Times New Roman" w:hAnsi="Times New Roman"/>
          <w:sz w:val="20"/>
          <w:szCs w:val="20"/>
          <w:color w:val="auto"/>
        </w:rPr>
        <w:t xml:space="preserve">, that the amount of any shares so withheld shall not exceed the amount necessary to satisfy the Corporation‘s required tax withholding obligations using the maximum statutory withholding rates for federal and state tax purposes that are applicable to supplemental taxable income. </w:t>
      </w:r>
      <w:r>
        <w:rPr>
          <w:rFonts w:ascii="Times New Roman" w:cs="Times New Roman" w:eastAsia="Times New Roman" w:hAnsi="Times New Roman"/>
          <w:sz w:val="21"/>
          <w:szCs w:val="21"/>
          <w:color w:val="auto"/>
        </w:rPr>
        <w:t>In addition, the shares calculated to satisfy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maximum statutory withholding rates shall be rounded up to the next whole share. </w:t>
      </w:r>
      <w:r>
        <w:rPr>
          <w:rFonts w:ascii="Times New Roman" w:cs="Times New Roman" w:eastAsia="Times New Roman" w:hAnsi="Times New Roman"/>
          <w:sz w:val="19"/>
          <w:szCs w:val="19"/>
          <w:color w:val="auto"/>
        </w:rPr>
        <w:t>In the event payment is to be made in a form other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than the shares, then the Corporation shall collect from Participant the applicable Withholding Taxes pursuant to such procedures as the Corporation deems appropriate under the circumstances.</w:t>
      </w:r>
    </w:p>
    <w:p>
      <w:pPr>
        <w:sectPr>
          <w:pgSz w:w="11900" w:h="16838" w:orient="portrait"/>
          <w:cols w:equalWidth="0" w:num="1">
            <w:col w:w="10584"/>
          </w:cols>
          <w:pgMar w:left="976" w:top="1426" w:right="339" w:bottom="1440" w:gutter="0" w:footer="0" w:header="0"/>
        </w:sectPr>
      </w:pPr>
    </w:p>
    <w:bookmarkStart w:id="117" w:name="page118"/>
    <w:bookmarkEnd w:id="117"/>
    <w:p>
      <w:pPr>
        <w:jc w:val="both"/>
        <w:ind w:left="-656" w:firstLine="1304"/>
        <w:spacing w:after="0" w:line="244" w:lineRule="auto"/>
        <w:tabs>
          <w:tab w:leader="none" w:pos="1154"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provisions of Paragraph 7.B, the employee portion of the federal, state and local employment taxes required to be withheld by the Corporation in connection with the vesting of the shares of Common Stock or any other amounts hereunder (the “Employment Taxes”) shall in all events be collected from Participant no later than the last business day of the calendar year in which the shares or other amounts vest hereunder. Accordingly, to the extent the Issuance Date for one or more vested shares or the distribution date for such other amounts is to occur in a year subsequent to the calendar year in which those shares or other amounts vest, Participant shall, on or before the last business day of the calendar year in which the shares or other amounts vest, deliver to the Corporation a check payable to its order in the dollar amount equal to the Employment Taxes required to be withheld with respect to those shares or other amounts. The provisions of this Paragraph 7.C shall be applicable only to the extent necessary to comply with the applicable tax withholding requirements of Code Section </w:t>
      </w:r>
      <w:r>
        <w:rPr>
          <w:rFonts w:ascii="Times New Roman" w:cs="Times New Roman" w:eastAsia="Times New Roman" w:hAnsi="Times New Roman"/>
          <w:sz w:val="21"/>
          <w:szCs w:val="21"/>
          <w:color w:val="auto"/>
        </w:rPr>
        <w:t>3121(v).</w:t>
      </w:r>
    </w:p>
    <w:p>
      <w:pPr>
        <w:spacing w:after="0" w:line="219" w:lineRule="exact"/>
        <w:rPr>
          <w:rFonts w:ascii="Times New Roman" w:cs="Times New Roman" w:eastAsia="Times New Roman" w:hAnsi="Times New Roman"/>
          <w:sz w:val="20"/>
          <w:szCs w:val="20"/>
          <w:color w:val="auto"/>
        </w:rPr>
      </w:pPr>
    </w:p>
    <w:p>
      <w:pPr>
        <w:jc w:val="both"/>
        <w:ind w:left="-656" w:firstLine="1304"/>
        <w:spacing w:after="0" w:line="258" w:lineRule="auto"/>
        <w:tabs>
          <w:tab w:leader="none" w:pos="1111"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in Paragraph 5 and Paragraph 7.B, the settlement of the vested Award shall be made solely in shares of Common Stock. In no event, however, shall any fractional shares be issued. Accordingly, the total number of shares of Common Stock to be issued pursuant to this Award shall, to the extent necessary, be rounded down to the next whole share in order to avoid the issuance of a fractional share.</w:t>
      </w:r>
    </w:p>
    <w:p>
      <w:pPr>
        <w:spacing w:after="0" w:line="176" w:lineRule="exact"/>
        <w:rPr>
          <w:rFonts w:ascii="Times New Roman" w:cs="Times New Roman" w:eastAsia="Times New Roman" w:hAnsi="Times New Roman"/>
          <w:sz w:val="20"/>
          <w:szCs w:val="20"/>
          <w:color w:val="auto"/>
        </w:rPr>
      </w:pPr>
    </w:p>
    <w:p>
      <w:pPr>
        <w:jc w:val="both"/>
        <w:ind w:left="-656" w:firstLine="656"/>
        <w:spacing w:after="0" w:line="259" w:lineRule="auto"/>
        <w:tabs>
          <w:tab w:leader="none" w:pos="41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Deferred Issuance Date</w:t>
      </w:r>
      <w:r>
        <w:rPr>
          <w:rFonts w:ascii="Times New Roman" w:cs="Times New Roman" w:eastAsia="Times New Roman" w:hAnsi="Times New Roman"/>
          <w:sz w:val="19"/>
          <w:szCs w:val="19"/>
          <w:color w:val="auto"/>
        </w:rPr>
        <w:t>. Notwithstanding any provision to the contrary in this Agreement, no shares of Common Stock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 xml:space="preserve">other amounts which become issuable or distributable by reason of Participant’s Separation from Service shall actually be issued or distributed to Participant prior to the </w:t>
      </w:r>
      <w:r>
        <w:rPr>
          <w:rFonts w:ascii="Times New Roman" w:cs="Times New Roman" w:eastAsia="Times New Roman" w:hAnsi="Times New Roman"/>
          <w:sz w:val="21"/>
          <w:szCs w:val="21"/>
          <w:b w:val="1"/>
          <w:bCs w:val="1"/>
          <w:i w:val="1"/>
          <w:iCs w:val="1"/>
          <w:color w:val="auto"/>
        </w:rPr>
        <w:t>earlier</w:t>
      </w:r>
      <w:r>
        <w:rPr>
          <w:rFonts w:ascii="Times New Roman" w:cs="Times New Roman" w:eastAsia="Times New Roman" w:hAnsi="Times New Roman"/>
          <w:sz w:val="19"/>
          <w:szCs w:val="19"/>
          <w:color w:val="auto"/>
        </w:rPr>
        <w:t xml:space="preserve"> of (i) the first day of the seventh (7th) month following the date of such Separation from Service or (ii) the date of Participant’s death, if Participant is deemed at the time of such Separation from Service to be a specified employee under Section 1.409A-1(i) of the Treasury Regulations issued under Code Section 409A, as determined by the Plan Administrator in accordance with consistent and uniform standards applied to all other Code Section 409A arrangements of the Corporation, and such delayed commencement is otherwise required in order to avoid a prohibited distribution under Code Section 409A(a)(2). The deferred shares or other distributable amount shall be issued or distributed in a lump sum on the first day of the seventh (7th) month following the date of Participant’s Separation from Service or, if earlier, the first day of the month immediately following the date the Corporation receives proof of Participant’s death.</w:t>
      </w:r>
    </w:p>
    <w:p>
      <w:pPr>
        <w:spacing w:after="0" w:line="200" w:lineRule="exact"/>
        <w:rPr>
          <w:rFonts w:ascii="Times New Roman" w:cs="Times New Roman" w:eastAsia="Times New Roman" w:hAnsi="Times New Roman"/>
          <w:sz w:val="22"/>
          <w:szCs w:val="22"/>
          <w:color w:val="auto"/>
        </w:rPr>
      </w:pPr>
    </w:p>
    <w:p>
      <w:pPr>
        <w:spacing w:after="0" w:line="221" w:lineRule="exact"/>
        <w:rPr>
          <w:rFonts w:ascii="Times New Roman" w:cs="Times New Roman" w:eastAsia="Times New Roman" w:hAnsi="Times New Roman"/>
          <w:sz w:val="22"/>
          <w:szCs w:val="22"/>
          <w:color w:val="auto"/>
        </w:rPr>
      </w:pPr>
    </w:p>
    <w:p>
      <w:pPr>
        <w:jc w:val="both"/>
        <w:ind w:left="-656" w:firstLine="656"/>
        <w:spacing w:after="0" w:line="272" w:lineRule="auto"/>
        <w:tabs>
          <w:tab w:leader="none" w:pos="397"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Clawback</w:t>
      </w:r>
      <w:r>
        <w:rPr>
          <w:rFonts w:ascii="Times New Roman" w:cs="Times New Roman" w:eastAsia="Times New Roman" w:hAnsi="Times New Roman"/>
          <w:sz w:val="19"/>
          <w:szCs w:val="19"/>
          <w:color w:val="auto"/>
        </w:rPr>
        <w:t>. Notwithstanding anything to the contrary in this Agreement or the Plan, any shares, cash or other property issued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to Participant pursuant to this Agreement shall be subject to reduction, recovery and/or recoupment to the extent required by any present or future law, government regulation or stock exchange listing requirement.</w:t>
      </w:r>
    </w:p>
    <w:p>
      <w:pPr>
        <w:spacing w:after="0" w:line="163" w:lineRule="exact"/>
        <w:rPr>
          <w:rFonts w:ascii="Times New Roman" w:cs="Times New Roman" w:eastAsia="Times New Roman" w:hAnsi="Times New Roman"/>
          <w:sz w:val="22"/>
          <w:szCs w:val="22"/>
          <w:color w:val="auto"/>
        </w:rPr>
      </w:pPr>
    </w:p>
    <w:p>
      <w:pPr>
        <w:ind w:left="484" w:hanging="484"/>
        <w:spacing w:after="0"/>
        <w:tabs>
          <w:tab w:leader="none" w:pos="48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Benefit Limit</w:t>
      </w:r>
      <w:r>
        <w:rPr>
          <w:rFonts w:ascii="Times New Roman" w:cs="Times New Roman" w:eastAsia="Times New Roman" w:hAnsi="Times New Roman"/>
          <w:sz w:val="22"/>
          <w:szCs w:val="22"/>
          <w:color w:val="auto"/>
        </w:rPr>
        <w:t>.</w:t>
      </w:r>
    </w:p>
    <w:p>
      <w:pPr>
        <w:spacing w:after="0" w:line="255" w:lineRule="exact"/>
        <w:rPr>
          <w:rFonts w:ascii="Times New Roman" w:cs="Times New Roman" w:eastAsia="Times New Roman" w:hAnsi="Times New Roman"/>
          <w:sz w:val="22"/>
          <w:szCs w:val="22"/>
          <w:color w:val="auto"/>
        </w:rPr>
      </w:pPr>
    </w:p>
    <w:p>
      <w:pPr>
        <w:jc w:val="both"/>
        <w:ind w:left="-656" w:firstLine="1304"/>
        <w:spacing w:after="0" w:line="254" w:lineRule="auto"/>
        <w:tabs>
          <w:tab w:leader="none" w:pos="1103"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the vesting and issuance of the shares of Common Stock subject to this Award would otherwise constitute a parachute payment under Code Section 280G, then the vesting and issuance of those shares shall be subject to reduction to the extent necessary to assure that the number of shares which vest and are issued under this Award will be limited to the </w:t>
      </w:r>
      <w:r>
        <w:rPr>
          <w:rFonts w:ascii="Times New Roman" w:cs="Times New Roman" w:eastAsia="Times New Roman" w:hAnsi="Times New Roman"/>
          <w:sz w:val="21"/>
          <w:szCs w:val="21"/>
          <w:b w:val="1"/>
          <w:bCs w:val="1"/>
          <w:i w:val="1"/>
          <w:iCs w:val="1"/>
          <w:color w:val="auto"/>
        </w:rPr>
        <w:t>greater</w:t>
      </w:r>
      <w:r>
        <w:rPr>
          <w:rFonts w:ascii="Times New Roman" w:cs="Times New Roman" w:eastAsia="Times New Roman" w:hAnsi="Times New Roman"/>
          <w:sz w:val="20"/>
          <w:szCs w:val="20"/>
          <w:color w:val="auto"/>
        </w:rPr>
        <w:t xml:space="preserve"> of (i) the number of shares of Common Stock which can vest and be issued without triggering a parachute payment under Code Section 280G or (ii) the maximum number of shares of Common Stock which can vest and be issued under this Award so as to provide Participant with the greatest after-tax amount of such vested and issued shares after taking into account any excise tax Participant may incur under Code Section 4999 with respect to those shares and any other benefits or payments to which Participant may be entitled in</w:t>
      </w:r>
    </w:p>
    <w:p>
      <w:pPr>
        <w:sectPr>
          <w:pgSz w:w="11900" w:h="16838" w:orient="portrait"/>
          <w:cols w:equalWidth="0" w:num="1">
            <w:col w:w="10584"/>
          </w:cols>
          <w:pgMar w:left="976" w:top="1426"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0"/>
          <w:szCs w:val="20"/>
          <w:color w:val="auto"/>
        </w:rPr>
        <w:t>connection with any change in control or ownership of the Corporation or the subsequent termination of Participant’s Service.</w:t>
      </w:r>
    </w:p>
    <w:p>
      <w:pPr>
        <w:spacing w:after="0" w:line="243" w:lineRule="exact"/>
        <w:rPr>
          <w:sz w:val="20"/>
          <w:szCs w:val="20"/>
          <w:color w:val="auto"/>
        </w:rPr>
      </w:pPr>
    </w:p>
    <w:p>
      <w:pPr>
        <w:jc w:val="both"/>
        <w:ind w:firstLine="1304"/>
        <w:spacing w:after="0" w:line="261" w:lineRule="auto"/>
        <w:tabs>
          <w:tab w:leader="none" w:pos="1685"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benefit limitation of this Paragraph 10 shall apply only to the extent Participant is not otherwise entitled to a Code Section 4999 tax gross-up, pursuant to the terms of the Corporation’s Executive Severance Plan (or any successor plan), with respect to the shares that vest on an accelerated basis in connection with a Change in Control or subsequent cessation of Employee status.</w:t>
      </w:r>
    </w:p>
    <w:p>
      <w:pPr>
        <w:spacing w:after="0" w:line="186" w:lineRule="exact"/>
        <w:rPr>
          <w:rFonts w:ascii="Times New Roman" w:cs="Times New Roman" w:eastAsia="Times New Roman" w:hAnsi="Times New Roman"/>
          <w:sz w:val="20"/>
          <w:szCs w:val="20"/>
          <w:color w:val="auto"/>
        </w:rPr>
      </w:pPr>
    </w:p>
    <w:p>
      <w:pPr>
        <w:jc w:val="both"/>
        <w:ind w:firstLine="656"/>
        <w:spacing w:after="0" w:line="265" w:lineRule="auto"/>
        <w:tabs>
          <w:tab w:leader="none" w:pos="12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Compliance with Laws and Regulations</w:t>
      </w:r>
      <w:r>
        <w:rPr>
          <w:rFonts w:ascii="Times New Roman" w:cs="Times New Roman" w:eastAsia="Times New Roman" w:hAnsi="Times New Roman"/>
          <w:sz w:val="19"/>
          <w:szCs w:val="19"/>
          <w:color w:val="auto"/>
        </w:rPr>
        <w:t>. The issuance of shares of Common Stock pursuant to the Award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subject to compliance by the Corporation and Participant with all applicable requirements of law relating thereto and with all applicable regulations of any Stock Exchange on which the Common Stock may be listed for trading at the time of such issuance.</w:t>
      </w:r>
    </w:p>
    <w:p>
      <w:pPr>
        <w:spacing w:after="0" w:line="183" w:lineRule="exact"/>
        <w:rPr>
          <w:rFonts w:ascii="Times New Roman" w:cs="Times New Roman" w:eastAsia="Times New Roman" w:hAnsi="Times New Roman"/>
          <w:sz w:val="22"/>
          <w:szCs w:val="22"/>
          <w:color w:val="auto"/>
        </w:rPr>
      </w:pPr>
    </w:p>
    <w:p>
      <w:pPr>
        <w:jc w:val="both"/>
        <w:ind w:firstLine="656"/>
        <w:spacing w:after="0" w:line="265" w:lineRule="auto"/>
        <w:tabs>
          <w:tab w:leader="none" w:pos="113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19"/>
          <w:szCs w:val="19"/>
          <w:color w:val="auto"/>
        </w:rPr>
        <w:t>. Any notice required to be given or delivered to the Corporation under the terms of this Agreement shall be in writing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and addressed to the Corporation at its principal corporate offices. Any notice required to be given or delivered to Participant shall be in writing and addressed to Participant at the address indicated below Participant’s signature line on this Agreement. All notices shall be deemed effective upon personal delivery or upon deposit in the U.S. mail, postage prepaid and properly addressed to the party to be notified.</w:t>
      </w:r>
    </w:p>
    <w:p>
      <w:pPr>
        <w:spacing w:after="0" w:line="184" w:lineRule="exact"/>
        <w:rPr>
          <w:rFonts w:ascii="Times New Roman" w:cs="Times New Roman" w:eastAsia="Times New Roman" w:hAnsi="Times New Roman"/>
          <w:sz w:val="22"/>
          <w:szCs w:val="22"/>
          <w:color w:val="auto"/>
        </w:rPr>
      </w:pPr>
    </w:p>
    <w:p>
      <w:pPr>
        <w:jc w:val="both"/>
        <w:ind w:firstLine="656"/>
        <w:spacing w:after="0" w:line="261" w:lineRule="auto"/>
        <w:tabs>
          <w:tab w:leader="none" w:pos="1147"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19"/>
          <w:szCs w:val="19"/>
          <w:color w:val="auto"/>
        </w:rPr>
        <w:t>. Except to the extent otherwise provided in this Agreement, the provisions of this Agreement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inure to the benefit of, and be binding upon, the Corporation and its successors and assigns and Participant, Participant’s assigns, the legal representatives, heirs and legatees of Participant’s estate and any beneficiaries of the Award designated by Participant.</w:t>
      </w:r>
    </w:p>
    <w:p>
      <w:pPr>
        <w:spacing w:after="0" w:line="184" w:lineRule="exact"/>
        <w:rPr>
          <w:rFonts w:ascii="Times New Roman" w:cs="Times New Roman" w:eastAsia="Times New Roman" w:hAnsi="Times New Roman"/>
          <w:sz w:val="22"/>
          <w:szCs w:val="22"/>
          <w:color w:val="auto"/>
        </w:rPr>
      </w:pPr>
    </w:p>
    <w:p>
      <w:pPr>
        <w:jc w:val="both"/>
        <w:ind w:firstLine="656"/>
        <w:spacing w:after="0" w:line="255" w:lineRule="auto"/>
        <w:tabs>
          <w:tab w:leader="none" w:pos="120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Construction</w:t>
      </w:r>
      <w:r>
        <w:rPr>
          <w:rFonts w:ascii="Times New Roman" w:cs="Times New Roman" w:eastAsia="Times New Roman" w:hAnsi="Times New Roman"/>
          <w:sz w:val="19"/>
          <w:szCs w:val="19"/>
          <w:color w:val="auto"/>
        </w:rPr>
        <w:t>. This Agreement and the Award evidenced hereby are made and granted pursuant to the Plan and are in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 xml:space="preserve">respects limited by and subject to the terms of the Plan. All decisions of the Plan Administrator with respect to any question or issue arising under the Plan or this Agreement shall be conclusive and binding on all persons having an interest in the Award. To the extent there is any ambiguity as to whether any provision of this Agreement would otherwise contravene one or more applicable requirements or limitations of Code Section 409A and the Treasury Regulations thereunder, such provision shall be interpreted and applied in a manner that complies with the applicable requirements of Code Section 409A and the Treasury Regulations thereunder. For purposes of Code Section 409A, each installment distribution of shares of Common Stock (or other installment distribution hereunder) shall be treated as a separate payment, and Participant’s right to receive each such installment of shares (or other installment distribution hereunder) shall accordingly be treated as a right to receive a series of separate </w:t>
      </w:r>
      <w:r>
        <w:rPr>
          <w:rFonts w:ascii="Times New Roman" w:cs="Times New Roman" w:eastAsia="Times New Roman" w:hAnsi="Times New Roman"/>
          <w:sz w:val="21"/>
          <w:szCs w:val="21"/>
          <w:color w:val="auto"/>
        </w:rPr>
        <w:t>payments.</w:t>
      </w:r>
    </w:p>
    <w:p>
      <w:pPr>
        <w:spacing w:after="0" w:line="189" w:lineRule="exact"/>
        <w:rPr>
          <w:rFonts w:ascii="Times New Roman" w:cs="Times New Roman" w:eastAsia="Times New Roman" w:hAnsi="Times New Roman"/>
          <w:sz w:val="22"/>
          <w:szCs w:val="22"/>
          <w:color w:val="auto"/>
        </w:rPr>
      </w:pPr>
    </w:p>
    <w:p>
      <w:pPr>
        <w:ind w:firstLine="656"/>
        <w:spacing w:after="0" w:line="282" w:lineRule="auto"/>
        <w:tabs>
          <w:tab w:leader="none" w:pos="117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19"/>
          <w:szCs w:val="19"/>
          <w:color w:val="auto"/>
        </w:rPr>
        <w:t>. The interpretation, performance and enforcement of this Agreement shall be governed by the laws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State of California without resort to that State’s conflict-of-laws rules.</w:t>
      </w:r>
    </w:p>
    <w:p>
      <w:pPr>
        <w:spacing w:after="0" w:line="148" w:lineRule="exact"/>
        <w:rPr>
          <w:rFonts w:ascii="Times New Roman" w:cs="Times New Roman" w:eastAsia="Times New Roman" w:hAnsi="Times New Roman"/>
          <w:sz w:val="22"/>
          <w:szCs w:val="22"/>
          <w:color w:val="auto"/>
        </w:rPr>
      </w:pPr>
    </w:p>
    <w:p>
      <w:pPr>
        <w:jc w:val="both"/>
        <w:ind w:firstLine="656"/>
        <w:spacing w:after="0" w:line="270" w:lineRule="auto"/>
        <w:tabs>
          <w:tab w:leader="none" w:pos="113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Employment at Will</w:t>
      </w:r>
      <w:r>
        <w:rPr>
          <w:rFonts w:ascii="Times New Roman" w:cs="Times New Roman" w:eastAsia="Times New Roman" w:hAnsi="Times New Roman"/>
          <w:sz w:val="19"/>
          <w:szCs w:val="19"/>
          <w:color w:val="auto"/>
        </w:rPr>
        <w:t>. Nothing in this Agreement or in the Plan shall confer upon Participant any right to continue in Service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for any period of specific duration or interfere with or otherwise restrict in any way the rights of the Corporation (or any Parent or Subsidiary employing or retaining Participant) or of Participant, which rights are hereby expressly reserved by each, to terminate Participant’s Service at any time for any reason, with or without cause.</w:t>
      </w:r>
    </w:p>
    <w:p>
      <w:pPr>
        <w:sectPr>
          <w:pgSz w:w="11900" w:h="16838" w:orient="portrait"/>
          <w:cols w:equalWidth="0" w:num="1">
            <w:col w:w="11240"/>
          </w:cols>
          <w:pgMar w:left="320" w:top="1413" w:right="339" w:bottom="1440" w:gutter="0" w:footer="0" w:header="0"/>
        </w:sectPr>
      </w:pPr>
    </w:p>
    <w:bookmarkStart w:id="119" w:name="page120"/>
    <w:bookmarkEnd w:id="119"/>
    <w:p>
      <w:pPr>
        <w:spacing w:after="0" w:line="255" w:lineRule="auto"/>
        <w:rPr>
          <w:sz w:val="20"/>
          <w:szCs w:val="20"/>
          <w:color w:val="auto"/>
        </w:rPr>
      </w:pPr>
      <w:r>
        <w:rPr>
          <w:rFonts w:ascii="Times New Roman" w:cs="Times New Roman" w:eastAsia="Times New Roman" w:hAnsi="Times New Roman"/>
          <w:sz w:val="20"/>
          <w:szCs w:val="20"/>
          <w:color w:val="auto"/>
        </w:rPr>
        <w:t>Please confirm your acceptance of this Award electronically by following the instructions on your personal web portal at Computershare Online Services. Your electronic signature indicates your agreement to be bound by the terms of this Agreement.</w:t>
      </w:r>
    </w:p>
    <w:p>
      <w:pPr>
        <w:sectPr>
          <w:pgSz w:w="11900" w:h="16838" w:orient="portrait"/>
          <w:cols w:equalWidth="0" w:num="1">
            <w:col w:w="10820"/>
          </w:cols>
          <w:pgMar w:left="320" w:top="1413" w:right="75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2"/>
          <w:szCs w:val="22"/>
          <w:color w:val="auto"/>
        </w:rPr>
        <w:t>APPENDIX A</w:t>
      </w:r>
    </w:p>
    <w:p>
      <w:pPr>
        <w:spacing w:after="0" w:line="23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DEFINITIONS</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The following definitions shall be in effect under the </w:t>
      </w:r>
      <w:r>
        <w:rPr>
          <w:rFonts w:ascii="Times New Roman" w:cs="Times New Roman" w:eastAsia="Times New Roman" w:hAnsi="Times New Roman"/>
          <w:sz w:val="21"/>
          <w:szCs w:val="21"/>
          <w:color w:val="auto"/>
        </w:rPr>
        <w:t>Agreement:</w:t>
      </w:r>
    </w:p>
    <w:p>
      <w:pPr>
        <w:spacing w:after="0" w:line="241" w:lineRule="exact"/>
        <w:rPr>
          <w:sz w:val="20"/>
          <w:szCs w:val="20"/>
          <w:color w:val="auto"/>
        </w:rPr>
      </w:pPr>
    </w:p>
    <w:p>
      <w:pPr>
        <w:ind w:left="540" w:hanging="308"/>
        <w:spacing w:after="0"/>
        <w:tabs>
          <w:tab w:leader="none" w:pos="54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this Restricted Stock Unit Issuance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w:t>
      </w:r>
    </w:p>
    <w:p>
      <w:pPr>
        <w:spacing w:after="0" w:line="233" w:lineRule="exact"/>
        <w:rPr>
          <w:rFonts w:ascii="Times New Roman" w:cs="Times New Roman" w:eastAsia="Times New Roman" w:hAnsi="Times New Roman"/>
          <w:sz w:val="20"/>
          <w:szCs w:val="20"/>
          <w:color w:val="auto"/>
        </w:rPr>
      </w:pPr>
    </w:p>
    <w:p>
      <w:pPr>
        <w:ind w:left="540" w:hanging="308"/>
        <w:spacing w:after="0"/>
        <w:tabs>
          <w:tab w:leader="none" w:pos="54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the award made to Participant pursuant to the terms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w:t>
      </w:r>
    </w:p>
    <w:p>
      <w:pPr>
        <w:spacing w:after="0" w:line="233" w:lineRule="exact"/>
        <w:rPr>
          <w:rFonts w:ascii="Times New Roman" w:cs="Times New Roman" w:eastAsia="Times New Roman" w:hAnsi="Times New Roman"/>
          <w:sz w:val="20"/>
          <w:szCs w:val="20"/>
          <w:color w:val="auto"/>
        </w:rPr>
      </w:pPr>
    </w:p>
    <w:p>
      <w:pPr>
        <w:ind w:left="-100" w:right="260" w:firstLine="332"/>
        <w:spacing w:after="0" w:line="235" w:lineRule="auto"/>
        <w:tabs>
          <w:tab w:leader="none" w:pos="54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Award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the date the Award is granted to Participant pursuant to the Agreement and shall be the date indicated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Paragraph 1 of the Agreement.</w:t>
      </w:r>
    </w:p>
    <w:p>
      <w:pPr>
        <w:spacing w:after="0" w:line="206" w:lineRule="exact"/>
        <w:rPr>
          <w:rFonts w:ascii="Times New Roman" w:cs="Times New Roman" w:eastAsia="Times New Roman" w:hAnsi="Times New Roman"/>
          <w:sz w:val="20"/>
          <w:szCs w:val="20"/>
          <w:color w:val="auto"/>
        </w:rPr>
      </w:pPr>
    </w:p>
    <w:p>
      <w:pPr>
        <w:ind w:left="540" w:hanging="308"/>
        <w:spacing w:after="0"/>
        <w:tabs>
          <w:tab w:leader="none" w:pos="54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Board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the Corporation’s Board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Directors.</w:t>
      </w:r>
    </w:p>
    <w:p>
      <w:pPr>
        <w:spacing w:after="0" w:line="233" w:lineRule="exact"/>
        <w:rPr>
          <w:rFonts w:ascii="Times New Roman" w:cs="Times New Roman" w:eastAsia="Times New Roman" w:hAnsi="Times New Roman"/>
          <w:sz w:val="20"/>
          <w:szCs w:val="20"/>
          <w:color w:val="auto"/>
        </w:rPr>
      </w:pPr>
    </w:p>
    <w:p>
      <w:pPr>
        <w:ind w:left="-100" w:right="240" w:firstLine="332"/>
        <w:spacing w:after="0" w:line="282" w:lineRule="auto"/>
        <w:tabs>
          <w:tab w:leader="none" w:pos="543"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any change in control or ownership of the Corporation which occurs by reason of one or more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the following events:</w:t>
      </w:r>
    </w:p>
    <w:p>
      <w:pPr>
        <w:spacing w:after="0" w:line="170" w:lineRule="exact"/>
        <w:rPr>
          <w:rFonts w:ascii="Times New Roman" w:cs="Times New Roman" w:eastAsia="Times New Roman" w:hAnsi="Times New Roman"/>
          <w:sz w:val="20"/>
          <w:szCs w:val="20"/>
          <w:color w:val="auto"/>
        </w:rPr>
      </w:pPr>
    </w:p>
    <w:p>
      <w:pPr>
        <w:jc w:val="both"/>
        <w:ind w:left="1200" w:hanging="320"/>
        <w:spacing w:after="0" w:line="253" w:lineRule="auto"/>
        <w:tabs>
          <w:tab w:leader="none" w:pos="1196"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acquisition, directly or indirectly by any person or related group of persons (as such term is used in Sections 13(d) and 14(d) of the Exchange Act), other than the Corporation or a person that directly or indirectly controls, is controlled by, or is under control with, the Corporation or an employee benefit plan maintained by any such entity, of beneficial ownership (as defined in Rule 13d-3 of the Exchange Act) of securities of the Corporation that results in such person or related group owning thirty percent (30%) or more of the total combined voting power of the Corporation’s then-outstanding securities;</w:t>
      </w:r>
    </w:p>
    <w:p>
      <w:pPr>
        <w:spacing w:after="0" w:line="218" w:lineRule="exact"/>
        <w:rPr>
          <w:rFonts w:ascii="Times New Roman" w:cs="Times New Roman" w:eastAsia="Times New Roman" w:hAnsi="Times New Roman"/>
          <w:sz w:val="20"/>
          <w:szCs w:val="20"/>
          <w:color w:val="auto"/>
        </w:rPr>
      </w:pPr>
    </w:p>
    <w:p>
      <w:pPr>
        <w:jc w:val="both"/>
        <w:ind w:left="1200" w:hanging="320"/>
        <w:spacing w:after="0" w:line="249" w:lineRule="auto"/>
        <w:tabs>
          <w:tab w:leader="none" w:pos="1197"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merger, recapitalization, consolidation, or other similar transaction to which the Corporation is a party, unless securities representing at least 50% of the combined voting power of the then-outstanding securities of the surviving entity or a parent thereof are immediately thereafter beneficially owned, directly or indirectly and in substantially the same proportion, by the persons who beneficially owned the Corporation’s outstanding voting securities immediately before the transaction;</w:t>
      </w:r>
    </w:p>
    <w:p>
      <w:pPr>
        <w:spacing w:after="0" w:line="220" w:lineRule="exact"/>
        <w:rPr>
          <w:rFonts w:ascii="Times New Roman" w:cs="Times New Roman" w:eastAsia="Times New Roman" w:hAnsi="Times New Roman"/>
          <w:sz w:val="20"/>
          <w:szCs w:val="20"/>
          <w:color w:val="auto"/>
        </w:rPr>
      </w:pPr>
    </w:p>
    <w:p>
      <w:pPr>
        <w:jc w:val="both"/>
        <w:ind w:left="1200" w:right="20" w:hanging="320"/>
        <w:spacing w:after="0" w:line="254" w:lineRule="auto"/>
        <w:tabs>
          <w:tab w:leader="none" w:pos="1198"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sale, transfer or disposition of all or substantially all of the Corporation’s assets, unless securities representing at least 50% of the combined voting power of the then-outstanding securities of the entity acquiring the Corporation’s assets or parent thereof are immediately thereafter beneficially owned, directly or indirectly and in substantially the same proportion, by the persons who beneficially owned the Corporation’s outstanding voting securities immediately before the transaction;</w:t>
      </w:r>
    </w:p>
    <w:p>
      <w:pPr>
        <w:spacing w:after="0" w:line="200" w:lineRule="exact"/>
        <w:rPr>
          <w:rFonts w:ascii="Times New Roman" w:cs="Times New Roman" w:eastAsia="Times New Roman" w:hAnsi="Times New Roman"/>
          <w:sz w:val="20"/>
          <w:szCs w:val="20"/>
          <w:color w:val="auto"/>
        </w:rPr>
      </w:pPr>
    </w:p>
    <w:p>
      <w:pPr>
        <w:jc w:val="both"/>
        <w:ind w:left="1200" w:hanging="320"/>
        <w:spacing w:after="0" w:line="253" w:lineRule="auto"/>
        <w:tabs>
          <w:tab w:leader="none" w:pos="1174"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merger, recapitalization, consolidation, or other transaction to which the Corporation is a party or the sale, transfer, or other disposition of all or substantially all of the Corporation’s assets if, in either case, the members of the Board immediately prior to consummation of the transaction do not, upon consummation of the transaction, constitute at least a majority of the board of directors of the surviving entity or the entity acquiring the Corporation’s assets, as the case may be, or a parent thereof (for this purpose, any change in the composition of the board of directors that is anticipated or</w:t>
      </w:r>
    </w:p>
    <w:p>
      <w:pPr>
        <w:sectPr>
          <w:pgSz w:w="11900" w:h="16838" w:orient="portrait"/>
          <w:cols w:equalWidth="0" w:num="1">
            <w:col w:w="11140"/>
          </w:cols>
          <w:pgMar w:left="420" w:top="1408" w:right="339" w:bottom="1440" w:gutter="0" w:footer="0" w:header="0"/>
        </w:sectPr>
      </w:pPr>
    </w:p>
    <w:bookmarkStart w:id="121" w:name="page122"/>
    <w:bookmarkEnd w:id="121"/>
    <w:p>
      <w:pPr>
        <w:ind w:left="1300" w:right="20"/>
        <w:spacing w:after="0" w:line="255" w:lineRule="auto"/>
        <w:rPr>
          <w:sz w:val="20"/>
          <w:szCs w:val="20"/>
          <w:color w:val="auto"/>
        </w:rPr>
      </w:pPr>
      <w:r>
        <w:rPr>
          <w:rFonts w:ascii="Times New Roman" w:cs="Times New Roman" w:eastAsia="Times New Roman" w:hAnsi="Times New Roman"/>
          <w:sz w:val="20"/>
          <w:szCs w:val="20"/>
          <w:color w:val="auto"/>
        </w:rPr>
        <w:t>pursuant to an understanding or agreement in connection with a transaction will be deemed to have occurred at the time of the transaction); or</w:t>
      </w:r>
    </w:p>
    <w:p>
      <w:pPr>
        <w:spacing w:after="0" w:line="213" w:lineRule="exact"/>
        <w:rPr>
          <w:sz w:val="20"/>
          <w:szCs w:val="20"/>
          <w:color w:val="auto"/>
        </w:rPr>
      </w:pPr>
    </w:p>
    <w:p>
      <w:pPr>
        <w:jc w:val="both"/>
        <w:ind w:left="1300" w:hanging="320"/>
        <w:spacing w:after="0" w:line="243" w:lineRule="auto"/>
        <w:tabs>
          <w:tab w:leader="none" w:pos="128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since the beginning of such period or (b) have been elected or nominated for election as Board members during such period by at least a majority of the Board members who were described in clause (a) or who were previously so elected or approved and who were still in office at the time the Board approved such election or nomination; provided, however, that solely for purposes of determining whether a permissible Section 409A distribution can be made under Paragraph 5.C in connection with such Change in Control event, the period for measuring a change in the composition of the Board shall be limited to a period of twelve (12) consecutive months or less;</w:t>
      </w:r>
    </w:p>
    <w:p>
      <w:pPr>
        <w:spacing w:after="0" w:line="213" w:lineRule="exact"/>
        <w:rPr>
          <w:sz w:val="20"/>
          <w:szCs w:val="20"/>
          <w:color w:val="auto"/>
        </w:rPr>
      </w:pPr>
    </w:p>
    <w:p>
      <w:pPr>
        <w:ind w:right="500"/>
        <w:spacing w:after="0" w:line="267" w:lineRule="auto"/>
        <w:rPr>
          <w:sz w:val="20"/>
          <w:szCs w:val="20"/>
          <w:color w:val="auto"/>
        </w:rPr>
      </w:pPr>
      <w:r>
        <w:rPr>
          <w:rFonts w:ascii="Times New Roman" w:cs="Times New Roman" w:eastAsia="Times New Roman" w:hAnsi="Times New Roman"/>
          <w:sz w:val="19"/>
          <w:szCs w:val="19"/>
          <w:color w:val="auto"/>
        </w:rPr>
        <w:t>provided however, that no Change in Control shall occur if the result of the transaction is to give more ownership or control of the Corporation to any person or related group of persons who held securities representing more than thirty percent (30%) of the combined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voting power of the Corporation's outstanding securities as of March 3, 2003.</w:t>
      </w:r>
    </w:p>
    <w:p>
      <w:pPr>
        <w:spacing w:after="0" w:line="232" w:lineRule="exact"/>
        <w:rPr>
          <w:sz w:val="20"/>
          <w:szCs w:val="20"/>
          <w:color w:val="auto"/>
        </w:rPr>
      </w:pPr>
    </w:p>
    <w:p>
      <w:pPr>
        <w:ind w:left="640" w:hanging="308"/>
        <w:spacing w:after="0"/>
        <w:tabs>
          <w:tab w:leader="none" w:pos="64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Code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the Internal Revenue Code of 1986,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amended.</w:t>
      </w:r>
    </w:p>
    <w:p>
      <w:pPr>
        <w:spacing w:after="0" w:line="23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the shares of the Corporation’s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w:t>
      </w:r>
    </w:p>
    <w:p>
      <w:pPr>
        <w:spacing w:after="0" w:line="233" w:lineRule="exact"/>
        <w:rPr>
          <w:rFonts w:ascii="Times New Roman" w:cs="Times New Roman" w:eastAsia="Times New Roman" w:hAnsi="Times New Roman"/>
          <w:sz w:val="20"/>
          <w:szCs w:val="20"/>
          <w:color w:val="auto"/>
        </w:rPr>
      </w:pPr>
    </w:p>
    <w:p>
      <w:pPr>
        <w:ind w:firstLine="332"/>
        <w:spacing w:after="0" w:line="297" w:lineRule="auto"/>
        <w:tabs>
          <w:tab w:leader="none" w:pos="63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Corporation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SJW Group, a Delaware corporation, and any successor corporation to all or substantially all of the assets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or voting stock of SJW Group which shall by appropriate action adopt the Plan and/or assume the Award.</w:t>
      </w:r>
    </w:p>
    <w:p>
      <w:pPr>
        <w:spacing w:after="0" w:line="145" w:lineRule="exact"/>
        <w:rPr>
          <w:rFonts w:ascii="Times New Roman" w:cs="Times New Roman" w:eastAsia="Times New Roman" w:hAnsi="Times New Roman"/>
          <w:sz w:val="20"/>
          <w:szCs w:val="20"/>
          <w:color w:val="auto"/>
        </w:rPr>
      </w:pPr>
    </w:p>
    <w:p>
      <w:pPr>
        <w:jc w:val="both"/>
        <w:ind w:firstLine="332"/>
        <w:spacing w:after="0" w:line="252" w:lineRule="auto"/>
        <w:tabs>
          <w:tab w:leader="none" w:pos="642"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Employee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an individual who is in the employ of the Corporation (or any Parent or Subsidiary), subject to the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 xml:space="preserve">and direction of the employer entity as to both the work to be performed and the manner and method of performance; </w:t>
      </w:r>
      <w:r>
        <w:rPr>
          <w:rFonts w:ascii="Times New Roman" w:cs="Times New Roman" w:eastAsia="Times New Roman" w:hAnsi="Times New Roman"/>
          <w:sz w:val="21"/>
          <w:szCs w:val="21"/>
          <w:b w:val="1"/>
          <w:bCs w:val="1"/>
          <w:i w:val="1"/>
          <w:iCs w:val="1"/>
          <w:color w:val="auto"/>
        </w:rPr>
        <w:t>provided, however,</w:t>
      </w:r>
      <w:r>
        <w:rPr>
          <w:rFonts w:ascii="Times New Roman" w:cs="Times New Roman" w:eastAsia="Times New Roman" w:hAnsi="Times New Roman"/>
          <w:sz w:val="19"/>
          <w:szCs w:val="19"/>
          <w:color w:val="auto"/>
        </w:rPr>
        <w:t xml:space="preserve"> that solely for purposes of determining whether Participant has incurred a Separation from Service, the term “Employee” shall have the meaning assigned to such term in the Separation from Service definition set forth in this Appendix.</w:t>
      </w:r>
    </w:p>
    <w:p>
      <w:pPr>
        <w:spacing w:after="0" w:line="196" w:lineRule="exact"/>
        <w:rPr>
          <w:rFonts w:ascii="Times New Roman" w:cs="Times New Roman" w:eastAsia="Times New Roman" w:hAnsi="Times New Roman"/>
          <w:sz w:val="20"/>
          <w:szCs w:val="20"/>
          <w:color w:val="auto"/>
        </w:rPr>
      </w:pPr>
    </w:p>
    <w:p>
      <w:pPr>
        <w:jc w:val="both"/>
        <w:ind w:firstLine="332"/>
        <w:spacing w:after="0" w:line="261" w:lineRule="auto"/>
        <w:tabs>
          <w:tab w:leader="none" w:pos="639"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Fair Market Value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per share of Common Stock on any relevant date shall be the closing selling price per share on the date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question on the Stock Exchange on which the Common Stock is at that time primarily traded, as such price is officially quoted in the composite tape of transactions on such exchange. If there is no reported sale of Common Stock on such Stock Exchange on the date in question, then the Fair Market Value shall be the closing selling price on the exchange on the last preceding date for which such quotation exists.</w:t>
      </w:r>
    </w:p>
    <w:p>
      <w:pPr>
        <w:spacing w:after="0" w:line="200" w:lineRule="exact"/>
        <w:rPr>
          <w:rFonts w:ascii="Times New Roman" w:cs="Times New Roman" w:eastAsia="Times New Roman" w:hAnsi="Times New Roman"/>
          <w:sz w:val="20"/>
          <w:szCs w:val="20"/>
          <w:color w:val="auto"/>
        </w:rPr>
      </w:pPr>
    </w:p>
    <w:p>
      <w:pPr>
        <w:spacing w:after="0" w:line="21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Good Cause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w:t>
      </w:r>
    </w:p>
    <w:p>
      <w:pPr>
        <w:spacing w:after="0" w:line="33" w:lineRule="exact"/>
        <w:rPr>
          <w:rFonts w:ascii="Times New Roman" w:cs="Times New Roman" w:eastAsia="Times New Roman" w:hAnsi="Times New Roman"/>
          <w:sz w:val="20"/>
          <w:szCs w:val="20"/>
          <w:color w:val="auto"/>
        </w:rPr>
      </w:pPr>
    </w:p>
    <w:p>
      <w:pPr>
        <w:ind w:left="1300" w:hanging="320"/>
        <w:spacing w:after="0" w:line="246" w:lineRule="auto"/>
        <w:tabs>
          <w:tab w:leader="none" w:pos="1296"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 or omission by Participant that results in substantial harm to the business or property of the Corporation (or any Parent or Subsidiary) and that constitutes dishonesty, intentional breach of fiduciary obligation or intentional wrongdoing,</w:t>
      </w:r>
    </w:p>
    <w:p>
      <w:pPr>
        <w:spacing w:after="0" w:line="19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Participant’s conviction of a criminal violation involving fraud or dishonesty, </w:t>
      </w:r>
      <w:r>
        <w:rPr>
          <w:rFonts w:ascii="Times New Roman" w:cs="Times New Roman" w:eastAsia="Times New Roman" w:hAnsi="Times New Roman"/>
          <w:sz w:val="21"/>
          <w:szCs w:val="21"/>
          <w:color w:val="auto"/>
        </w:rPr>
        <w:t>or</w:t>
      </w:r>
    </w:p>
    <w:p>
      <w:pPr>
        <w:sectPr>
          <w:pgSz w:w="11900" w:h="16838" w:orient="portrait"/>
          <w:cols w:equalWidth="0" w:num="1">
            <w:col w:w="11240"/>
          </w:cols>
          <w:pgMar w:left="320" w:top="1413" w:right="339" w:bottom="1440" w:gutter="0" w:footer="0" w:header="0"/>
        </w:sectPr>
      </w:pPr>
    </w:p>
    <w:bookmarkStart w:id="122" w:name="page123"/>
    <w:bookmarkEnd w:id="122"/>
    <w:p>
      <w:pPr>
        <w:jc w:val="both"/>
        <w:ind w:left="1300" w:hanging="320"/>
        <w:spacing w:after="0" w:line="256" w:lineRule="auto"/>
        <w:tabs>
          <w:tab w:leader="none" w:pos="129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Participant’s intentional and knowing participation in the preparation or release of false or materially misleading financial statements relating to the operations and financial condition of the Corporation (or any Parent or Subsidiary) or Participant’s intentional and knowing submission of any false or erroneous certification required of him or her under the Sarbanes-Oxley Act of 2002 or any securities exchange on which the Common Stock is at the time listed for </w:t>
      </w:r>
      <w:r>
        <w:rPr>
          <w:rFonts w:ascii="Times New Roman" w:cs="Times New Roman" w:eastAsia="Times New Roman" w:hAnsi="Times New Roman"/>
          <w:sz w:val="21"/>
          <w:szCs w:val="21"/>
          <w:color w:val="auto"/>
        </w:rPr>
        <w:t>trading.</w:t>
      </w:r>
    </w:p>
    <w:p>
      <w:pPr>
        <w:spacing w:after="0" w:line="19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The foregoing definition shall not in any way preclude or restrict the right of the Corporation (or any Parent or Subsidiary) to discharge or dismiss Participant or any other person in the Service of the Corporation (or any Parent or Subsidiary) for any other acts or omissions, but such other acts or omissions shall not be deemed, for purposes of the Plan or this Agreement, to constitute grounds for termination for Good Cause.</w:t>
      </w:r>
    </w:p>
    <w:p>
      <w:pPr>
        <w:spacing w:after="0" w:line="192"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Good Reason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be deemed to exist with respect to Participant if and only if, without Participant’s express written consent:</w:t>
      </w:r>
    </w:p>
    <w:p>
      <w:pPr>
        <w:spacing w:after="0" w:line="237"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there is a significantly adverse change in the nature or the scope of Participant’s </w:t>
      </w:r>
      <w:r>
        <w:rPr>
          <w:rFonts w:ascii="Times New Roman" w:cs="Times New Roman" w:eastAsia="Times New Roman" w:hAnsi="Times New Roman"/>
          <w:sz w:val="21"/>
          <w:szCs w:val="21"/>
          <w:color w:val="auto"/>
        </w:rPr>
        <w:t>authority;</w:t>
      </w:r>
    </w:p>
    <w:p>
      <w:pPr>
        <w:spacing w:after="0" w:line="244"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Participant is assigned duties materially inconsistent with his or her present duties, </w:t>
      </w:r>
      <w:r>
        <w:rPr>
          <w:rFonts w:ascii="Times New Roman" w:cs="Times New Roman" w:eastAsia="Times New Roman" w:hAnsi="Times New Roman"/>
          <w:sz w:val="19"/>
          <w:szCs w:val="19"/>
          <w:color w:val="auto"/>
        </w:rPr>
        <w:t>responsibilities and status;</w:t>
      </w:r>
    </w:p>
    <w:p>
      <w:pPr>
        <w:spacing w:after="0" w:line="233"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there is a reduction in the sum of Participant’s rate of base salary and target bonus;</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or</w:t>
      </w:r>
    </w:p>
    <w:p>
      <w:pPr>
        <w:spacing w:after="0" w:line="227" w:lineRule="exact"/>
        <w:rPr>
          <w:sz w:val="20"/>
          <w:szCs w:val="20"/>
          <w:color w:val="auto"/>
        </w:rPr>
      </w:pPr>
    </w:p>
    <w:p>
      <w:pPr>
        <w:ind w:left="1300" w:right="280" w:hanging="320"/>
        <w:spacing w:after="0" w:line="269" w:lineRule="auto"/>
        <w:tabs>
          <w:tab w:leader="none" w:pos="127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changes by fifty-five (55) miles or more the principal location in which Participant is required to perform services;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provided, however, </w:t>
      </w:r>
      <w:r>
        <w:rPr>
          <w:rFonts w:ascii="Times New Roman" w:cs="Times New Roman" w:eastAsia="Times New Roman" w:hAnsi="Times New Roman"/>
          <w:sz w:val="19"/>
          <w:szCs w:val="19"/>
          <w:color w:val="auto"/>
        </w:rPr>
        <w:t>that, before Participant may resign for any Good Reason event or transaction, Participant must first provide written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notice to the Corporation (or the Parent or Subsidiary employing Participant) identifying such Good Reason event or transaction within ninety (90) days after the occurrence of such event or transaction and the Corporation (or the Parent or Subsidiary employing Participant) shall have failed to cure such event or transaction within thirty (30) days after receipt of such written notice.</w:t>
      </w:r>
    </w:p>
    <w:p>
      <w:pPr>
        <w:spacing w:after="0" w:line="183" w:lineRule="exact"/>
        <w:rPr>
          <w:sz w:val="20"/>
          <w:szCs w:val="20"/>
          <w:color w:val="auto"/>
        </w:rPr>
      </w:pPr>
    </w:p>
    <w:p>
      <w:pPr>
        <w:ind w:right="780" w:firstLine="332"/>
        <w:spacing w:after="0" w:line="243" w:lineRule="auto"/>
        <w:tabs>
          <w:tab w:leader="none" w:pos="64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Measurement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the period specified on attached Schedule I over which the attainment of a Performance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Objective is to be measured.</w:t>
      </w:r>
    </w:p>
    <w:p>
      <w:pPr>
        <w:spacing w:after="0" w:line="18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1934 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the Securities Exchange Act of 1934,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amended.</w:t>
      </w:r>
    </w:p>
    <w:p>
      <w:pPr>
        <w:spacing w:after="0" w:line="23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the person to whom the Award is made pursuant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w:t>
      </w:r>
    </w:p>
    <w:p>
      <w:pPr>
        <w:spacing w:after="0" w:line="233" w:lineRule="exact"/>
        <w:rPr>
          <w:rFonts w:ascii="Times New Roman" w:cs="Times New Roman" w:eastAsia="Times New Roman" w:hAnsi="Times New Roman"/>
          <w:sz w:val="20"/>
          <w:szCs w:val="20"/>
          <w:color w:val="auto"/>
        </w:rPr>
      </w:pPr>
    </w:p>
    <w:p>
      <w:pPr>
        <w:jc w:val="both"/>
        <w:ind w:firstLine="332"/>
        <w:spacing w:after="0" w:line="254" w:lineRule="auto"/>
        <w:tabs>
          <w:tab w:leader="none" w:pos="62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Parent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any corporation (other than the Corporation) in an unbroken chain of corporations ending with the Corporation,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provided each corporation in the unbroken chain (other than the Corporation) owns, at the time of the determination, stock possessing fifty percent (50%) or more of the total combined voting power of all classes of stock in one of the other corporations in such chain.</w:t>
      </w:r>
    </w:p>
    <w:p>
      <w:pPr>
        <w:sectPr>
          <w:pgSz w:w="11900" w:h="16838" w:orient="portrait"/>
          <w:cols w:equalWidth="0" w:num="1">
            <w:col w:w="11240"/>
          </w:cols>
          <w:pgMar w:left="320" w:top="1413" w:right="339" w:bottom="1440" w:gutter="0" w:footer="0" w:header="0"/>
        </w:sectPr>
      </w:pPr>
    </w:p>
    <w:bookmarkStart w:id="123" w:name="page124"/>
    <w:bookmarkEnd w:id="123"/>
    <w:p>
      <w:pPr>
        <w:ind w:left="-8" w:firstLine="332"/>
        <w:spacing w:after="0" w:line="282" w:lineRule="auto"/>
        <w:tabs>
          <w:tab w:leader="none" w:pos="63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Performance Objective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the attainment of the applicable total shareholder return objective set forth in attached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Schedule I, as calculated over the Measurement Period.</w:t>
      </w:r>
    </w:p>
    <w:p>
      <w:pPr>
        <w:spacing w:after="0" w:line="148" w:lineRule="exact"/>
        <w:rPr>
          <w:rFonts w:ascii="Times New Roman" w:cs="Times New Roman" w:eastAsia="Times New Roman" w:hAnsi="Times New Roman"/>
          <w:sz w:val="20"/>
          <w:szCs w:val="20"/>
          <w:color w:val="auto"/>
        </w:rPr>
      </w:pPr>
    </w:p>
    <w:p>
      <w:pPr>
        <w:ind w:left="-8" w:firstLine="332"/>
        <w:spacing w:after="0" w:line="256" w:lineRule="auto"/>
        <w:tabs>
          <w:tab w:leader="none" w:pos="632"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Permanent Disability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Participant’s inability to engage in any substantial gainful activity by reason of any medically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determinable physical or mental impairment expected to result in death or to be of continuous duration of twelve (12) months or more.</w:t>
      </w:r>
    </w:p>
    <w:p>
      <w:pPr>
        <w:spacing w:after="0" w:line="189" w:lineRule="exact"/>
        <w:rPr>
          <w:rFonts w:ascii="Times New Roman" w:cs="Times New Roman" w:eastAsia="Times New Roman" w:hAnsi="Times New Roman"/>
          <w:sz w:val="20"/>
          <w:szCs w:val="20"/>
          <w:color w:val="auto"/>
        </w:rPr>
      </w:pPr>
    </w:p>
    <w:p>
      <w:pPr>
        <w:ind w:left="652" w:hanging="328"/>
        <w:spacing w:after="0"/>
        <w:tabs>
          <w:tab w:leader="none" w:pos="652"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the Corporation’s Long Term Incentive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w:t>
      </w:r>
    </w:p>
    <w:p>
      <w:pPr>
        <w:spacing w:after="0" w:line="233" w:lineRule="exact"/>
        <w:rPr>
          <w:rFonts w:ascii="Times New Roman" w:cs="Times New Roman" w:eastAsia="Times New Roman" w:hAnsi="Times New Roman"/>
          <w:sz w:val="20"/>
          <w:szCs w:val="20"/>
          <w:color w:val="auto"/>
        </w:rPr>
      </w:pPr>
    </w:p>
    <w:p>
      <w:pPr>
        <w:ind w:left="632" w:hanging="308"/>
        <w:spacing w:after="0"/>
        <w:tabs>
          <w:tab w:leader="none" w:pos="632"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Plan Administrator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either the Board or a committee of the Board acting in its capacity as administrator of the Plan.</w:t>
      </w:r>
    </w:p>
    <w:p>
      <w:pPr>
        <w:spacing w:after="0" w:line="233" w:lineRule="exact"/>
        <w:rPr>
          <w:rFonts w:ascii="Times New Roman" w:cs="Times New Roman" w:eastAsia="Times New Roman" w:hAnsi="Times New Roman"/>
          <w:sz w:val="20"/>
          <w:szCs w:val="20"/>
          <w:color w:val="auto"/>
        </w:rPr>
      </w:pPr>
    </w:p>
    <w:p>
      <w:pPr>
        <w:jc w:val="both"/>
        <w:ind w:left="-8" w:firstLine="332"/>
        <w:spacing w:after="0" w:line="251" w:lineRule="auto"/>
        <w:tabs>
          <w:tab w:leader="none" w:pos="63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Qualifying Change in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the date on which there occurs a Change in Control that also qualifies as: (i) a change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 xml:space="preserve">in the ownership of the Corporation, as determined in accordance with Section 1.409A-3(i)((5)(v) of the Treasury Regulations, (ii) a change in the effective control of the Corporation, as determined in accordance with Section 1.409A-3(i)((5)(vi) of the Treasury Regulations, </w:t>
      </w:r>
      <w:r>
        <w:rPr>
          <w:rFonts w:ascii="Times New Roman" w:cs="Times New Roman" w:eastAsia="Times New Roman" w:hAnsi="Times New Roman"/>
          <w:sz w:val="21"/>
          <w:szCs w:val="21"/>
          <w:color w:val="auto"/>
        </w:rPr>
        <w:t>or</w:t>
      </w:r>
      <w:r>
        <w:rPr>
          <w:rFonts w:ascii="Times New Roman" w:cs="Times New Roman" w:eastAsia="Times New Roman" w:hAnsi="Times New Roman"/>
          <w:sz w:val="19"/>
          <w:szCs w:val="19"/>
          <w:color w:val="auto"/>
        </w:rPr>
        <w:t xml:space="preserve"> (iii) a change in the ownership of a substantial portion of the assets of the Corporation, as determined in accordance with Section 1.409A-3(i)((5)</w:t>
      </w:r>
    </w:p>
    <w:p>
      <w:pPr>
        <w:spacing w:after="0" w:line="1" w:lineRule="exact"/>
        <w:rPr>
          <w:rFonts w:ascii="Times New Roman" w:cs="Times New Roman" w:eastAsia="Times New Roman" w:hAnsi="Times New Roman"/>
          <w:sz w:val="20"/>
          <w:szCs w:val="20"/>
          <w:color w:val="auto"/>
        </w:rPr>
      </w:pPr>
    </w:p>
    <w:p>
      <w:pPr>
        <w:ind w:left="392" w:hanging="392"/>
        <w:spacing w:after="0"/>
        <w:tabs>
          <w:tab w:leader="none" w:pos="392"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Treasury Regulations.</w:t>
      </w:r>
    </w:p>
    <w:p>
      <w:pPr>
        <w:spacing w:after="0" w:line="211" w:lineRule="exact"/>
        <w:rPr>
          <w:rFonts w:ascii="Times New Roman" w:cs="Times New Roman" w:eastAsia="Times New Roman" w:hAnsi="Times New Roman"/>
          <w:sz w:val="20"/>
          <w:szCs w:val="20"/>
          <w:color w:val="auto"/>
        </w:rPr>
      </w:pPr>
    </w:p>
    <w:p>
      <w:pPr>
        <w:jc w:val="both"/>
        <w:ind w:left="-8" w:firstLine="332"/>
        <w:spacing w:after="0" w:line="254" w:lineRule="auto"/>
        <w:tabs>
          <w:tab w:leader="none" w:pos="604"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Retirement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Participant’s voluntary cessation of Employee status (i) after reaching age 55 and at least five (5) years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Service with the Corporation (or any Parent or Subsidiary) and (ii) where Participant’s age plus years of Service with the Corporation (or any Parent or Subsidiary) equals at least 65.</w:t>
      </w:r>
    </w:p>
    <w:p>
      <w:pPr>
        <w:spacing w:after="0" w:line="191" w:lineRule="exact"/>
        <w:rPr>
          <w:rFonts w:ascii="Times New Roman" w:cs="Times New Roman" w:eastAsia="Times New Roman" w:hAnsi="Times New Roman"/>
          <w:sz w:val="20"/>
          <w:szCs w:val="20"/>
          <w:color w:val="auto"/>
        </w:rPr>
      </w:pPr>
    </w:p>
    <w:p>
      <w:pPr>
        <w:jc w:val="both"/>
        <w:ind w:left="-8" w:firstLine="332"/>
        <w:spacing w:after="0" w:line="256" w:lineRule="auto"/>
        <w:tabs>
          <w:tab w:leader="none" w:pos="615"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Separation from Service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Participant’s cessation of Employee status by reason of his death, retirement or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of employment. Participant shall be deemed to have terminated employment for such purpose at such time as the level of his bona fide services to be performed as an Employee (or as a consultant or independent contractor) permanently decreases to a level that is not more than twenty percent (20%) of the average level of services he rendered as an Employee during the immediately preceding thirty-six (36) months. Solely for purposes of determining when a Separation from Service occurs, Participant will be deemed to continue in “Employee” status for so long as he remains in the employ of one or more members of the Employer Group, subject to the control and direction of the employer entity as to both the work to be performed and the manner and method of performance. “Employer Group” means the Corporation and any Parent or Subsidiary and any other corporation or business controlled by, controlling or under common control with, the Corporation, as determined in accordance with Sections 414(b) and (c) of the Code and the Treasury Regulations thereunder, except that in applying Sections 1563(1), (2) and (3) of the Code for purposes of determining the controlled group of corporations under Section 414(b), the phrase “at least 50 percent” shall be used instead of “at least 80 percent” each place the latter phrase appears in such sections and in applying Section 1.414(c)-2 of the Treasury Regulations for purposes of determining trades or businesses that are under common control for purposes of Section 414(c), the phrase “at least 50 percent” shall be used instead of “at least 80 percent” each place the latter phrase appears in Section 1.4.14(c)-2 of the Treasury Regulations. Any such determination as to Separation from Service, however, shall be made in accordance with the applicable standards of the Treasury Regulations issued under Section 409A of the Code.</w:t>
      </w:r>
    </w:p>
    <w:p>
      <w:pPr>
        <w:spacing w:after="0" w:line="180" w:lineRule="exact"/>
        <w:rPr>
          <w:rFonts w:ascii="Times New Roman" w:cs="Times New Roman" w:eastAsia="Times New Roman" w:hAnsi="Times New Roman"/>
          <w:sz w:val="20"/>
          <w:szCs w:val="20"/>
          <w:color w:val="auto"/>
        </w:rPr>
      </w:pPr>
    </w:p>
    <w:p>
      <w:pPr>
        <w:jc w:val="both"/>
        <w:ind w:left="-8" w:firstLine="332"/>
        <w:spacing w:after="0" w:line="247" w:lineRule="auto"/>
        <w:tabs>
          <w:tab w:leader="none" w:pos="63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Service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Participant’s performance of services for the Corporation (or any Parent or Subsidiary) in the capacity of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Employee, a non-employee member of the Board or a consultant or independent advisor. Participant shall be deemed to cease Service immediately upon the occurrence of either of the following events: (i) Participant no longer performs services in any of the foregoing</w:t>
      </w:r>
    </w:p>
    <w:p>
      <w:pPr>
        <w:sectPr>
          <w:pgSz w:w="11900" w:h="16838" w:orient="portrait"/>
          <w:cols w:equalWidth="0" w:num="1">
            <w:col w:w="11232"/>
          </w:cols>
          <w:pgMar w:left="328" w:top="1404" w:right="339" w:bottom="1440" w:gutter="0" w:footer="0" w:header="0"/>
        </w:sectPr>
      </w:pPr>
    </w:p>
    <w:bookmarkStart w:id="124" w:name="page125"/>
    <w:bookmarkEnd w:id="124"/>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capacities for the Corporation (or any Parent or Subsidiary) or (ii) the entity for which Participant performs such services ceases to remain a Parent or Subsidiary of the Corporation, even though Participant may subsequently continue to perform services for that entity. Service as an Employee shall not be deemed to cease during a period of military leave, sick leave or other personal leave approved by the Corporation; </w:t>
      </w:r>
      <w:r>
        <w:rPr>
          <w:rFonts w:ascii="Times New Roman" w:cs="Times New Roman" w:eastAsia="Times New Roman" w:hAnsi="Times New Roman"/>
          <w:sz w:val="21"/>
          <w:szCs w:val="21"/>
          <w:b w:val="1"/>
          <w:bCs w:val="1"/>
          <w:i w:val="1"/>
          <w:iCs w:val="1"/>
          <w:color w:val="auto"/>
        </w:rPr>
        <w:t>provided, however</w:t>
      </w:r>
      <w:r>
        <w:rPr>
          <w:rFonts w:ascii="Times New Roman" w:cs="Times New Roman" w:eastAsia="Times New Roman" w:hAnsi="Times New Roman"/>
          <w:sz w:val="19"/>
          <w:szCs w:val="19"/>
          <w:color w:val="auto"/>
        </w:rPr>
        <w:t>, that the following special provisions shall be in effect for any such leave:</w:t>
      </w:r>
    </w:p>
    <w:p>
      <w:pPr>
        <w:spacing w:after="0" w:line="222" w:lineRule="exact"/>
        <w:rPr>
          <w:sz w:val="20"/>
          <w:szCs w:val="20"/>
          <w:color w:val="auto"/>
        </w:rPr>
      </w:pPr>
    </w:p>
    <w:p>
      <w:pPr>
        <w:jc w:val="both"/>
        <w:ind w:left="980" w:firstLine="324"/>
        <w:spacing w:after="0" w:line="261" w:lineRule="auto"/>
        <w:tabs>
          <w:tab w:leader="none" w:pos="1948"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Should the period of such leave (other than a disability leave) exceed six (6) months, then Participant shall be deemed to cease Service and to incur a Separation from Service upon the expiration of the initial six (6)-month period of that leave, unless Participant retains a right to re-employment under applicable law or by contract with the Corporation (or any Parent or </w:t>
      </w:r>
      <w:r>
        <w:rPr>
          <w:rFonts w:ascii="Times New Roman" w:cs="Times New Roman" w:eastAsia="Times New Roman" w:hAnsi="Times New Roman"/>
          <w:sz w:val="21"/>
          <w:szCs w:val="21"/>
          <w:color w:val="auto"/>
        </w:rPr>
        <w:t>Subsidiary).</w:t>
      </w:r>
    </w:p>
    <w:p>
      <w:pPr>
        <w:spacing w:after="0" w:line="200" w:lineRule="exact"/>
        <w:rPr>
          <w:rFonts w:ascii="Times New Roman" w:cs="Times New Roman" w:eastAsia="Times New Roman" w:hAnsi="Times New Roman"/>
          <w:sz w:val="20"/>
          <w:szCs w:val="20"/>
          <w:color w:val="auto"/>
        </w:rPr>
      </w:pPr>
    </w:p>
    <w:p>
      <w:pPr>
        <w:spacing w:after="0" w:line="245" w:lineRule="exact"/>
        <w:rPr>
          <w:rFonts w:ascii="Times New Roman" w:cs="Times New Roman" w:eastAsia="Times New Roman" w:hAnsi="Times New Roman"/>
          <w:sz w:val="20"/>
          <w:szCs w:val="20"/>
          <w:color w:val="auto"/>
        </w:rPr>
      </w:pPr>
    </w:p>
    <w:p>
      <w:pPr>
        <w:jc w:val="both"/>
        <w:ind w:left="980" w:firstLine="324"/>
        <w:spacing w:after="0" w:line="256" w:lineRule="auto"/>
        <w:tabs>
          <w:tab w:leader="none" w:pos="1949"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Should the period of a disability leave exceed twenty-nine (29) months, then Participant shall be deemed to cease Service and to incur a Separation from Service upon the expiration of the initial twenty-nine (29)-month period of that leave, unless Participant retains a right to re-employment under applicable law or by contract with the Corporation (or any Parent or Subsidiary). For such purpose, a disability leave shall be a leave of absence due to any medically determinable physical or mental impairment that can be expected to result in death or to last for a continuous period of not less than six (6) months and causes Participant to be unable to perform the duties of his position of employment with the Corporation (or any Parent or Subsidiary) or any substantially similar position of employment.</w:t>
      </w:r>
    </w:p>
    <w:p>
      <w:pPr>
        <w:spacing w:after="0" w:line="213" w:lineRule="exact"/>
        <w:rPr>
          <w:rFonts w:ascii="Times New Roman" w:cs="Times New Roman" w:eastAsia="Times New Roman" w:hAnsi="Times New Roman"/>
          <w:sz w:val="20"/>
          <w:szCs w:val="20"/>
          <w:color w:val="auto"/>
        </w:rPr>
      </w:pPr>
    </w:p>
    <w:p>
      <w:pPr>
        <w:jc w:val="both"/>
        <w:ind w:left="980" w:firstLine="324"/>
        <w:spacing w:after="0" w:line="261" w:lineRule="auto"/>
        <w:tabs>
          <w:tab w:leader="none" w:pos="195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to the extent otherwise required by law or expressly authorized by the Plan Administrator or by the Corporation’s written policy on leaves of absence, no Service credit shall be given for vesting purposes for any period Participant is on a leave of absence.</w:t>
      </w:r>
    </w:p>
    <w:p>
      <w:pPr>
        <w:spacing w:after="0" w:line="172" w:lineRule="exact"/>
        <w:rPr>
          <w:rFonts w:ascii="Times New Roman" w:cs="Times New Roman" w:eastAsia="Times New Roman" w:hAnsi="Times New Roman"/>
          <w:sz w:val="20"/>
          <w:szCs w:val="20"/>
          <w:color w:val="auto"/>
        </w:rPr>
      </w:pPr>
    </w:p>
    <w:p>
      <w:pPr>
        <w:ind w:firstLine="332"/>
        <w:spacing w:after="0" w:line="243" w:lineRule="auto"/>
        <w:tabs>
          <w:tab w:leader="none" w:pos="61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Stock Exchange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the American Stock Exchange, the Nasdaq Global or Global Select Market or the New York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Exchange.</w:t>
      </w:r>
    </w:p>
    <w:p>
      <w:pPr>
        <w:spacing w:after="0" w:line="203" w:lineRule="exact"/>
        <w:rPr>
          <w:rFonts w:ascii="Times New Roman" w:cs="Times New Roman" w:eastAsia="Times New Roman" w:hAnsi="Times New Roman"/>
          <w:sz w:val="20"/>
          <w:szCs w:val="20"/>
          <w:color w:val="auto"/>
        </w:rPr>
      </w:pPr>
    </w:p>
    <w:p>
      <w:pPr>
        <w:jc w:val="both"/>
        <w:ind w:firstLine="332"/>
        <w:spacing w:after="0" w:line="246" w:lineRule="auto"/>
        <w:tabs>
          <w:tab w:leader="none" w:pos="643"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Subsidiary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any corporation (other than the Corporation) in an unbroken chain of corporations beginning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Corporation, provided each corporation (other than the last corporation) in the unbroken chain owns, at the time of the determination, stock possessing fifty percent (50%) or more of the total combined voting power of all classes of stock in one of the other corporations in such chain.</w:t>
      </w:r>
    </w:p>
    <w:p>
      <w:pPr>
        <w:spacing w:after="0" w:line="200" w:lineRule="exact"/>
        <w:rPr>
          <w:sz w:val="20"/>
          <w:szCs w:val="20"/>
          <w:color w:val="auto"/>
        </w:rPr>
      </w:pPr>
    </w:p>
    <w:p>
      <w:pPr>
        <w:spacing w:after="0" w:line="245" w:lineRule="exact"/>
        <w:rPr>
          <w:sz w:val="20"/>
          <w:szCs w:val="20"/>
          <w:color w:val="auto"/>
        </w:rPr>
      </w:pPr>
    </w:p>
    <w:p>
      <w:pPr>
        <w:ind w:left="760" w:hanging="428"/>
        <w:spacing w:after="0"/>
        <w:tabs>
          <w:tab w:leader="none" w:pos="76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Target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the target number of shares as set forth in Paragraph 1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w:t>
      </w:r>
    </w:p>
    <w:p>
      <w:pPr>
        <w:spacing w:after="0" w:line="233" w:lineRule="exact"/>
        <w:rPr>
          <w:rFonts w:ascii="Times New Roman" w:cs="Times New Roman" w:eastAsia="Times New Roman" w:hAnsi="Times New Roman"/>
          <w:sz w:val="22"/>
          <w:szCs w:val="22"/>
          <w:color w:val="auto"/>
        </w:rPr>
      </w:pPr>
    </w:p>
    <w:p>
      <w:pPr>
        <w:jc w:val="both"/>
        <w:ind w:firstLine="332"/>
        <w:spacing w:after="0" w:line="263" w:lineRule="auto"/>
        <w:tabs>
          <w:tab w:leader="none" w:pos="72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Withholding Taxes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(i) the employee portion of the federal, state and local employment taxes required to be withheld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by the Corporation in connection with the vesting of the shares of Common Stock (or any other property) under the Award and (ii) the federal, state and local income taxes required to be withheld by the Corporation in connection with the issuance of those vested shares (or any other property).</w:t>
      </w:r>
    </w:p>
    <w:p>
      <w:pPr>
        <w:sectPr>
          <w:pgSz w:w="11900" w:h="16838" w:orient="portrait"/>
          <w:cols w:equalWidth="0" w:num="1">
            <w:col w:w="11240"/>
          </w:cols>
          <w:pgMar w:left="320" w:top="1413" w:right="339" w:bottom="1440" w:gutter="0" w:footer="0" w:header="0"/>
        </w:sectPr>
      </w:pPr>
    </w:p>
    <w:bookmarkStart w:id="125" w:name="page126"/>
    <w:bookmarkEnd w:id="125"/>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SCHEDULE I</w:t>
      </w:r>
    </w:p>
    <w:p>
      <w:pPr>
        <w:spacing w:after="0" w:line="2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PERFORMANCE OBJECTIVES AND MEASUREMENT PERIOD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ESTABLISHMENT OF SEPARATE TRANCHES</w:t>
      </w:r>
    </w:p>
    <w:p>
      <w:pPr>
        <w:spacing w:after="0" w:line="247"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number of Target Shares subject to the Award has, in accordance with paragraph 1 of this Agreement, been divided into two (2) separate tranches: Tranche One and Tranche Two. Tranche One and Tranche Two shall each cover fifty percent (50%) of the Target Shares.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MEASUREMENT PERIOD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The Measurement Period shall be the period beginning </w:t>
      </w:r>
      <w:r>
        <w:rPr>
          <w:rFonts w:ascii="Times New Roman" w:cs="Times New Roman" w:eastAsia="Times New Roman" w:hAnsi="Times New Roman"/>
          <w:sz w:val="21"/>
          <w:szCs w:val="21"/>
          <w:color w:val="auto"/>
        </w:rPr>
        <w:t>___________</w:t>
      </w:r>
      <w:r>
        <w:rPr>
          <w:rFonts w:ascii="Times New Roman" w:cs="Times New Roman" w:eastAsia="Times New Roman" w:hAnsi="Times New Roman"/>
          <w:sz w:val="20"/>
          <w:szCs w:val="20"/>
          <w:color w:val="auto"/>
        </w:rPr>
        <w:t xml:space="preserve"> and ending </w:t>
      </w:r>
      <w:r>
        <w:rPr>
          <w:rFonts w:ascii="Times New Roman" w:cs="Times New Roman" w:eastAsia="Times New Roman" w:hAnsi="Times New Roman"/>
          <w:sz w:val="21"/>
          <w:szCs w:val="21"/>
          <w:color w:val="auto"/>
        </w:rPr>
        <w:t>________________.</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PERFORMANCE OBJECTIVES</w:t>
      </w:r>
    </w:p>
    <w:p>
      <w:pPr>
        <w:spacing w:after="0" w:line="247" w:lineRule="exact"/>
        <w:rPr>
          <w:sz w:val="20"/>
          <w:szCs w:val="20"/>
          <w:color w:val="auto"/>
        </w:rPr>
      </w:pPr>
    </w:p>
    <w:p>
      <w:pPr>
        <w:jc w:val="both"/>
        <w:ind w:firstLine="845"/>
        <w:spacing w:after="0" w:line="239" w:lineRule="auto"/>
        <w:rPr>
          <w:sz w:val="20"/>
          <w:szCs w:val="20"/>
          <w:color w:val="auto"/>
        </w:rPr>
      </w:pPr>
      <w:r>
        <w:rPr>
          <w:rFonts w:ascii="Times New Roman" w:cs="Times New Roman" w:eastAsia="Times New Roman" w:hAnsi="Times New Roman"/>
          <w:sz w:val="20"/>
          <w:szCs w:val="20"/>
          <w:color w:val="auto"/>
        </w:rPr>
        <w:t>The Performance Objective which must be attained for Tranche One to vest shall be tied to the ranking of the total shareholder return (including stock price appreciation and reinvestment of any cash dividends or other stockholder distributions) to the Corporation’s stockholders over the Measurement Period in relation to the total shareholder return realized for that period by the companies listed below as “Water Utility Peer Companies” (each, a “Water Utility Peer Company”).</w:t>
      </w:r>
    </w:p>
    <w:p>
      <w:pPr>
        <w:spacing w:after="0" w:line="204" w:lineRule="exact"/>
        <w:rPr>
          <w:sz w:val="20"/>
          <w:szCs w:val="20"/>
          <w:color w:val="auto"/>
        </w:rPr>
      </w:pPr>
    </w:p>
    <w:p>
      <w:pPr>
        <w:jc w:val="both"/>
        <w:ind w:firstLine="845"/>
        <w:spacing w:after="0" w:line="239" w:lineRule="auto"/>
        <w:rPr>
          <w:sz w:val="20"/>
          <w:szCs w:val="20"/>
          <w:color w:val="auto"/>
        </w:rPr>
      </w:pPr>
      <w:r>
        <w:rPr>
          <w:rFonts w:ascii="Times New Roman" w:cs="Times New Roman" w:eastAsia="Times New Roman" w:hAnsi="Times New Roman"/>
          <w:sz w:val="20"/>
          <w:szCs w:val="20"/>
          <w:color w:val="auto"/>
        </w:rPr>
        <w:t>The Performance Objective which must be attained for Tranche Two to vest shall be tied to the ranking of the total shareholder return (including stock price appreciation and reinvestment of any cash dividends or other stockholder distributions) to the Corporation’s stockholders over the Measurement Period in relation to the total shareholder return realized for that period by the companies listed below as “S&amp;P Utility Peer Companies” (each, a “ S&amp;P Utility Peer Company”, and together with each “Water Utility Peer Company”, a “Peer Company”).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Total Shareholder Return</w:t>
      </w:r>
    </w:p>
    <w:p>
      <w:pPr>
        <w:spacing w:after="0" w:line="238" w:lineRule="exact"/>
        <w:rPr>
          <w:sz w:val="20"/>
          <w:szCs w:val="20"/>
          <w:color w:val="auto"/>
        </w:rPr>
      </w:pPr>
    </w:p>
    <w:p>
      <w:pPr>
        <w:jc w:val="both"/>
        <w:ind w:right="20" w:firstLine="845"/>
        <w:spacing w:after="0" w:line="255" w:lineRule="auto"/>
        <w:rPr>
          <w:sz w:val="20"/>
          <w:szCs w:val="20"/>
          <w:color w:val="auto"/>
        </w:rPr>
      </w:pPr>
      <w:r>
        <w:rPr>
          <w:rFonts w:ascii="Times New Roman" w:cs="Times New Roman" w:eastAsia="Times New Roman" w:hAnsi="Times New Roman"/>
          <w:sz w:val="20"/>
          <w:szCs w:val="20"/>
          <w:color w:val="auto"/>
        </w:rPr>
        <w:t>For the purpose of achieving each Performance Objective (whether for a Water Utility Peer Company or a S&amp;P Utility Peer Company), the total shareholder return (“TSR”) shall be determined pursuant to the following formula:</w:t>
      </w:r>
    </w:p>
    <w:p>
      <w:pPr>
        <w:spacing w:after="0" w:line="1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 xml:space="preserve">TSR =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19"/>
          <w:szCs w:val="19"/>
          <w:u w:val="single" w:color="auto"/>
          <w:color w:val="auto"/>
        </w:rPr>
        <w:t>Ending Stock Price – Beginning Stock Price ) + Reinvested Dividends</w:t>
      </w:r>
    </w:p>
    <w:p>
      <w:pPr>
        <w:spacing w:after="0" w:line="19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Beginning Stock Price</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Where:</w:t>
      </w:r>
    </w:p>
    <w:p>
      <w:pPr>
        <w:spacing w:after="0" w:line="233" w:lineRule="exact"/>
        <w:rPr>
          <w:sz w:val="20"/>
          <w:szCs w:val="20"/>
          <w:color w:val="auto"/>
        </w:rPr>
      </w:pPr>
    </w:p>
    <w:p>
      <w:pPr>
        <w:ind w:right="600" w:firstLine="846"/>
        <w:spacing w:after="0" w:line="282" w:lineRule="auto"/>
        <w:rPr>
          <w:sz w:val="20"/>
          <w:szCs w:val="20"/>
          <w:color w:val="auto"/>
        </w:rPr>
      </w:pPr>
      <w:r>
        <w:rPr>
          <w:rFonts w:ascii="Times New Roman" w:cs="Times New Roman" w:eastAsia="Times New Roman" w:hAnsi="Times New Roman"/>
          <w:sz w:val="20"/>
          <w:szCs w:val="20"/>
          <w:color w:val="auto"/>
        </w:rPr>
        <w:t xml:space="preserve">“Ending Stock Price” is the average daily closing price per share of the Common Stock </w:t>
      </w:r>
      <w:r>
        <w:rPr>
          <w:rFonts w:ascii="Times New Roman" w:cs="Times New Roman" w:eastAsia="Times New Roman" w:hAnsi="Times New Roman"/>
          <w:sz w:val="21"/>
          <w:szCs w:val="21"/>
          <w:color w:val="auto"/>
        </w:rPr>
        <w:t>calculated</w:t>
      </w:r>
      <w:r>
        <w:rPr>
          <w:rFonts w:ascii="Times New Roman" w:cs="Times New Roman" w:eastAsia="Times New Roman" w:hAnsi="Times New Roman"/>
          <w:sz w:val="20"/>
          <w:szCs w:val="20"/>
          <w:color w:val="auto"/>
        </w:rPr>
        <w:t xml:space="preserve"> for the last twenty (20) consecutive trading days within the Measurement </w:t>
      </w:r>
      <w:r>
        <w:rPr>
          <w:rFonts w:ascii="Times New Roman" w:cs="Times New Roman" w:eastAsia="Times New Roman" w:hAnsi="Times New Roman"/>
          <w:sz w:val="21"/>
          <w:szCs w:val="21"/>
          <w:color w:val="auto"/>
        </w:rPr>
        <w:t>Period;</w:t>
      </w:r>
    </w:p>
    <w:p>
      <w:pPr>
        <w:spacing w:after="0" w:line="166" w:lineRule="exact"/>
        <w:rPr>
          <w:sz w:val="20"/>
          <w:szCs w:val="20"/>
          <w:color w:val="auto"/>
        </w:rPr>
      </w:pPr>
    </w:p>
    <w:p>
      <w:pPr>
        <w:ind w:firstLine="845"/>
        <w:spacing w:after="0" w:line="255" w:lineRule="auto"/>
        <w:rPr>
          <w:sz w:val="20"/>
          <w:szCs w:val="20"/>
          <w:color w:val="auto"/>
        </w:rPr>
      </w:pPr>
      <w:r>
        <w:rPr>
          <w:rFonts w:ascii="Times New Roman" w:cs="Times New Roman" w:eastAsia="Times New Roman" w:hAnsi="Times New Roman"/>
          <w:sz w:val="20"/>
          <w:szCs w:val="20"/>
          <w:color w:val="auto"/>
        </w:rPr>
        <w:t>“Beginning Stock Price” is the average daily closing price per share of the Common Stock calculated for the last twenty (20) consecutive trading days immediately preceding the commencement of the Measurement Period; and</w:t>
      </w:r>
    </w:p>
    <w:p>
      <w:pPr>
        <w:sectPr>
          <w:pgSz w:w="11900" w:h="16838" w:orient="portrait"/>
          <w:cols w:equalWidth="0" w:num="1">
            <w:col w:w="11240"/>
          </w:cols>
          <w:pgMar w:left="320" w:top="1404" w:right="339" w:bottom="1440" w:gutter="0" w:footer="0" w:header="0"/>
        </w:sectPr>
      </w:pPr>
    </w:p>
    <w:bookmarkStart w:id="126" w:name="page127"/>
    <w:bookmarkEnd w:id="126"/>
    <w:p>
      <w:pPr>
        <w:jc w:val="both"/>
        <w:ind w:firstLine="845"/>
        <w:spacing w:after="0" w:line="247" w:lineRule="auto"/>
        <w:rPr>
          <w:sz w:val="20"/>
          <w:szCs w:val="20"/>
          <w:color w:val="auto"/>
        </w:rPr>
      </w:pPr>
      <w:r>
        <w:rPr>
          <w:rFonts w:ascii="Times New Roman" w:cs="Times New Roman" w:eastAsia="Times New Roman" w:hAnsi="Times New Roman"/>
          <w:sz w:val="20"/>
          <w:szCs w:val="20"/>
          <w:color w:val="auto"/>
        </w:rPr>
        <w:t xml:space="preserve">“Reinvested Dividends” shall be calculated by multiplying (i) the aggregate number of shares (including fractional shares) that could have been purchased during the Measurement Period had each </w:t>
      </w:r>
      <w:r>
        <w:rPr>
          <w:rFonts w:ascii="Times New Roman" w:cs="Times New Roman" w:eastAsia="Times New Roman" w:hAnsi="Times New Roman"/>
          <w:sz w:val="21"/>
          <w:szCs w:val="21"/>
          <w:color w:val="auto"/>
        </w:rPr>
        <w:t>cash</w:t>
      </w:r>
      <w:r>
        <w:rPr>
          <w:rFonts w:ascii="Times New Roman" w:cs="Times New Roman" w:eastAsia="Times New Roman" w:hAnsi="Times New Roman"/>
          <w:sz w:val="20"/>
          <w:szCs w:val="20"/>
          <w:color w:val="auto"/>
        </w:rPr>
        <w:t xml:space="preserve"> dividend paid on a single share during that period been immediately reinvested in additional shares (or fractional shares) at the closing selling price per share of the Common Stock on the applicable dividend payment date by (ii) the average daily closing price per share calculated for the last twenty (20) consecutive trading days within the Measurement Period.</w:t>
      </w:r>
    </w:p>
    <w:p>
      <w:pPr>
        <w:spacing w:after="0" w:line="209" w:lineRule="exact"/>
        <w:rPr>
          <w:sz w:val="20"/>
          <w:szCs w:val="20"/>
          <w:color w:val="auto"/>
        </w:rPr>
      </w:pPr>
    </w:p>
    <w:p>
      <w:pPr>
        <w:jc w:val="both"/>
        <w:ind w:right="20" w:firstLine="845"/>
        <w:spacing w:after="0" w:line="251" w:lineRule="auto"/>
        <w:rPr>
          <w:sz w:val="20"/>
          <w:szCs w:val="20"/>
          <w:color w:val="auto"/>
        </w:rPr>
      </w:pPr>
      <w:r>
        <w:rPr>
          <w:rFonts w:ascii="Times New Roman" w:cs="Times New Roman" w:eastAsia="Times New Roman" w:hAnsi="Times New Roman"/>
          <w:sz w:val="20"/>
          <w:szCs w:val="20"/>
          <w:color w:val="auto"/>
        </w:rPr>
        <w:t xml:space="preserve">Each of the foregoing amounts shall be equitably adjusted for stock splits, stock dividends, recapitalizations and other similar events affecting the shares in question without the issuer’s receipt of </w:t>
      </w:r>
      <w:r>
        <w:rPr>
          <w:rFonts w:ascii="Times New Roman" w:cs="Times New Roman" w:eastAsia="Times New Roman" w:hAnsi="Times New Roman"/>
          <w:sz w:val="21"/>
          <w:szCs w:val="21"/>
          <w:color w:val="auto"/>
        </w:rPr>
        <w:t>consideration.</w:t>
      </w:r>
    </w:p>
    <w:p>
      <w:pPr>
        <w:spacing w:after="0" w:line="1" w:lineRule="exact"/>
        <w:rPr>
          <w:sz w:val="20"/>
          <w:szCs w:val="20"/>
          <w:color w:val="auto"/>
        </w:rPr>
      </w:pPr>
    </w:p>
    <w:p>
      <w:pPr>
        <w:jc w:val="both"/>
        <w:ind w:firstLine="845"/>
        <w:spacing w:after="0" w:line="246" w:lineRule="auto"/>
        <w:rPr>
          <w:sz w:val="20"/>
          <w:szCs w:val="20"/>
          <w:color w:val="auto"/>
        </w:rPr>
      </w:pPr>
      <w:r>
        <w:rPr>
          <w:rFonts w:ascii="Times New Roman" w:cs="Times New Roman" w:eastAsia="Times New Roman" w:hAnsi="Times New Roman"/>
          <w:sz w:val="20"/>
          <w:szCs w:val="20"/>
          <w:color w:val="auto"/>
        </w:rPr>
        <w:t>For each Peer Company, the TSR with respect to its common stock shall be calculated in the same manner as for the Corporation’s Common Stock.</w:t>
      </w:r>
    </w:p>
    <w:p>
      <w:pPr>
        <w:spacing w:after="0" w:line="196" w:lineRule="exact"/>
        <w:rPr>
          <w:sz w:val="20"/>
          <w:szCs w:val="20"/>
          <w:color w:val="auto"/>
        </w:rPr>
      </w:pPr>
    </w:p>
    <w:p>
      <w:pPr>
        <w:jc w:val="both"/>
        <w:ind w:firstLine="845"/>
        <w:spacing w:after="0" w:line="269" w:lineRule="auto"/>
        <w:rPr>
          <w:sz w:val="20"/>
          <w:szCs w:val="20"/>
          <w:color w:val="auto"/>
        </w:rPr>
      </w:pPr>
      <w:r>
        <w:rPr>
          <w:rFonts w:ascii="Times New Roman" w:cs="Times New Roman" w:eastAsia="Times New Roman" w:hAnsi="Times New Roman"/>
          <w:sz w:val="20"/>
          <w:szCs w:val="20"/>
          <w:color w:val="auto"/>
        </w:rPr>
        <w:t>In addition, the following parameters shall be in effect for purposes of measuring the total shareholder return for the Corporation and each Peer Company:</w:t>
      </w:r>
    </w:p>
    <w:p>
      <w:pPr>
        <w:spacing w:after="0" w:line="173" w:lineRule="exact"/>
        <w:rPr>
          <w:sz w:val="20"/>
          <w:szCs w:val="20"/>
          <w:color w:val="auto"/>
        </w:rPr>
      </w:pPr>
    </w:p>
    <w:p>
      <w:pPr>
        <w:jc w:val="both"/>
        <w:ind w:firstLine="818"/>
        <w:spacing w:after="0" w:line="253" w:lineRule="auto"/>
        <w:tabs>
          <w:tab w:leader="none" w:pos="129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distribution (other than a regular cash dividend), whether in cash, securities (other than shares of the distributing company’s common stock) or other property, made during the Measurement Period by a company shall be treated in the same manner as a regular cash dividend paid by such distributing company (in an amount per share of the distributing company’s common stock deemed equal to the cash amount or the fair market value of the securities or other property distributed per share of the distributing company’s common stock) that is immediately reinvested in the distributing company’s common stock; and</w:t>
      </w:r>
    </w:p>
    <w:p>
      <w:pPr>
        <w:spacing w:after="0" w:line="218" w:lineRule="exact"/>
        <w:rPr>
          <w:rFonts w:ascii="Times New Roman" w:cs="Times New Roman" w:eastAsia="Times New Roman" w:hAnsi="Times New Roman"/>
          <w:sz w:val="20"/>
          <w:szCs w:val="20"/>
          <w:color w:val="auto"/>
        </w:rPr>
      </w:pPr>
    </w:p>
    <w:p>
      <w:pPr>
        <w:jc w:val="both"/>
        <w:ind w:firstLine="818"/>
        <w:spacing w:after="0" w:line="250" w:lineRule="auto"/>
        <w:tabs>
          <w:tab w:leader="none" w:pos="1293"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spin-off distribution of shares of the common stock of one or more subsidiaries or other affiliated entities that is made during the Measurement Period by a company shall be treated in the same manner as a regular cash dividend paid by that distributing company (in an amount per share of the distributing company’s common stock deemed equal to the fair market value of the common stock (or fractional share thereof) of the spun-off entity distributed per share of the distributing company’s common stock) that is immediately reinvested in the distributing company’s common stock.</w:t>
      </w:r>
    </w:p>
    <w:p>
      <w:pPr>
        <w:spacing w:after="0" w:line="206" w:lineRule="exact"/>
        <w:rPr>
          <w:sz w:val="20"/>
          <w:szCs w:val="20"/>
          <w:color w:val="auto"/>
        </w:rPr>
      </w:pPr>
    </w:p>
    <w:p>
      <w:pPr>
        <w:jc w:val="both"/>
        <w:ind w:firstLine="845"/>
        <w:spacing w:after="0" w:line="247" w:lineRule="auto"/>
        <w:rPr>
          <w:sz w:val="20"/>
          <w:szCs w:val="20"/>
          <w:color w:val="auto"/>
        </w:rPr>
      </w:pPr>
      <w:r>
        <w:rPr>
          <w:rFonts w:ascii="Times New Roman" w:cs="Times New Roman" w:eastAsia="Times New Roman" w:hAnsi="Times New Roman"/>
          <w:sz w:val="20"/>
          <w:szCs w:val="20"/>
          <w:color w:val="auto"/>
        </w:rPr>
        <w:t xml:space="preserve">Should a Change in Control of the Corporation occur during the Measurement Period, then the number of Performance Qualified Shares shall be determined in accordance with the applicable Change in Control provisions of Paragraph 5 of this Agreement. Should a Peer Company be acquired or otherwise cease to exist as an independent publicly-owned entity during the Measurement Period, the “Ending Stock Price” for such Peer Company shall be equal to the final closing sale price for the last day on which the Peer Company is publicly traded; </w:t>
      </w:r>
      <w:r>
        <w:rPr>
          <w:rFonts w:ascii="Times New Roman" w:cs="Times New Roman" w:eastAsia="Times New Roman" w:hAnsi="Times New Roman"/>
          <w:sz w:val="21"/>
          <w:szCs w:val="21"/>
          <w:b w:val="1"/>
          <w:bCs w:val="1"/>
          <w:i w:val="1"/>
          <w:iCs w:val="1"/>
          <w:color w:val="auto"/>
        </w:rPr>
        <w:t>provided, however, that</w:t>
      </w:r>
      <w:r>
        <w:rPr>
          <w:rFonts w:ascii="Times New Roman" w:cs="Times New Roman" w:eastAsia="Times New Roman" w:hAnsi="Times New Roman"/>
          <w:sz w:val="20"/>
          <w:szCs w:val="20"/>
          <w:color w:val="auto"/>
        </w:rPr>
        <w:t xml:space="preserve"> in the event of any such acquisition or cessation that occurs in the last month of the Measurement Period, the “Ending Stock Price” used for purposes of calculating such Peer Company’s TSR shall be the average daily closing price per share of the Peer Company’s common stock calculated for the last twenty (20) consecutive trading days prior to the acquisition of the Peer Company or it ceasing to exist as an independent publicly-owned entity.</w:t>
      </w:r>
    </w:p>
    <w:p>
      <w:pPr>
        <w:spacing w:after="0" w:line="19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Water Utility Peer Companies:</w:t>
      </w:r>
    </w:p>
    <w:p>
      <w:pPr>
        <w:spacing w:after="0" w:line="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American States Water</w:t>
      </w:r>
    </w:p>
    <w:p>
      <w:pPr>
        <w:ind w:left="860"/>
        <w:spacing w:after="0"/>
        <w:rPr>
          <w:sz w:val="20"/>
          <w:szCs w:val="20"/>
          <w:color w:val="auto"/>
        </w:rPr>
      </w:pPr>
      <w:r>
        <w:rPr>
          <w:rFonts w:ascii="Times New Roman" w:cs="Times New Roman" w:eastAsia="Times New Roman" w:hAnsi="Times New Roman"/>
          <w:sz w:val="20"/>
          <w:szCs w:val="20"/>
          <w:color w:val="auto"/>
        </w:rPr>
        <w:t>America Water Works</w:t>
      </w:r>
    </w:p>
    <w:p>
      <w:pPr>
        <w:ind w:left="860"/>
        <w:spacing w:after="0" w:line="225" w:lineRule="auto"/>
        <w:rPr>
          <w:sz w:val="20"/>
          <w:szCs w:val="20"/>
          <w:color w:val="auto"/>
        </w:rPr>
      </w:pPr>
      <w:r>
        <w:rPr>
          <w:rFonts w:ascii="Times New Roman" w:cs="Times New Roman" w:eastAsia="Times New Roman" w:hAnsi="Times New Roman"/>
          <w:sz w:val="20"/>
          <w:szCs w:val="20"/>
          <w:color w:val="auto"/>
        </w:rPr>
        <w:t>Essential Utilities</w:t>
      </w:r>
    </w:p>
    <w:p>
      <w:pPr>
        <w:ind w:left="860"/>
        <w:spacing w:after="0"/>
        <w:rPr>
          <w:sz w:val="20"/>
          <w:szCs w:val="20"/>
          <w:color w:val="auto"/>
        </w:rPr>
      </w:pPr>
      <w:r>
        <w:rPr>
          <w:rFonts w:ascii="Times New Roman" w:cs="Times New Roman" w:eastAsia="Times New Roman" w:hAnsi="Times New Roman"/>
          <w:sz w:val="20"/>
          <w:szCs w:val="20"/>
          <w:color w:val="auto"/>
        </w:rPr>
        <w:t>Artesian Resources</w:t>
      </w:r>
    </w:p>
    <w:p>
      <w:pPr>
        <w:ind w:left="860"/>
        <w:spacing w:after="0"/>
        <w:rPr>
          <w:sz w:val="20"/>
          <w:szCs w:val="20"/>
          <w:color w:val="auto"/>
        </w:rPr>
      </w:pPr>
      <w:r>
        <w:rPr>
          <w:rFonts w:ascii="Times New Roman" w:cs="Times New Roman" w:eastAsia="Times New Roman" w:hAnsi="Times New Roman"/>
          <w:sz w:val="20"/>
          <w:szCs w:val="20"/>
          <w:color w:val="auto"/>
        </w:rPr>
        <w:t>California Water Service</w:t>
      </w:r>
    </w:p>
    <w:p>
      <w:pPr>
        <w:ind w:left="860"/>
        <w:spacing w:after="0" w:line="236" w:lineRule="auto"/>
        <w:rPr>
          <w:sz w:val="20"/>
          <w:szCs w:val="20"/>
          <w:color w:val="auto"/>
        </w:rPr>
      </w:pPr>
      <w:r>
        <w:rPr>
          <w:rFonts w:ascii="Times New Roman" w:cs="Times New Roman" w:eastAsia="Times New Roman" w:hAnsi="Times New Roman"/>
          <w:sz w:val="20"/>
          <w:szCs w:val="20"/>
          <w:color w:val="auto"/>
        </w:rPr>
        <w:t>Middlesex Water</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 xml:space="preserve">York Water </w:t>
      </w:r>
      <w:r>
        <w:rPr>
          <w:rFonts w:ascii="Times New Roman" w:cs="Times New Roman" w:eastAsia="Times New Roman" w:hAnsi="Times New Roman"/>
          <w:sz w:val="21"/>
          <w:szCs w:val="21"/>
          <w:color w:val="auto"/>
        </w:rPr>
        <w:t>Co.</w:t>
      </w:r>
    </w:p>
    <w:p>
      <w:pPr>
        <w:sectPr>
          <w:pgSz w:w="11900" w:h="16838" w:orient="portrait"/>
          <w:cols w:equalWidth="0" w:num="1">
            <w:col w:w="11240"/>
          </w:cols>
          <w:pgMar w:left="320" w:top="1426" w:right="339" w:bottom="1440" w:gutter="0" w:footer="0" w:header="0"/>
        </w:sectPr>
      </w:pPr>
    </w:p>
    <w:bookmarkStart w:id="127" w:name="page128"/>
    <w:bookmarkEnd w:id="127"/>
    <w:p>
      <w:pPr>
        <w:spacing w:after="0" w:line="20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b w:val="1"/>
          <w:bCs w:val="1"/>
          <w:color w:val="auto"/>
        </w:rPr>
        <w:t>S&amp;P Utility Peer Companies</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440" w:right="339" w:bottom="1440" w:gutter="0" w:footer="0" w:header="0"/>
        </w:sectPr>
      </w:pP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ALLETE, Inc. (ALE)</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American States Water Company (AWR)</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Avista Corporation (AVA)</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Black Hills Corporation (BKH)</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California Water Service Group (CWT)</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Chesapeake Utilities Corporation (CPK)</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Clearway Energy, Inc. (CWEN)</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Essential Utilities, Inc. (WTRG)</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IDACORP, Inc. (IDA)</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MDU Resources Group, Inc. (MDU)</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MGE Energy, Inc. (MGEE)</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Middlesex Water Company (MSEX)</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National Fuel Gas Company (NFG)</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Jersey Resources Corporation (NJR)</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Northwest Natural Holding Company (NWN)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NorthWestern Energy Group, Inc. (NWE)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OGE Energy Corp. (OGE)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ONE Gas, Inc. (OGS)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Ormat Technologies, Inc. (ORA)</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Otter Tail Corporation (OTTR)</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Portland General Electric Company (POR)</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Southwest Gas Holdings, Inc. (SWX)</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Spire Inc. (SR)</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TXNM Energy, Inc. (TXNM)</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UGI Corporation (UGI)</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Unitil Corporation (UTL)</w:t>
      </w:r>
    </w:p>
    <w:p>
      <w:pPr>
        <w:spacing w:after="0" w:line="200" w:lineRule="exact"/>
        <w:rPr>
          <w:sz w:val="20"/>
          <w:szCs w:val="20"/>
          <w:color w:val="auto"/>
        </w:rPr>
      </w:pPr>
    </w:p>
    <w:p>
      <w:pPr>
        <w:sectPr>
          <w:pgSz w:w="11900" w:h="16838" w:orient="portrait"/>
          <w:cols w:equalWidth="0" w:num="2">
            <w:col w:w="4260" w:space="720"/>
            <w:col w:w="6260"/>
          </w:cols>
          <w:pgMar w:left="320" w:top="1440" w:right="339" w:bottom="1440" w:gutter="0" w:footer="0" w:header="0"/>
          <w:type w:val="continuous"/>
        </w:sectPr>
      </w:pP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DETERMINING </w:t>
      </w:r>
      <w:r>
        <w:rPr>
          <w:rFonts w:ascii="Times New Roman" w:cs="Times New Roman" w:eastAsia="Times New Roman" w:hAnsi="Times New Roman"/>
          <w:sz w:val="21"/>
          <w:szCs w:val="21"/>
          <w:b w:val="1"/>
          <w:bCs w:val="1"/>
          <w:i w:val="1"/>
          <w:iCs w:val="1"/>
          <w:color w:val="auto"/>
        </w:rPr>
        <w:t>NUMBER OF PERFORMANCE-QUALIFIED SHARES BASED</w:t>
      </w:r>
    </w:p>
    <w:p>
      <w:pPr>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ON </w:t>
      </w:r>
      <w:r>
        <w:rPr>
          <w:rFonts w:ascii="Times New Roman" w:cs="Times New Roman" w:eastAsia="Times New Roman" w:hAnsi="Times New Roman"/>
          <w:sz w:val="19"/>
          <w:szCs w:val="19"/>
          <w:b w:val="1"/>
          <w:bCs w:val="1"/>
          <w:i w:val="1"/>
          <w:iCs w:val="1"/>
          <w:color w:val="auto"/>
        </w:rPr>
        <w:t>ATTAINED LEVELS OF PERFORMANCE OBJECTIVE</w:t>
      </w:r>
    </w:p>
    <w:p>
      <w:pPr>
        <w:spacing w:after="0" w:line="214" w:lineRule="exact"/>
        <w:rPr>
          <w:sz w:val="20"/>
          <w:szCs w:val="20"/>
          <w:color w:val="auto"/>
        </w:rPr>
      </w:pPr>
    </w:p>
    <w:p>
      <w:pPr>
        <w:jc w:val="both"/>
        <w:ind w:firstLine="846"/>
        <w:spacing w:after="0" w:line="265" w:lineRule="auto"/>
        <w:rPr>
          <w:sz w:val="20"/>
          <w:szCs w:val="20"/>
          <w:color w:val="auto"/>
        </w:rPr>
      </w:pPr>
      <w:r>
        <w:rPr>
          <w:rFonts w:ascii="Times New Roman" w:cs="Times New Roman" w:eastAsia="Times New Roman" w:hAnsi="Times New Roman"/>
          <w:sz w:val="19"/>
          <w:szCs w:val="19"/>
          <w:color w:val="auto"/>
        </w:rPr>
        <w:t xml:space="preserve">No later than the last business day of February in the calendar year immediately following the completion of the Measurement Period, the Plan Administrator shall determine and certify the actual level at which the Performance Objective is attained with respect to Tranche One and Tranche Two. The actual number of shares of Common Stock which shall vest and become issuable pursuant to each tranche of the Award as a result of such certification (the “Performance-Qualified Shares”) may range from 0% to 200% of the Target Shares allocated to that tranche (except to the extent otherwise provided pursuant to the provisions of Paragraph 5 of this Agreement). The actual percentage for each tranche shall be determined based on the ranking of the Corporation’s TSR relative to the TSR realized for that period by the applicable Peer Companies for that tranche, in each case, as certified by the Plan Administrator; </w:t>
      </w:r>
      <w:r>
        <w:rPr>
          <w:rFonts w:ascii="Times New Roman" w:cs="Times New Roman" w:eastAsia="Times New Roman" w:hAnsi="Times New Roman"/>
          <w:sz w:val="20"/>
          <w:szCs w:val="20"/>
          <w:b w:val="1"/>
          <w:bCs w:val="1"/>
          <w:i w:val="1"/>
          <w:iCs w:val="1"/>
          <w:color w:val="auto"/>
        </w:rPr>
        <w:t>provided, however</w:t>
      </w:r>
      <w:r>
        <w:rPr>
          <w:rFonts w:ascii="Times New Roman" w:cs="Times New Roman" w:eastAsia="Times New Roman" w:hAnsi="Times New Roman"/>
          <w:sz w:val="19"/>
          <w:szCs w:val="19"/>
          <w:color w:val="auto"/>
        </w:rPr>
        <w:t>, that the maximum number of shares of Common Stock that may qualify as Performance-Qualified Shares may not exceed 200% of the Target Shares.</w:t>
      </w:r>
    </w:p>
    <w:p>
      <w:pPr>
        <w:spacing w:after="0" w:line="190" w:lineRule="exact"/>
        <w:rPr>
          <w:sz w:val="20"/>
          <w:szCs w:val="20"/>
          <w:color w:val="auto"/>
        </w:rPr>
      </w:pPr>
    </w:p>
    <w:p>
      <w:pPr>
        <w:jc w:val="both"/>
        <w:ind w:right="20" w:firstLine="846"/>
        <w:spacing w:after="0" w:line="255" w:lineRule="auto"/>
        <w:rPr>
          <w:sz w:val="20"/>
          <w:szCs w:val="20"/>
          <w:color w:val="auto"/>
        </w:rPr>
      </w:pPr>
      <w:r>
        <w:rPr>
          <w:rFonts w:ascii="Times New Roman" w:cs="Times New Roman" w:eastAsia="Times New Roman" w:hAnsi="Times New Roman"/>
          <w:sz w:val="20"/>
          <w:szCs w:val="20"/>
          <w:color w:val="auto"/>
        </w:rPr>
        <w:t>For purposes of Tranche One and Tranche Two, the number of Performance-Qualified Shares underlying each tranche earned will be calculated as follows:</w:t>
      </w:r>
    </w:p>
    <w:p>
      <w:pPr>
        <w:spacing w:after="0" w:line="21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FIRST: For the Corporation and for each Peer Company for that tranche, determine the TSR for the Measurement Period.</w:t>
      </w:r>
    </w:p>
    <w:p>
      <w:pPr>
        <w:spacing w:after="0" w:line="243" w:lineRule="exact"/>
        <w:rPr>
          <w:sz w:val="20"/>
          <w:szCs w:val="20"/>
          <w:color w:val="auto"/>
        </w:rPr>
      </w:pPr>
    </w:p>
    <w:p>
      <w:pPr>
        <w:jc w:val="both"/>
        <w:ind w:firstLine="845"/>
        <w:spacing w:after="0" w:line="261" w:lineRule="auto"/>
        <w:rPr>
          <w:sz w:val="20"/>
          <w:szCs w:val="20"/>
          <w:color w:val="auto"/>
        </w:rPr>
      </w:pPr>
      <w:r>
        <w:rPr>
          <w:rFonts w:ascii="Times New Roman" w:cs="Times New Roman" w:eastAsia="Times New Roman" w:hAnsi="Times New Roman"/>
          <w:sz w:val="20"/>
          <w:szCs w:val="20"/>
          <w:color w:val="auto"/>
        </w:rPr>
        <w:t>SECOND: Rank the TSR values determined in the first step from high to low (with the company having the highest TSR being ranked number 1, the company with the second highest TSR ranked number 2, and so on). In the event that the Corporation’s TSR equals the TSR of any other Peer Company within the applicable tranche, the Corporation shall be given the higher TSR ranking.</w:t>
      </w:r>
    </w:p>
    <w:p>
      <w:pPr>
        <w:spacing w:after="0" w:line="20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THIRD: For each tranche, use the rank for the Corporation determined in the second step and determine the number of shares</w:t>
      </w:r>
    </w:p>
    <w:p>
      <w:pPr>
        <w:spacing w:after="0" w:line="2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earned as a percent of target, which is the figure in the right-hand column of the appropriate table below corresponding to that rank. For example, if the Corporation’s rank is 4 relative to the Water Utility Peer Companies, then 125% of target shares would be earned, and if the</w:t>
      </w:r>
    </w:p>
    <w:p>
      <w:pPr>
        <w:sectPr>
          <w:pgSz w:w="11900" w:h="16838" w:orient="portrait"/>
          <w:cols w:equalWidth="0" w:num="1">
            <w:col w:w="11240"/>
          </w:cols>
          <w:pgMar w:left="320" w:top="1440" w:right="339" w:bottom="144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19"/>
          <w:szCs w:val="19"/>
          <w:color w:val="auto"/>
        </w:rPr>
        <w:t xml:space="preserve">Corporation’s rank is 14 relative to the S&amp;P Utility Peer Companies, then 100% of target shares would be </w:t>
      </w:r>
      <w:r>
        <w:rPr>
          <w:rFonts w:ascii="Times New Roman" w:cs="Times New Roman" w:eastAsia="Times New Roman" w:hAnsi="Times New Roman"/>
          <w:sz w:val="20"/>
          <w:szCs w:val="20"/>
          <w:color w:val="auto"/>
        </w:rPr>
        <w:t>earned.</w:t>
      </w:r>
    </w:p>
    <w:p>
      <w:pPr>
        <w:sectPr>
          <w:pgSz w:w="11900" w:h="16838" w:orient="portrait"/>
          <w:cols w:equalWidth="0" w:num="1">
            <w:col w:w="10139"/>
          </w:cols>
          <w:pgMar w:left="320" w:top="1408" w:right="1440" w:bottom="1440" w:gutter="0" w:footer="0" w:header="0"/>
        </w:sectPr>
      </w:pPr>
    </w:p>
    <w:p>
      <w:pPr>
        <w:spacing w:after="0" w:line="30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TSR Performance Relative to Water Utility Peer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-157480</wp:posOffset>
            </wp:positionV>
            <wp:extent cx="4166235" cy="18942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8">
                      <a:extLst>
                        <a:ext uri="{28A0092B-C50C-407E-A947-70E740481C1C}"/>
                      </a:extLst>
                    </a:blip>
                    <a:srcRect/>
                    <a:stretch>
                      <a:fillRect/>
                    </a:stretch>
                  </pic:blipFill>
                  <pic:spPr bwMode="auto">
                    <a:xfrm>
                      <a:off x="0" y="0"/>
                      <a:ext cx="4166235" cy="1894205"/>
                    </a:xfrm>
                    <a:prstGeom prst="rect">
                      <a:avLst/>
                    </a:prstGeom>
                    <a:noFill/>
                  </pic:spPr>
                </pic:pic>
              </a:graphicData>
            </a:graphic>
          </wp:anchor>
        </w:drawing>
      </w:r>
    </w:p>
    <w:p>
      <w:pPr>
        <w:spacing w:after="0" w:line="13" w:lineRule="exact"/>
        <w:rPr>
          <w:sz w:val="20"/>
          <w:szCs w:val="20"/>
          <w:color w:val="auto"/>
        </w:rPr>
      </w:pPr>
    </w:p>
    <w:tbl>
      <w:tblPr>
        <w:tblLayout w:type="fixed"/>
        <w:tblInd w:w="1310" w:type="dxa"/>
        <w:tblCellMar>
          <w:top w:w="0" w:type="dxa"/>
          <w:left w:w="0" w:type="dxa"/>
          <w:bottom w:w="0" w:type="dxa"/>
          <w:right w:w="0" w:type="dxa"/>
        </w:tblCellMar>
      </w:tblPr>
      <w:tr>
        <w:trPr>
          <w:trHeight w:val="292"/>
        </w:trPr>
        <w:tc>
          <w:tcPr>
            <w:tcW w:w="3300" w:type="dxa"/>
            <w:vAlign w:val="bottom"/>
            <w:tcBorders>
              <w:top w:val="single" w:sz="8" w:color="auto"/>
              <w:left w:val="single" w:sz="8" w:color="BFBFBF"/>
              <w:bottom w:val="single" w:sz="8" w:color="auto"/>
              <w:right w:val="single" w:sz="8" w:color="auto"/>
            </w:tcBorders>
            <w:shd w:val="clear" w:color="auto" w:fill="BFBFBF"/>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TSR Ranking</w:t>
            </w:r>
          </w:p>
        </w:tc>
        <w:tc>
          <w:tcPr>
            <w:tcW w:w="3260" w:type="dxa"/>
            <w:vAlign w:val="bottom"/>
            <w:tcBorders>
              <w:top w:val="single" w:sz="8" w:color="auto"/>
              <w:bottom w:val="single" w:sz="8" w:color="auto"/>
            </w:tcBorders>
            <w:shd w:val="clear" w:color="auto" w:fill="BFBFBF"/>
          </w:tcPr>
          <w:p>
            <w:pPr>
              <w:ind w:left="1020"/>
              <w:spacing w:after="0"/>
              <w:rPr>
                <w:sz w:val="20"/>
                <w:szCs w:val="20"/>
                <w:color w:val="auto"/>
              </w:rPr>
            </w:pPr>
            <w:r>
              <w:rPr>
                <w:rFonts w:ascii="Times New Roman" w:cs="Times New Roman" w:eastAsia="Times New Roman" w:hAnsi="Times New Roman"/>
                <w:sz w:val="22"/>
                <w:szCs w:val="22"/>
                <w:b w:val="1"/>
                <w:bCs w:val="1"/>
                <w:color w:val="auto"/>
              </w:rPr>
              <w:t>% of Target Shares</w:t>
            </w:r>
          </w:p>
        </w:tc>
        <w:tc>
          <w:tcPr>
            <w:tcW w:w="20" w:type="dxa"/>
            <w:vAlign w:val="bottom"/>
            <w:tcBorders>
              <w:top w:val="single" w:sz="8" w:color="auto"/>
              <w:bottom w:val="single" w:sz="8" w:color="auto"/>
            </w:tcBorders>
          </w:tcPr>
          <w:p>
            <w:pPr>
              <w:spacing w:after="0"/>
              <w:rPr>
                <w:sz w:val="24"/>
                <w:szCs w:val="24"/>
                <w:color w:val="auto"/>
              </w:rPr>
            </w:pPr>
          </w:p>
        </w:tc>
      </w:tr>
      <w:tr>
        <w:trPr>
          <w:trHeight w:val="276"/>
        </w:trPr>
        <w:tc>
          <w:tcPr>
            <w:tcW w:w="3300" w:type="dxa"/>
            <w:vAlign w:val="bottom"/>
            <w:tcBorders>
              <w:bottom w:val="single" w:sz="8" w:color="auto"/>
              <w:right w:val="single" w:sz="8" w:color="auto"/>
            </w:tcBorders>
          </w:tcPr>
          <w:p>
            <w:pPr>
              <w:jc w:val="right"/>
              <w:ind w:right="1492"/>
              <w:spacing w:after="0"/>
              <w:rPr>
                <w:sz w:val="20"/>
                <w:szCs w:val="20"/>
                <w:color w:val="auto"/>
              </w:rPr>
            </w:pPr>
            <w:r>
              <w:rPr>
                <w:rFonts w:ascii="Times New Roman" w:cs="Times New Roman" w:eastAsia="Times New Roman" w:hAnsi="Times New Roman"/>
                <w:sz w:val="22"/>
                <w:szCs w:val="22"/>
                <w:color w:val="auto"/>
              </w:rPr>
              <w:t>1</w:t>
            </w:r>
          </w:p>
        </w:tc>
        <w:tc>
          <w:tcPr>
            <w:tcW w:w="326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22"/>
                <w:szCs w:val="22"/>
                <w:color w:val="auto"/>
              </w:rPr>
              <w:t>200%</w:t>
            </w:r>
          </w:p>
        </w:tc>
        <w:tc>
          <w:tcPr>
            <w:tcW w:w="20" w:type="dxa"/>
            <w:vAlign w:val="bottom"/>
            <w:tcBorders>
              <w:bottom w:val="single" w:sz="8" w:color="auto"/>
            </w:tcBorders>
          </w:tcPr>
          <w:p>
            <w:pPr>
              <w:spacing w:after="0"/>
              <w:rPr>
                <w:sz w:val="24"/>
                <w:szCs w:val="24"/>
                <w:color w:val="auto"/>
              </w:rPr>
            </w:pPr>
          </w:p>
        </w:tc>
      </w:tr>
      <w:tr>
        <w:trPr>
          <w:trHeight w:val="277"/>
        </w:trPr>
        <w:tc>
          <w:tcPr>
            <w:tcW w:w="3300" w:type="dxa"/>
            <w:vAlign w:val="bottom"/>
            <w:tcBorders>
              <w:bottom w:val="single" w:sz="8" w:color="auto"/>
              <w:right w:val="single" w:sz="8" w:color="auto"/>
            </w:tcBorders>
          </w:tcPr>
          <w:p>
            <w:pPr>
              <w:jc w:val="right"/>
              <w:ind w:right="1492"/>
              <w:spacing w:after="0"/>
              <w:rPr>
                <w:sz w:val="20"/>
                <w:szCs w:val="20"/>
                <w:color w:val="auto"/>
              </w:rPr>
            </w:pPr>
            <w:r>
              <w:rPr>
                <w:rFonts w:ascii="Times New Roman" w:cs="Times New Roman" w:eastAsia="Times New Roman" w:hAnsi="Times New Roman"/>
                <w:sz w:val="22"/>
                <w:szCs w:val="22"/>
                <w:color w:val="auto"/>
              </w:rPr>
              <w:t>2</w:t>
            </w:r>
          </w:p>
        </w:tc>
        <w:tc>
          <w:tcPr>
            <w:tcW w:w="326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22"/>
                <w:szCs w:val="22"/>
                <w:color w:val="auto"/>
              </w:rPr>
              <w:t>175%</w:t>
            </w:r>
          </w:p>
        </w:tc>
        <w:tc>
          <w:tcPr>
            <w:tcW w:w="20" w:type="dxa"/>
            <w:vAlign w:val="bottom"/>
            <w:tcBorders>
              <w:bottom w:val="single" w:sz="8" w:color="auto"/>
            </w:tcBorders>
          </w:tcPr>
          <w:p>
            <w:pPr>
              <w:spacing w:after="0"/>
              <w:rPr>
                <w:sz w:val="24"/>
                <w:szCs w:val="24"/>
                <w:color w:val="auto"/>
              </w:rPr>
            </w:pPr>
          </w:p>
        </w:tc>
      </w:tr>
      <w:tr>
        <w:trPr>
          <w:trHeight w:val="277"/>
        </w:trPr>
        <w:tc>
          <w:tcPr>
            <w:tcW w:w="3300" w:type="dxa"/>
            <w:vAlign w:val="bottom"/>
            <w:tcBorders>
              <w:bottom w:val="single" w:sz="8" w:color="auto"/>
              <w:right w:val="single" w:sz="8" w:color="auto"/>
            </w:tcBorders>
          </w:tcPr>
          <w:p>
            <w:pPr>
              <w:jc w:val="right"/>
              <w:ind w:right="1492"/>
              <w:spacing w:after="0"/>
              <w:rPr>
                <w:sz w:val="20"/>
                <w:szCs w:val="20"/>
                <w:color w:val="auto"/>
              </w:rPr>
            </w:pPr>
            <w:r>
              <w:rPr>
                <w:rFonts w:ascii="Times New Roman" w:cs="Times New Roman" w:eastAsia="Times New Roman" w:hAnsi="Times New Roman"/>
                <w:sz w:val="22"/>
                <w:szCs w:val="22"/>
                <w:color w:val="auto"/>
              </w:rPr>
              <w:t>3</w:t>
            </w:r>
          </w:p>
        </w:tc>
        <w:tc>
          <w:tcPr>
            <w:tcW w:w="326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22"/>
                <w:szCs w:val="22"/>
                <w:color w:val="auto"/>
              </w:rPr>
              <w:t>150%</w:t>
            </w:r>
          </w:p>
        </w:tc>
        <w:tc>
          <w:tcPr>
            <w:tcW w:w="20" w:type="dxa"/>
            <w:vAlign w:val="bottom"/>
            <w:tcBorders>
              <w:bottom w:val="single" w:sz="8" w:color="auto"/>
            </w:tcBorders>
          </w:tcPr>
          <w:p>
            <w:pPr>
              <w:spacing w:after="0"/>
              <w:rPr>
                <w:sz w:val="24"/>
                <w:szCs w:val="24"/>
                <w:color w:val="auto"/>
              </w:rPr>
            </w:pPr>
          </w:p>
        </w:tc>
      </w:tr>
      <w:tr>
        <w:trPr>
          <w:trHeight w:val="277"/>
        </w:trPr>
        <w:tc>
          <w:tcPr>
            <w:tcW w:w="3300" w:type="dxa"/>
            <w:vAlign w:val="bottom"/>
            <w:tcBorders>
              <w:bottom w:val="single" w:sz="8" w:color="auto"/>
              <w:right w:val="single" w:sz="8" w:color="auto"/>
            </w:tcBorders>
          </w:tcPr>
          <w:p>
            <w:pPr>
              <w:jc w:val="right"/>
              <w:ind w:right="1492"/>
              <w:spacing w:after="0"/>
              <w:rPr>
                <w:sz w:val="20"/>
                <w:szCs w:val="20"/>
                <w:color w:val="auto"/>
              </w:rPr>
            </w:pPr>
            <w:r>
              <w:rPr>
                <w:rFonts w:ascii="Times New Roman" w:cs="Times New Roman" w:eastAsia="Times New Roman" w:hAnsi="Times New Roman"/>
                <w:sz w:val="22"/>
                <w:szCs w:val="22"/>
                <w:color w:val="auto"/>
              </w:rPr>
              <w:t>4</w:t>
            </w:r>
          </w:p>
        </w:tc>
        <w:tc>
          <w:tcPr>
            <w:tcW w:w="326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22"/>
                <w:szCs w:val="22"/>
                <w:color w:val="auto"/>
              </w:rPr>
              <w:t>125%</w:t>
            </w:r>
          </w:p>
        </w:tc>
        <w:tc>
          <w:tcPr>
            <w:tcW w:w="20" w:type="dxa"/>
            <w:vAlign w:val="bottom"/>
            <w:tcBorders>
              <w:bottom w:val="single" w:sz="8" w:color="auto"/>
            </w:tcBorders>
          </w:tcPr>
          <w:p>
            <w:pPr>
              <w:spacing w:after="0"/>
              <w:rPr>
                <w:sz w:val="24"/>
                <w:szCs w:val="24"/>
                <w:color w:val="auto"/>
              </w:rPr>
            </w:pPr>
          </w:p>
        </w:tc>
      </w:tr>
      <w:tr>
        <w:trPr>
          <w:trHeight w:val="277"/>
        </w:trPr>
        <w:tc>
          <w:tcPr>
            <w:tcW w:w="3300" w:type="dxa"/>
            <w:vAlign w:val="bottom"/>
            <w:tcBorders>
              <w:bottom w:val="single" w:sz="8" w:color="auto"/>
              <w:right w:val="single" w:sz="8" w:color="auto"/>
            </w:tcBorders>
          </w:tcPr>
          <w:p>
            <w:pPr>
              <w:jc w:val="right"/>
              <w:ind w:right="1492"/>
              <w:spacing w:after="0"/>
              <w:rPr>
                <w:sz w:val="20"/>
                <w:szCs w:val="20"/>
                <w:color w:val="auto"/>
              </w:rPr>
            </w:pPr>
            <w:r>
              <w:rPr>
                <w:rFonts w:ascii="Times New Roman" w:cs="Times New Roman" w:eastAsia="Times New Roman" w:hAnsi="Times New Roman"/>
                <w:sz w:val="22"/>
                <w:szCs w:val="22"/>
                <w:color w:val="auto"/>
              </w:rPr>
              <w:t>5</w:t>
            </w:r>
          </w:p>
        </w:tc>
        <w:tc>
          <w:tcPr>
            <w:tcW w:w="326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22"/>
                <w:szCs w:val="22"/>
                <w:color w:val="auto"/>
                <w:w w:val="98"/>
              </w:rPr>
              <w:t>87.5%</w:t>
            </w:r>
          </w:p>
        </w:tc>
        <w:tc>
          <w:tcPr>
            <w:tcW w:w="20" w:type="dxa"/>
            <w:vAlign w:val="bottom"/>
            <w:tcBorders>
              <w:bottom w:val="single" w:sz="8" w:color="auto"/>
            </w:tcBorders>
          </w:tcPr>
          <w:p>
            <w:pPr>
              <w:spacing w:after="0"/>
              <w:rPr>
                <w:sz w:val="24"/>
                <w:szCs w:val="24"/>
                <w:color w:val="auto"/>
              </w:rPr>
            </w:pPr>
          </w:p>
        </w:tc>
      </w:tr>
      <w:tr>
        <w:trPr>
          <w:trHeight w:val="277"/>
        </w:trPr>
        <w:tc>
          <w:tcPr>
            <w:tcW w:w="3300" w:type="dxa"/>
            <w:vAlign w:val="bottom"/>
            <w:tcBorders>
              <w:bottom w:val="single" w:sz="8" w:color="auto"/>
              <w:right w:val="single" w:sz="8" w:color="auto"/>
            </w:tcBorders>
          </w:tcPr>
          <w:p>
            <w:pPr>
              <w:jc w:val="right"/>
              <w:ind w:right="1492"/>
              <w:spacing w:after="0"/>
              <w:rPr>
                <w:sz w:val="20"/>
                <w:szCs w:val="20"/>
                <w:color w:val="auto"/>
              </w:rPr>
            </w:pPr>
            <w:r>
              <w:rPr>
                <w:rFonts w:ascii="Times New Roman" w:cs="Times New Roman" w:eastAsia="Times New Roman" w:hAnsi="Times New Roman"/>
                <w:sz w:val="22"/>
                <w:szCs w:val="22"/>
                <w:color w:val="auto"/>
              </w:rPr>
              <w:t>6</w:t>
            </w:r>
          </w:p>
        </w:tc>
        <w:tc>
          <w:tcPr>
            <w:tcW w:w="326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22"/>
                <w:szCs w:val="22"/>
                <w:color w:val="auto"/>
                <w:w w:val="99"/>
              </w:rPr>
              <w:t>50%</w:t>
            </w:r>
          </w:p>
        </w:tc>
        <w:tc>
          <w:tcPr>
            <w:tcW w:w="20" w:type="dxa"/>
            <w:vAlign w:val="bottom"/>
            <w:tcBorders>
              <w:bottom w:val="single" w:sz="8" w:color="auto"/>
            </w:tcBorders>
          </w:tcPr>
          <w:p>
            <w:pPr>
              <w:spacing w:after="0"/>
              <w:rPr>
                <w:sz w:val="24"/>
                <w:szCs w:val="24"/>
                <w:color w:val="auto"/>
              </w:rPr>
            </w:pPr>
          </w:p>
        </w:tc>
      </w:tr>
      <w:tr>
        <w:trPr>
          <w:trHeight w:val="277"/>
        </w:trPr>
        <w:tc>
          <w:tcPr>
            <w:tcW w:w="3300" w:type="dxa"/>
            <w:vAlign w:val="bottom"/>
            <w:tcBorders>
              <w:bottom w:val="single" w:sz="8" w:color="auto"/>
              <w:right w:val="single" w:sz="8" w:color="auto"/>
            </w:tcBorders>
          </w:tcPr>
          <w:p>
            <w:pPr>
              <w:jc w:val="right"/>
              <w:ind w:right="1492"/>
              <w:spacing w:after="0"/>
              <w:rPr>
                <w:sz w:val="20"/>
                <w:szCs w:val="20"/>
                <w:color w:val="auto"/>
              </w:rPr>
            </w:pPr>
            <w:r>
              <w:rPr>
                <w:rFonts w:ascii="Times New Roman" w:cs="Times New Roman" w:eastAsia="Times New Roman" w:hAnsi="Times New Roman"/>
                <w:sz w:val="22"/>
                <w:szCs w:val="22"/>
                <w:color w:val="auto"/>
              </w:rPr>
              <w:t>7</w:t>
            </w:r>
          </w:p>
        </w:tc>
        <w:tc>
          <w:tcPr>
            <w:tcW w:w="326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22"/>
                <w:szCs w:val="22"/>
                <w:color w:val="auto"/>
                <w:w w:val="95"/>
              </w:rPr>
              <w:t>0%</w:t>
            </w:r>
          </w:p>
        </w:tc>
        <w:tc>
          <w:tcPr>
            <w:tcW w:w="20" w:type="dxa"/>
            <w:vAlign w:val="bottom"/>
            <w:tcBorders>
              <w:bottom w:val="single" w:sz="8" w:color="auto"/>
            </w:tcBorders>
          </w:tcPr>
          <w:p>
            <w:pPr>
              <w:spacing w:after="0"/>
              <w:rPr>
                <w:sz w:val="24"/>
                <w:szCs w:val="24"/>
                <w:color w:val="auto"/>
              </w:rPr>
            </w:pPr>
          </w:p>
        </w:tc>
      </w:tr>
      <w:tr>
        <w:trPr>
          <w:trHeight w:val="277"/>
        </w:trPr>
        <w:tc>
          <w:tcPr>
            <w:tcW w:w="3300" w:type="dxa"/>
            <w:vAlign w:val="bottom"/>
            <w:tcBorders>
              <w:bottom w:val="single" w:sz="8" w:color="auto"/>
              <w:right w:val="single" w:sz="8" w:color="auto"/>
            </w:tcBorders>
          </w:tcPr>
          <w:p>
            <w:pPr>
              <w:jc w:val="right"/>
              <w:ind w:right="1492"/>
              <w:spacing w:after="0"/>
              <w:rPr>
                <w:sz w:val="20"/>
                <w:szCs w:val="20"/>
                <w:color w:val="auto"/>
              </w:rPr>
            </w:pPr>
            <w:r>
              <w:rPr>
                <w:rFonts w:ascii="Times New Roman" w:cs="Times New Roman" w:eastAsia="Times New Roman" w:hAnsi="Times New Roman"/>
                <w:sz w:val="22"/>
                <w:szCs w:val="22"/>
                <w:color w:val="auto"/>
              </w:rPr>
              <w:t>8</w:t>
            </w:r>
          </w:p>
        </w:tc>
        <w:tc>
          <w:tcPr>
            <w:tcW w:w="326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22"/>
                <w:szCs w:val="22"/>
                <w:color w:val="auto"/>
                <w:w w:val="95"/>
              </w:rPr>
              <w:t>0%</w:t>
            </w:r>
          </w:p>
        </w:tc>
        <w:tc>
          <w:tcPr>
            <w:tcW w:w="20" w:type="dxa"/>
            <w:vAlign w:val="bottom"/>
            <w:tcBorders>
              <w:bottom w:val="single" w:sz="8" w:color="auto"/>
            </w:tcBorders>
          </w:tcPr>
          <w:p>
            <w:pPr>
              <w:spacing w:after="0"/>
              <w:rPr>
                <w:sz w:val="24"/>
                <w:szCs w:val="24"/>
                <w:color w:val="auto"/>
              </w:rPr>
            </w:pPr>
          </w:p>
        </w:tc>
      </w:tr>
      <w:tr>
        <w:trPr>
          <w:trHeight w:val="116"/>
        </w:trPr>
        <w:tc>
          <w:tcPr>
            <w:tcW w:w="6560" w:type="dxa"/>
            <w:vAlign w:val="bottom"/>
            <w:tcBorders>
              <w:bottom w:val="single" w:sz="8" w:color="auto"/>
            </w:tcBorders>
            <w:gridSpan w:val="2"/>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285"/>
        </w:trPr>
        <w:tc>
          <w:tcPr>
            <w:tcW w:w="6560" w:type="dxa"/>
            <w:vAlign w:val="bottom"/>
            <w:tcBorders>
              <w:left w:val="single" w:sz="8" w:color="auto"/>
              <w:bottom w:val="single" w:sz="8" w:color="auto"/>
            </w:tcBorders>
            <w:gridSpan w:val="2"/>
            <w:shd w:val="clear" w:color="auto" w:fill="B6B6B6"/>
          </w:tcPr>
          <w:p>
            <w:pPr>
              <w:ind w:left="1120"/>
              <w:spacing w:after="0"/>
              <w:rPr>
                <w:sz w:val="20"/>
                <w:szCs w:val="20"/>
                <w:color w:val="auto"/>
              </w:rPr>
            </w:pPr>
            <w:r>
              <w:rPr>
                <w:rFonts w:ascii="Times New Roman" w:cs="Times New Roman" w:eastAsia="Times New Roman" w:hAnsi="Times New Roman"/>
                <w:sz w:val="22"/>
                <w:szCs w:val="22"/>
                <w:b w:val="1"/>
                <w:bCs w:val="1"/>
                <w:color w:val="auto"/>
              </w:rPr>
              <w:t>TSR Performance Relative to S&amp;P Utility Peer Co</w:t>
            </w:r>
          </w:p>
        </w:tc>
        <w:tc>
          <w:tcPr>
            <w:tcW w:w="20" w:type="dxa"/>
            <w:vAlign w:val="bottom"/>
            <w:tcBorders>
              <w:bottom w:val="single" w:sz="8" w:color="auto"/>
            </w:tcBorders>
            <w:shd w:val="clear" w:color="auto" w:fill="000000"/>
          </w:tcPr>
          <w:p>
            <w:pPr>
              <w:spacing w:after="0"/>
              <w:rPr>
                <w:sz w:val="24"/>
                <w:szCs w:val="24"/>
                <w:color w:val="auto"/>
              </w:rPr>
            </w:pPr>
          </w:p>
        </w:tc>
      </w:tr>
      <w:tr>
        <w:trPr>
          <w:trHeight w:val="282"/>
        </w:trPr>
        <w:tc>
          <w:tcPr>
            <w:tcW w:w="3300" w:type="dxa"/>
            <w:vAlign w:val="bottom"/>
            <w:tcBorders>
              <w:left w:val="single" w:sz="8" w:color="auto"/>
              <w:bottom w:val="single" w:sz="8" w:color="auto"/>
              <w:right w:val="single" w:sz="8" w:color="auto"/>
            </w:tcBorders>
            <w:shd w:val="clear" w:color="auto" w:fill="BFBFBF"/>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TSR Ranking</w:t>
            </w:r>
          </w:p>
        </w:tc>
        <w:tc>
          <w:tcPr>
            <w:tcW w:w="3260" w:type="dxa"/>
            <w:vAlign w:val="bottom"/>
            <w:tcBorders>
              <w:bottom w:val="single" w:sz="8" w:color="auto"/>
            </w:tcBorders>
            <w:shd w:val="clear" w:color="auto" w:fill="BFBFBF"/>
          </w:tcPr>
          <w:p>
            <w:pPr>
              <w:ind w:left="1020"/>
              <w:spacing w:after="0"/>
              <w:rPr>
                <w:sz w:val="20"/>
                <w:szCs w:val="20"/>
                <w:color w:val="auto"/>
              </w:rPr>
            </w:pPr>
            <w:r>
              <w:rPr>
                <w:rFonts w:ascii="Times New Roman" w:cs="Times New Roman" w:eastAsia="Times New Roman" w:hAnsi="Times New Roman"/>
                <w:sz w:val="22"/>
                <w:szCs w:val="22"/>
                <w:b w:val="1"/>
                <w:bCs w:val="1"/>
                <w:color w:val="auto"/>
              </w:rPr>
              <w:t>% of Target Shares</w:t>
            </w:r>
          </w:p>
        </w:tc>
        <w:tc>
          <w:tcPr>
            <w:tcW w:w="20" w:type="dxa"/>
            <w:vAlign w:val="bottom"/>
            <w:tcBorders>
              <w:bottom w:val="single" w:sz="8" w:color="auto"/>
            </w:tcBorders>
            <w:shd w:val="clear" w:color="auto" w:fill="000000"/>
          </w:tcPr>
          <w:p>
            <w:pPr>
              <w:spacing w:after="0"/>
              <w:rPr>
                <w:sz w:val="24"/>
                <w:szCs w:val="24"/>
                <w:color w:val="auto"/>
              </w:rPr>
            </w:pPr>
          </w:p>
        </w:tc>
      </w:tr>
      <w:tr>
        <w:trPr>
          <w:trHeight w:val="276"/>
        </w:trPr>
        <w:tc>
          <w:tcPr>
            <w:tcW w:w="3300" w:type="dxa"/>
            <w:vAlign w:val="bottom"/>
            <w:tcBorders>
              <w:left w:val="single" w:sz="8" w:color="auto"/>
              <w:bottom w:val="single" w:sz="8" w:color="auto"/>
              <w:right w:val="single" w:sz="8" w:color="auto"/>
            </w:tcBorders>
          </w:tcPr>
          <w:p>
            <w:pPr>
              <w:jc w:val="right"/>
              <w:ind w:right="1492"/>
              <w:spacing w:after="0"/>
              <w:rPr>
                <w:sz w:val="20"/>
                <w:szCs w:val="20"/>
                <w:color w:val="auto"/>
              </w:rPr>
            </w:pPr>
            <w:r>
              <w:rPr>
                <w:rFonts w:ascii="Times New Roman" w:cs="Times New Roman" w:eastAsia="Times New Roman" w:hAnsi="Times New Roman"/>
                <w:sz w:val="22"/>
                <w:szCs w:val="22"/>
                <w:color w:val="auto"/>
              </w:rPr>
              <w:t>1</w:t>
            </w:r>
          </w:p>
        </w:tc>
        <w:tc>
          <w:tcPr>
            <w:tcW w:w="326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22"/>
                <w:szCs w:val="22"/>
                <w:color w:val="auto"/>
              </w:rPr>
              <w:t>200%</w:t>
            </w:r>
          </w:p>
        </w:tc>
        <w:tc>
          <w:tcPr>
            <w:tcW w:w="20" w:type="dxa"/>
            <w:vAlign w:val="bottom"/>
            <w:tcBorders>
              <w:bottom w:val="single" w:sz="8" w:color="auto"/>
            </w:tcBorders>
            <w:shd w:val="clear" w:color="auto" w:fill="000000"/>
          </w:tcPr>
          <w:p>
            <w:pPr>
              <w:spacing w:after="0"/>
              <w:rPr>
                <w:sz w:val="24"/>
                <w:szCs w:val="24"/>
                <w:color w:val="auto"/>
              </w:rPr>
            </w:pPr>
          </w:p>
        </w:tc>
      </w:tr>
      <w:tr>
        <w:trPr>
          <w:trHeight w:val="277"/>
        </w:trPr>
        <w:tc>
          <w:tcPr>
            <w:tcW w:w="3300" w:type="dxa"/>
            <w:vAlign w:val="bottom"/>
            <w:tcBorders>
              <w:left w:val="single" w:sz="8" w:color="auto"/>
              <w:bottom w:val="single" w:sz="8" w:color="auto"/>
              <w:right w:val="single" w:sz="8" w:color="auto"/>
            </w:tcBorders>
          </w:tcPr>
          <w:p>
            <w:pPr>
              <w:jc w:val="right"/>
              <w:ind w:right="1492"/>
              <w:spacing w:after="0"/>
              <w:rPr>
                <w:sz w:val="20"/>
                <w:szCs w:val="20"/>
                <w:color w:val="auto"/>
              </w:rPr>
            </w:pPr>
            <w:r>
              <w:rPr>
                <w:rFonts w:ascii="Times New Roman" w:cs="Times New Roman" w:eastAsia="Times New Roman" w:hAnsi="Times New Roman"/>
                <w:sz w:val="22"/>
                <w:szCs w:val="22"/>
                <w:color w:val="auto"/>
              </w:rPr>
              <w:t>2</w:t>
            </w:r>
          </w:p>
        </w:tc>
        <w:tc>
          <w:tcPr>
            <w:tcW w:w="326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22"/>
                <w:szCs w:val="22"/>
                <w:color w:val="auto"/>
              </w:rPr>
              <w:t>192.3%</w:t>
            </w:r>
          </w:p>
        </w:tc>
        <w:tc>
          <w:tcPr>
            <w:tcW w:w="20" w:type="dxa"/>
            <w:vAlign w:val="bottom"/>
            <w:tcBorders>
              <w:bottom w:val="single" w:sz="8" w:color="auto"/>
            </w:tcBorders>
            <w:shd w:val="clear" w:color="auto" w:fill="000000"/>
          </w:tcPr>
          <w:p>
            <w:pPr>
              <w:spacing w:after="0"/>
              <w:rPr>
                <w:sz w:val="24"/>
                <w:szCs w:val="24"/>
                <w:color w:val="auto"/>
              </w:rPr>
            </w:pPr>
          </w:p>
        </w:tc>
      </w:tr>
      <w:tr>
        <w:trPr>
          <w:trHeight w:val="277"/>
        </w:trPr>
        <w:tc>
          <w:tcPr>
            <w:tcW w:w="3300" w:type="dxa"/>
            <w:vAlign w:val="bottom"/>
            <w:tcBorders>
              <w:left w:val="single" w:sz="8" w:color="auto"/>
              <w:bottom w:val="single" w:sz="8" w:color="auto"/>
              <w:right w:val="single" w:sz="8" w:color="auto"/>
            </w:tcBorders>
          </w:tcPr>
          <w:p>
            <w:pPr>
              <w:jc w:val="right"/>
              <w:ind w:right="1492"/>
              <w:spacing w:after="0"/>
              <w:rPr>
                <w:sz w:val="20"/>
                <w:szCs w:val="20"/>
                <w:color w:val="auto"/>
              </w:rPr>
            </w:pPr>
            <w:r>
              <w:rPr>
                <w:rFonts w:ascii="Times New Roman" w:cs="Times New Roman" w:eastAsia="Times New Roman" w:hAnsi="Times New Roman"/>
                <w:sz w:val="22"/>
                <w:szCs w:val="22"/>
                <w:color w:val="auto"/>
              </w:rPr>
              <w:t>3</w:t>
            </w:r>
          </w:p>
        </w:tc>
        <w:tc>
          <w:tcPr>
            <w:tcW w:w="326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22"/>
                <w:szCs w:val="22"/>
                <w:color w:val="auto"/>
              </w:rPr>
              <w:t>184.6%</w:t>
            </w:r>
          </w:p>
        </w:tc>
        <w:tc>
          <w:tcPr>
            <w:tcW w:w="20" w:type="dxa"/>
            <w:vAlign w:val="bottom"/>
            <w:tcBorders>
              <w:bottom w:val="single" w:sz="8" w:color="auto"/>
            </w:tcBorders>
            <w:shd w:val="clear" w:color="auto" w:fill="000000"/>
          </w:tcPr>
          <w:p>
            <w:pPr>
              <w:spacing w:after="0"/>
              <w:rPr>
                <w:sz w:val="24"/>
                <w:szCs w:val="24"/>
                <w:color w:val="auto"/>
              </w:rPr>
            </w:pPr>
          </w:p>
        </w:tc>
      </w:tr>
      <w:tr>
        <w:trPr>
          <w:trHeight w:val="277"/>
        </w:trPr>
        <w:tc>
          <w:tcPr>
            <w:tcW w:w="3300" w:type="dxa"/>
            <w:vAlign w:val="bottom"/>
            <w:tcBorders>
              <w:left w:val="single" w:sz="8" w:color="auto"/>
              <w:bottom w:val="single" w:sz="8" w:color="auto"/>
              <w:right w:val="single" w:sz="8" w:color="auto"/>
            </w:tcBorders>
          </w:tcPr>
          <w:p>
            <w:pPr>
              <w:jc w:val="right"/>
              <w:ind w:right="1492"/>
              <w:spacing w:after="0"/>
              <w:rPr>
                <w:sz w:val="20"/>
                <w:szCs w:val="20"/>
                <w:color w:val="auto"/>
              </w:rPr>
            </w:pPr>
            <w:r>
              <w:rPr>
                <w:rFonts w:ascii="Times New Roman" w:cs="Times New Roman" w:eastAsia="Times New Roman" w:hAnsi="Times New Roman"/>
                <w:sz w:val="22"/>
                <w:szCs w:val="22"/>
                <w:color w:val="auto"/>
              </w:rPr>
              <w:t>4</w:t>
            </w:r>
          </w:p>
        </w:tc>
        <w:tc>
          <w:tcPr>
            <w:tcW w:w="326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22"/>
                <w:szCs w:val="22"/>
                <w:color w:val="auto"/>
              </w:rPr>
              <w:t>176.9%</w:t>
            </w:r>
          </w:p>
        </w:tc>
        <w:tc>
          <w:tcPr>
            <w:tcW w:w="20" w:type="dxa"/>
            <w:vAlign w:val="bottom"/>
            <w:tcBorders>
              <w:bottom w:val="single" w:sz="8" w:color="auto"/>
            </w:tcBorders>
            <w:shd w:val="clear" w:color="auto" w:fill="000000"/>
          </w:tcPr>
          <w:p>
            <w:pPr>
              <w:spacing w:after="0"/>
              <w:rPr>
                <w:sz w:val="24"/>
                <w:szCs w:val="24"/>
                <w:color w:val="auto"/>
              </w:rPr>
            </w:pPr>
          </w:p>
        </w:tc>
      </w:tr>
      <w:tr>
        <w:trPr>
          <w:trHeight w:val="277"/>
        </w:trPr>
        <w:tc>
          <w:tcPr>
            <w:tcW w:w="3300" w:type="dxa"/>
            <w:vAlign w:val="bottom"/>
            <w:tcBorders>
              <w:left w:val="single" w:sz="8" w:color="auto"/>
              <w:bottom w:val="single" w:sz="8" w:color="auto"/>
              <w:right w:val="single" w:sz="8" w:color="auto"/>
            </w:tcBorders>
          </w:tcPr>
          <w:p>
            <w:pPr>
              <w:jc w:val="right"/>
              <w:ind w:right="1492"/>
              <w:spacing w:after="0"/>
              <w:rPr>
                <w:sz w:val="20"/>
                <w:szCs w:val="20"/>
                <w:color w:val="auto"/>
              </w:rPr>
            </w:pPr>
            <w:r>
              <w:rPr>
                <w:rFonts w:ascii="Times New Roman" w:cs="Times New Roman" w:eastAsia="Times New Roman" w:hAnsi="Times New Roman"/>
                <w:sz w:val="22"/>
                <w:szCs w:val="22"/>
                <w:color w:val="auto"/>
              </w:rPr>
              <w:t>5</w:t>
            </w:r>
          </w:p>
        </w:tc>
        <w:tc>
          <w:tcPr>
            <w:tcW w:w="326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22"/>
                <w:szCs w:val="22"/>
                <w:color w:val="auto"/>
              </w:rPr>
              <w:t>169.2%</w:t>
            </w:r>
          </w:p>
        </w:tc>
        <w:tc>
          <w:tcPr>
            <w:tcW w:w="20" w:type="dxa"/>
            <w:vAlign w:val="bottom"/>
            <w:tcBorders>
              <w:bottom w:val="single" w:sz="8" w:color="auto"/>
            </w:tcBorders>
            <w:shd w:val="clear" w:color="auto" w:fill="000000"/>
          </w:tcPr>
          <w:p>
            <w:pPr>
              <w:spacing w:after="0"/>
              <w:rPr>
                <w:sz w:val="24"/>
                <w:szCs w:val="24"/>
                <w:color w:val="auto"/>
              </w:rPr>
            </w:pPr>
          </w:p>
        </w:tc>
      </w:tr>
      <w:tr>
        <w:trPr>
          <w:trHeight w:val="277"/>
        </w:trPr>
        <w:tc>
          <w:tcPr>
            <w:tcW w:w="3300" w:type="dxa"/>
            <w:vAlign w:val="bottom"/>
            <w:tcBorders>
              <w:left w:val="single" w:sz="8" w:color="auto"/>
              <w:bottom w:val="single" w:sz="8" w:color="auto"/>
              <w:right w:val="single" w:sz="8" w:color="auto"/>
            </w:tcBorders>
          </w:tcPr>
          <w:p>
            <w:pPr>
              <w:jc w:val="right"/>
              <w:ind w:right="1492"/>
              <w:spacing w:after="0"/>
              <w:rPr>
                <w:sz w:val="20"/>
                <w:szCs w:val="20"/>
                <w:color w:val="auto"/>
              </w:rPr>
            </w:pPr>
            <w:r>
              <w:rPr>
                <w:rFonts w:ascii="Times New Roman" w:cs="Times New Roman" w:eastAsia="Times New Roman" w:hAnsi="Times New Roman"/>
                <w:sz w:val="22"/>
                <w:szCs w:val="22"/>
                <w:color w:val="auto"/>
              </w:rPr>
              <w:t>6</w:t>
            </w:r>
          </w:p>
        </w:tc>
        <w:tc>
          <w:tcPr>
            <w:tcW w:w="326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22"/>
                <w:szCs w:val="22"/>
                <w:color w:val="auto"/>
              </w:rPr>
              <w:t>161.5%</w:t>
            </w:r>
          </w:p>
        </w:tc>
        <w:tc>
          <w:tcPr>
            <w:tcW w:w="20" w:type="dxa"/>
            <w:vAlign w:val="bottom"/>
            <w:tcBorders>
              <w:bottom w:val="single" w:sz="8" w:color="auto"/>
            </w:tcBorders>
            <w:shd w:val="clear" w:color="auto" w:fill="000000"/>
          </w:tcPr>
          <w:p>
            <w:pPr>
              <w:spacing w:after="0"/>
              <w:rPr>
                <w:sz w:val="24"/>
                <w:szCs w:val="24"/>
                <w:color w:val="auto"/>
              </w:rPr>
            </w:pPr>
          </w:p>
        </w:tc>
      </w:tr>
      <w:tr>
        <w:trPr>
          <w:trHeight w:val="277"/>
        </w:trPr>
        <w:tc>
          <w:tcPr>
            <w:tcW w:w="3300" w:type="dxa"/>
            <w:vAlign w:val="bottom"/>
            <w:tcBorders>
              <w:left w:val="single" w:sz="8" w:color="auto"/>
              <w:bottom w:val="single" w:sz="8" w:color="auto"/>
              <w:right w:val="single" w:sz="8" w:color="auto"/>
            </w:tcBorders>
          </w:tcPr>
          <w:p>
            <w:pPr>
              <w:jc w:val="right"/>
              <w:ind w:right="1492"/>
              <w:spacing w:after="0"/>
              <w:rPr>
                <w:sz w:val="20"/>
                <w:szCs w:val="20"/>
                <w:color w:val="auto"/>
              </w:rPr>
            </w:pPr>
            <w:r>
              <w:rPr>
                <w:rFonts w:ascii="Times New Roman" w:cs="Times New Roman" w:eastAsia="Times New Roman" w:hAnsi="Times New Roman"/>
                <w:sz w:val="22"/>
                <w:szCs w:val="22"/>
                <w:color w:val="auto"/>
              </w:rPr>
              <w:t>7</w:t>
            </w:r>
          </w:p>
        </w:tc>
        <w:tc>
          <w:tcPr>
            <w:tcW w:w="326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22"/>
                <w:szCs w:val="22"/>
                <w:color w:val="auto"/>
              </w:rPr>
              <w:t>153.8%</w:t>
            </w:r>
          </w:p>
        </w:tc>
        <w:tc>
          <w:tcPr>
            <w:tcW w:w="20" w:type="dxa"/>
            <w:vAlign w:val="bottom"/>
            <w:tcBorders>
              <w:bottom w:val="single" w:sz="8" w:color="auto"/>
            </w:tcBorders>
            <w:shd w:val="clear" w:color="auto" w:fill="000000"/>
          </w:tcPr>
          <w:p>
            <w:pPr>
              <w:spacing w:after="0"/>
              <w:rPr>
                <w:sz w:val="24"/>
                <w:szCs w:val="24"/>
                <w:color w:val="auto"/>
              </w:rPr>
            </w:pPr>
          </w:p>
        </w:tc>
      </w:tr>
      <w:tr>
        <w:trPr>
          <w:trHeight w:val="277"/>
        </w:trPr>
        <w:tc>
          <w:tcPr>
            <w:tcW w:w="3300" w:type="dxa"/>
            <w:vAlign w:val="bottom"/>
            <w:tcBorders>
              <w:left w:val="single" w:sz="8" w:color="auto"/>
              <w:bottom w:val="single" w:sz="8" w:color="auto"/>
              <w:right w:val="single" w:sz="8" w:color="auto"/>
            </w:tcBorders>
          </w:tcPr>
          <w:p>
            <w:pPr>
              <w:jc w:val="right"/>
              <w:ind w:right="1492"/>
              <w:spacing w:after="0"/>
              <w:rPr>
                <w:sz w:val="20"/>
                <w:szCs w:val="20"/>
                <w:color w:val="auto"/>
              </w:rPr>
            </w:pPr>
            <w:r>
              <w:rPr>
                <w:rFonts w:ascii="Times New Roman" w:cs="Times New Roman" w:eastAsia="Times New Roman" w:hAnsi="Times New Roman"/>
                <w:sz w:val="22"/>
                <w:szCs w:val="22"/>
                <w:color w:val="auto"/>
              </w:rPr>
              <w:t>8</w:t>
            </w:r>
          </w:p>
        </w:tc>
        <w:tc>
          <w:tcPr>
            <w:tcW w:w="326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22"/>
                <w:szCs w:val="22"/>
                <w:color w:val="auto"/>
              </w:rPr>
              <w:t>146.2%</w:t>
            </w:r>
          </w:p>
        </w:tc>
        <w:tc>
          <w:tcPr>
            <w:tcW w:w="20" w:type="dxa"/>
            <w:vAlign w:val="bottom"/>
            <w:tcBorders>
              <w:bottom w:val="single" w:sz="8" w:color="auto"/>
            </w:tcBorders>
            <w:shd w:val="clear" w:color="auto" w:fill="000000"/>
          </w:tcPr>
          <w:p>
            <w:pPr>
              <w:spacing w:after="0"/>
              <w:rPr>
                <w:sz w:val="24"/>
                <w:szCs w:val="24"/>
                <w:color w:val="auto"/>
              </w:rPr>
            </w:pPr>
          </w:p>
        </w:tc>
      </w:tr>
      <w:tr>
        <w:trPr>
          <w:trHeight w:val="277"/>
        </w:trPr>
        <w:tc>
          <w:tcPr>
            <w:tcW w:w="3300" w:type="dxa"/>
            <w:vAlign w:val="bottom"/>
            <w:tcBorders>
              <w:left w:val="single" w:sz="8" w:color="auto"/>
              <w:bottom w:val="single" w:sz="8" w:color="auto"/>
              <w:right w:val="single" w:sz="8" w:color="auto"/>
            </w:tcBorders>
          </w:tcPr>
          <w:p>
            <w:pPr>
              <w:jc w:val="right"/>
              <w:ind w:right="1492"/>
              <w:spacing w:after="0"/>
              <w:rPr>
                <w:sz w:val="20"/>
                <w:szCs w:val="20"/>
                <w:color w:val="auto"/>
              </w:rPr>
            </w:pPr>
            <w:r>
              <w:rPr>
                <w:rFonts w:ascii="Times New Roman" w:cs="Times New Roman" w:eastAsia="Times New Roman" w:hAnsi="Times New Roman"/>
                <w:sz w:val="22"/>
                <w:szCs w:val="22"/>
                <w:color w:val="auto"/>
              </w:rPr>
              <w:t>9</w:t>
            </w:r>
          </w:p>
        </w:tc>
        <w:tc>
          <w:tcPr>
            <w:tcW w:w="326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22"/>
                <w:szCs w:val="22"/>
                <w:color w:val="auto"/>
              </w:rPr>
              <w:t>138.5%</w:t>
            </w:r>
          </w:p>
        </w:tc>
        <w:tc>
          <w:tcPr>
            <w:tcW w:w="20" w:type="dxa"/>
            <w:vAlign w:val="bottom"/>
            <w:tcBorders>
              <w:bottom w:val="single" w:sz="8" w:color="auto"/>
            </w:tcBorders>
            <w:shd w:val="clear" w:color="auto" w:fill="000000"/>
          </w:tcPr>
          <w:p>
            <w:pPr>
              <w:spacing w:after="0"/>
              <w:rPr>
                <w:sz w:val="24"/>
                <w:szCs w:val="24"/>
                <w:color w:val="auto"/>
              </w:rPr>
            </w:pPr>
          </w:p>
        </w:tc>
      </w:tr>
      <w:tr>
        <w:trPr>
          <w:trHeight w:val="277"/>
        </w:trPr>
        <w:tc>
          <w:tcPr>
            <w:tcW w:w="3300" w:type="dxa"/>
            <w:vAlign w:val="bottom"/>
            <w:tcBorders>
              <w:left w:val="single" w:sz="8" w:color="auto"/>
              <w:bottom w:val="single" w:sz="8" w:color="auto"/>
              <w:right w:val="single" w:sz="8" w:color="auto"/>
            </w:tcBorders>
          </w:tcPr>
          <w:p>
            <w:pPr>
              <w:jc w:val="center"/>
              <w:ind w:left="412"/>
              <w:spacing w:after="0"/>
              <w:rPr>
                <w:sz w:val="20"/>
                <w:szCs w:val="20"/>
                <w:color w:val="auto"/>
              </w:rPr>
            </w:pPr>
            <w:r>
              <w:rPr>
                <w:rFonts w:ascii="Times New Roman" w:cs="Times New Roman" w:eastAsia="Times New Roman" w:hAnsi="Times New Roman"/>
                <w:sz w:val="22"/>
                <w:szCs w:val="22"/>
                <w:color w:val="auto"/>
                <w:w w:val="99"/>
              </w:rPr>
              <w:t>10</w:t>
            </w:r>
          </w:p>
        </w:tc>
        <w:tc>
          <w:tcPr>
            <w:tcW w:w="326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22"/>
                <w:szCs w:val="22"/>
                <w:color w:val="auto"/>
              </w:rPr>
              <w:t>130.8%</w:t>
            </w:r>
          </w:p>
        </w:tc>
        <w:tc>
          <w:tcPr>
            <w:tcW w:w="20" w:type="dxa"/>
            <w:vAlign w:val="bottom"/>
            <w:tcBorders>
              <w:bottom w:val="single" w:sz="8" w:color="auto"/>
            </w:tcBorders>
            <w:shd w:val="clear" w:color="auto" w:fill="000000"/>
          </w:tcPr>
          <w:p>
            <w:pPr>
              <w:spacing w:after="0"/>
              <w:rPr>
                <w:sz w:val="24"/>
                <w:szCs w:val="24"/>
                <w:color w:val="auto"/>
              </w:rPr>
            </w:pPr>
          </w:p>
        </w:tc>
      </w:tr>
      <w:tr>
        <w:trPr>
          <w:trHeight w:val="277"/>
        </w:trPr>
        <w:tc>
          <w:tcPr>
            <w:tcW w:w="3300" w:type="dxa"/>
            <w:vAlign w:val="bottom"/>
            <w:tcBorders>
              <w:left w:val="single" w:sz="8" w:color="auto"/>
              <w:bottom w:val="single" w:sz="8" w:color="auto"/>
              <w:right w:val="single" w:sz="8" w:color="auto"/>
            </w:tcBorders>
          </w:tcPr>
          <w:p>
            <w:pPr>
              <w:jc w:val="center"/>
              <w:ind w:left="412"/>
              <w:spacing w:after="0"/>
              <w:rPr>
                <w:sz w:val="20"/>
                <w:szCs w:val="20"/>
                <w:color w:val="auto"/>
              </w:rPr>
            </w:pPr>
            <w:r>
              <w:rPr>
                <w:rFonts w:ascii="Times New Roman" w:cs="Times New Roman" w:eastAsia="Times New Roman" w:hAnsi="Times New Roman"/>
                <w:sz w:val="22"/>
                <w:szCs w:val="22"/>
                <w:color w:val="auto"/>
                <w:w w:val="99"/>
              </w:rPr>
              <w:t>11</w:t>
            </w:r>
          </w:p>
        </w:tc>
        <w:tc>
          <w:tcPr>
            <w:tcW w:w="326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22"/>
                <w:szCs w:val="22"/>
                <w:color w:val="auto"/>
              </w:rPr>
              <w:t>123.1%</w:t>
            </w:r>
          </w:p>
        </w:tc>
        <w:tc>
          <w:tcPr>
            <w:tcW w:w="20" w:type="dxa"/>
            <w:vAlign w:val="bottom"/>
            <w:tcBorders>
              <w:bottom w:val="single" w:sz="8" w:color="auto"/>
            </w:tcBorders>
            <w:shd w:val="clear" w:color="auto" w:fill="000000"/>
          </w:tcPr>
          <w:p>
            <w:pPr>
              <w:spacing w:after="0"/>
              <w:rPr>
                <w:sz w:val="24"/>
                <w:szCs w:val="24"/>
                <w:color w:val="auto"/>
              </w:rPr>
            </w:pPr>
          </w:p>
        </w:tc>
      </w:tr>
      <w:tr>
        <w:trPr>
          <w:trHeight w:val="277"/>
        </w:trPr>
        <w:tc>
          <w:tcPr>
            <w:tcW w:w="3300" w:type="dxa"/>
            <w:vAlign w:val="bottom"/>
            <w:tcBorders>
              <w:left w:val="single" w:sz="8" w:color="auto"/>
              <w:bottom w:val="single" w:sz="8" w:color="auto"/>
              <w:right w:val="single" w:sz="8" w:color="auto"/>
            </w:tcBorders>
          </w:tcPr>
          <w:p>
            <w:pPr>
              <w:jc w:val="center"/>
              <w:ind w:left="412"/>
              <w:spacing w:after="0"/>
              <w:rPr>
                <w:sz w:val="20"/>
                <w:szCs w:val="20"/>
                <w:color w:val="auto"/>
              </w:rPr>
            </w:pPr>
            <w:r>
              <w:rPr>
                <w:rFonts w:ascii="Times New Roman" w:cs="Times New Roman" w:eastAsia="Times New Roman" w:hAnsi="Times New Roman"/>
                <w:sz w:val="22"/>
                <w:szCs w:val="22"/>
                <w:color w:val="auto"/>
                <w:w w:val="99"/>
              </w:rPr>
              <w:t>12</w:t>
            </w:r>
          </w:p>
        </w:tc>
        <w:tc>
          <w:tcPr>
            <w:tcW w:w="326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22"/>
                <w:szCs w:val="22"/>
                <w:color w:val="auto"/>
                <w:w w:val="94"/>
              </w:rPr>
              <w:t>115.4%</w:t>
            </w:r>
          </w:p>
        </w:tc>
        <w:tc>
          <w:tcPr>
            <w:tcW w:w="20" w:type="dxa"/>
            <w:vAlign w:val="bottom"/>
            <w:tcBorders>
              <w:bottom w:val="single" w:sz="8" w:color="auto"/>
            </w:tcBorders>
            <w:shd w:val="clear" w:color="auto" w:fill="000000"/>
          </w:tcPr>
          <w:p>
            <w:pPr>
              <w:spacing w:after="0"/>
              <w:rPr>
                <w:sz w:val="24"/>
                <w:szCs w:val="24"/>
                <w:color w:val="auto"/>
              </w:rPr>
            </w:pPr>
          </w:p>
        </w:tc>
      </w:tr>
      <w:tr>
        <w:trPr>
          <w:trHeight w:val="277"/>
        </w:trPr>
        <w:tc>
          <w:tcPr>
            <w:tcW w:w="3300" w:type="dxa"/>
            <w:vAlign w:val="bottom"/>
            <w:tcBorders>
              <w:left w:val="single" w:sz="8" w:color="auto"/>
              <w:bottom w:val="single" w:sz="8" w:color="auto"/>
              <w:right w:val="single" w:sz="8" w:color="auto"/>
            </w:tcBorders>
          </w:tcPr>
          <w:p>
            <w:pPr>
              <w:jc w:val="center"/>
              <w:ind w:left="412"/>
              <w:spacing w:after="0"/>
              <w:rPr>
                <w:sz w:val="20"/>
                <w:szCs w:val="20"/>
                <w:color w:val="auto"/>
              </w:rPr>
            </w:pPr>
            <w:r>
              <w:rPr>
                <w:rFonts w:ascii="Times New Roman" w:cs="Times New Roman" w:eastAsia="Times New Roman" w:hAnsi="Times New Roman"/>
                <w:sz w:val="22"/>
                <w:szCs w:val="22"/>
                <w:color w:val="auto"/>
                <w:w w:val="99"/>
              </w:rPr>
              <w:t>13</w:t>
            </w:r>
          </w:p>
        </w:tc>
        <w:tc>
          <w:tcPr>
            <w:tcW w:w="326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22"/>
                <w:szCs w:val="22"/>
                <w:color w:val="auto"/>
              </w:rPr>
              <w:t>107.7%</w:t>
            </w:r>
          </w:p>
        </w:tc>
        <w:tc>
          <w:tcPr>
            <w:tcW w:w="20" w:type="dxa"/>
            <w:vAlign w:val="bottom"/>
            <w:tcBorders>
              <w:bottom w:val="single" w:sz="8" w:color="auto"/>
            </w:tcBorders>
            <w:shd w:val="clear" w:color="auto" w:fill="000000"/>
          </w:tcPr>
          <w:p>
            <w:pPr>
              <w:spacing w:after="0"/>
              <w:rPr>
                <w:sz w:val="24"/>
                <w:szCs w:val="24"/>
                <w:color w:val="auto"/>
              </w:rPr>
            </w:pPr>
          </w:p>
        </w:tc>
      </w:tr>
      <w:tr>
        <w:trPr>
          <w:trHeight w:val="277"/>
        </w:trPr>
        <w:tc>
          <w:tcPr>
            <w:tcW w:w="3300" w:type="dxa"/>
            <w:vAlign w:val="bottom"/>
            <w:tcBorders>
              <w:left w:val="single" w:sz="8" w:color="auto"/>
              <w:bottom w:val="single" w:sz="8" w:color="auto"/>
              <w:right w:val="single" w:sz="8" w:color="auto"/>
            </w:tcBorders>
          </w:tcPr>
          <w:p>
            <w:pPr>
              <w:jc w:val="center"/>
              <w:ind w:left="412"/>
              <w:spacing w:after="0"/>
              <w:rPr>
                <w:sz w:val="20"/>
                <w:szCs w:val="20"/>
                <w:color w:val="auto"/>
              </w:rPr>
            </w:pPr>
            <w:r>
              <w:rPr>
                <w:rFonts w:ascii="Times New Roman" w:cs="Times New Roman" w:eastAsia="Times New Roman" w:hAnsi="Times New Roman"/>
                <w:sz w:val="22"/>
                <w:szCs w:val="22"/>
                <w:color w:val="auto"/>
                <w:w w:val="99"/>
              </w:rPr>
              <w:t>14</w:t>
            </w:r>
          </w:p>
        </w:tc>
        <w:tc>
          <w:tcPr>
            <w:tcW w:w="326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22"/>
                <w:szCs w:val="22"/>
                <w:color w:val="auto"/>
              </w:rPr>
              <w:t>100.0%</w:t>
            </w:r>
          </w:p>
        </w:tc>
        <w:tc>
          <w:tcPr>
            <w:tcW w:w="20" w:type="dxa"/>
            <w:vAlign w:val="bottom"/>
            <w:tcBorders>
              <w:bottom w:val="single" w:sz="8" w:color="auto"/>
            </w:tcBorders>
            <w:shd w:val="clear" w:color="auto" w:fill="000000"/>
          </w:tcPr>
          <w:p>
            <w:pPr>
              <w:spacing w:after="0"/>
              <w:rPr>
                <w:sz w:val="24"/>
                <w:szCs w:val="24"/>
                <w:color w:val="auto"/>
              </w:rPr>
            </w:pPr>
          </w:p>
        </w:tc>
      </w:tr>
      <w:tr>
        <w:trPr>
          <w:trHeight w:val="277"/>
        </w:trPr>
        <w:tc>
          <w:tcPr>
            <w:tcW w:w="3300" w:type="dxa"/>
            <w:vAlign w:val="bottom"/>
            <w:tcBorders>
              <w:left w:val="single" w:sz="8" w:color="auto"/>
              <w:bottom w:val="single" w:sz="8" w:color="auto"/>
              <w:right w:val="single" w:sz="8" w:color="auto"/>
            </w:tcBorders>
          </w:tcPr>
          <w:p>
            <w:pPr>
              <w:jc w:val="center"/>
              <w:ind w:left="412"/>
              <w:spacing w:after="0"/>
              <w:rPr>
                <w:sz w:val="20"/>
                <w:szCs w:val="20"/>
                <w:color w:val="auto"/>
              </w:rPr>
            </w:pPr>
            <w:r>
              <w:rPr>
                <w:rFonts w:ascii="Times New Roman" w:cs="Times New Roman" w:eastAsia="Times New Roman" w:hAnsi="Times New Roman"/>
                <w:sz w:val="22"/>
                <w:szCs w:val="22"/>
                <w:color w:val="auto"/>
                <w:w w:val="99"/>
              </w:rPr>
              <w:t>15</w:t>
            </w:r>
          </w:p>
        </w:tc>
        <w:tc>
          <w:tcPr>
            <w:tcW w:w="326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22"/>
                <w:szCs w:val="22"/>
                <w:color w:val="auto"/>
                <w:w w:val="98"/>
              </w:rPr>
              <w:t>91.7%</w:t>
            </w:r>
          </w:p>
        </w:tc>
        <w:tc>
          <w:tcPr>
            <w:tcW w:w="20" w:type="dxa"/>
            <w:vAlign w:val="bottom"/>
            <w:tcBorders>
              <w:bottom w:val="single" w:sz="8" w:color="auto"/>
            </w:tcBorders>
            <w:shd w:val="clear" w:color="auto" w:fill="000000"/>
          </w:tcPr>
          <w:p>
            <w:pPr>
              <w:spacing w:after="0"/>
              <w:rPr>
                <w:sz w:val="24"/>
                <w:szCs w:val="24"/>
                <w:color w:val="auto"/>
              </w:rPr>
            </w:pPr>
          </w:p>
        </w:tc>
      </w:tr>
      <w:tr>
        <w:trPr>
          <w:trHeight w:val="277"/>
        </w:trPr>
        <w:tc>
          <w:tcPr>
            <w:tcW w:w="3300" w:type="dxa"/>
            <w:vAlign w:val="bottom"/>
            <w:tcBorders>
              <w:left w:val="single" w:sz="8" w:color="auto"/>
              <w:bottom w:val="single" w:sz="8" w:color="auto"/>
              <w:right w:val="single" w:sz="8" w:color="auto"/>
            </w:tcBorders>
          </w:tcPr>
          <w:p>
            <w:pPr>
              <w:jc w:val="center"/>
              <w:ind w:left="412"/>
              <w:spacing w:after="0"/>
              <w:rPr>
                <w:sz w:val="20"/>
                <w:szCs w:val="20"/>
                <w:color w:val="auto"/>
              </w:rPr>
            </w:pPr>
            <w:r>
              <w:rPr>
                <w:rFonts w:ascii="Times New Roman" w:cs="Times New Roman" w:eastAsia="Times New Roman" w:hAnsi="Times New Roman"/>
                <w:sz w:val="22"/>
                <w:szCs w:val="22"/>
                <w:color w:val="auto"/>
                <w:w w:val="99"/>
              </w:rPr>
              <w:t>16</w:t>
            </w:r>
          </w:p>
        </w:tc>
        <w:tc>
          <w:tcPr>
            <w:tcW w:w="326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22"/>
                <w:szCs w:val="22"/>
                <w:color w:val="auto"/>
                <w:w w:val="98"/>
              </w:rPr>
              <w:t>83.3%</w:t>
            </w:r>
          </w:p>
        </w:tc>
        <w:tc>
          <w:tcPr>
            <w:tcW w:w="20" w:type="dxa"/>
            <w:vAlign w:val="bottom"/>
            <w:tcBorders>
              <w:bottom w:val="single" w:sz="8" w:color="auto"/>
            </w:tcBorders>
            <w:shd w:val="clear" w:color="auto" w:fill="000000"/>
          </w:tcPr>
          <w:p>
            <w:pPr>
              <w:spacing w:after="0"/>
              <w:rPr>
                <w:sz w:val="24"/>
                <w:szCs w:val="24"/>
                <w:color w:val="auto"/>
              </w:rPr>
            </w:pPr>
          </w:p>
        </w:tc>
      </w:tr>
      <w:tr>
        <w:trPr>
          <w:trHeight w:val="277"/>
        </w:trPr>
        <w:tc>
          <w:tcPr>
            <w:tcW w:w="3300" w:type="dxa"/>
            <w:vAlign w:val="bottom"/>
            <w:tcBorders>
              <w:left w:val="single" w:sz="8" w:color="auto"/>
              <w:bottom w:val="single" w:sz="8" w:color="auto"/>
              <w:right w:val="single" w:sz="8" w:color="auto"/>
            </w:tcBorders>
          </w:tcPr>
          <w:p>
            <w:pPr>
              <w:jc w:val="center"/>
              <w:ind w:left="412"/>
              <w:spacing w:after="0"/>
              <w:rPr>
                <w:sz w:val="20"/>
                <w:szCs w:val="20"/>
                <w:color w:val="auto"/>
              </w:rPr>
            </w:pPr>
            <w:r>
              <w:rPr>
                <w:rFonts w:ascii="Times New Roman" w:cs="Times New Roman" w:eastAsia="Times New Roman" w:hAnsi="Times New Roman"/>
                <w:sz w:val="22"/>
                <w:szCs w:val="22"/>
                <w:color w:val="auto"/>
                <w:w w:val="99"/>
              </w:rPr>
              <w:t>17</w:t>
            </w:r>
          </w:p>
        </w:tc>
        <w:tc>
          <w:tcPr>
            <w:tcW w:w="326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22"/>
                <w:szCs w:val="22"/>
                <w:color w:val="auto"/>
                <w:w w:val="98"/>
              </w:rPr>
              <w:t>75.0%</w:t>
            </w:r>
          </w:p>
        </w:tc>
        <w:tc>
          <w:tcPr>
            <w:tcW w:w="20" w:type="dxa"/>
            <w:vAlign w:val="bottom"/>
            <w:tcBorders>
              <w:bottom w:val="single" w:sz="8" w:color="auto"/>
            </w:tcBorders>
            <w:shd w:val="clear" w:color="auto" w:fill="000000"/>
          </w:tcPr>
          <w:p>
            <w:pPr>
              <w:spacing w:after="0"/>
              <w:rPr>
                <w:sz w:val="24"/>
                <w:szCs w:val="24"/>
                <w:color w:val="auto"/>
              </w:rPr>
            </w:pPr>
          </w:p>
        </w:tc>
      </w:tr>
      <w:tr>
        <w:trPr>
          <w:trHeight w:val="277"/>
        </w:trPr>
        <w:tc>
          <w:tcPr>
            <w:tcW w:w="3300" w:type="dxa"/>
            <w:vAlign w:val="bottom"/>
            <w:tcBorders>
              <w:left w:val="single" w:sz="8" w:color="auto"/>
              <w:bottom w:val="single" w:sz="8" w:color="auto"/>
              <w:right w:val="single" w:sz="8" w:color="auto"/>
            </w:tcBorders>
          </w:tcPr>
          <w:p>
            <w:pPr>
              <w:jc w:val="center"/>
              <w:ind w:left="412"/>
              <w:spacing w:after="0"/>
              <w:rPr>
                <w:sz w:val="20"/>
                <w:szCs w:val="20"/>
                <w:color w:val="auto"/>
              </w:rPr>
            </w:pPr>
            <w:r>
              <w:rPr>
                <w:rFonts w:ascii="Times New Roman" w:cs="Times New Roman" w:eastAsia="Times New Roman" w:hAnsi="Times New Roman"/>
                <w:sz w:val="22"/>
                <w:szCs w:val="22"/>
                <w:color w:val="auto"/>
                <w:w w:val="99"/>
              </w:rPr>
              <w:t>18</w:t>
            </w:r>
          </w:p>
        </w:tc>
        <w:tc>
          <w:tcPr>
            <w:tcW w:w="326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22"/>
                <w:szCs w:val="22"/>
                <w:color w:val="auto"/>
                <w:w w:val="98"/>
              </w:rPr>
              <w:t>66.7%</w:t>
            </w:r>
          </w:p>
        </w:tc>
        <w:tc>
          <w:tcPr>
            <w:tcW w:w="20" w:type="dxa"/>
            <w:vAlign w:val="bottom"/>
            <w:tcBorders>
              <w:bottom w:val="single" w:sz="8" w:color="auto"/>
            </w:tcBorders>
            <w:shd w:val="clear" w:color="auto" w:fill="000000"/>
          </w:tcPr>
          <w:p>
            <w:pPr>
              <w:spacing w:after="0"/>
              <w:rPr>
                <w:sz w:val="24"/>
                <w:szCs w:val="24"/>
                <w:color w:val="auto"/>
              </w:rPr>
            </w:pPr>
          </w:p>
        </w:tc>
      </w:tr>
      <w:tr>
        <w:trPr>
          <w:trHeight w:val="277"/>
        </w:trPr>
        <w:tc>
          <w:tcPr>
            <w:tcW w:w="3300" w:type="dxa"/>
            <w:vAlign w:val="bottom"/>
            <w:tcBorders>
              <w:left w:val="single" w:sz="8" w:color="auto"/>
              <w:bottom w:val="single" w:sz="8" w:color="auto"/>
              <w:right w:val="single" w:sz="8" w:color="auto"/>
            </w:tcBorders>
          </w:tcPr>
          <w:p>
            <w:pPr>
              <w:jc w:val="center"/>
              <w:ind w:left="412"/>
              <w:spacing w:after="0"/>
              <w:rPr>
                <w:sz w:val="20"/>
                <w:szCs w:val="20"/>
                <w:color w:val="auto"/>
              </w:rPr>
            </w:pPr>
            <w:r>
              <w:rPr>
                <w:rFonts w:ascii="Times New Roman" w:cs="Times New Roman" w:eastAsia="Times New Roman" w:hAnsi="Times New Roman"/>
                <w:sz w:val="22"/>
                <w:szCs w:val="22"/>
                <w:color w:val="auto"/>
                <w:w w:val="99"/>
              </w:rPr>
              <w:t>19</w:t>
            </w:r>
          </w:p>
        </w:tc>
        <w:tc>
          <w:tcPr>
            <w:tcW w:w="326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22"/>
                <w:szCs w:val="22"/>
                <w:color w:val="auto"/>
                <w:w w:val="98"/>
              </w:rPr>
              <w:t>58.3%</w:t>
            </w:r>
          </w:p>
        </w:tc>
        <w:tc>
          <w:tcPr>
            <w:tcW w:w="20" w:type="dxa"/>
            <w:vAlign w:val="bottom"/>
            <w:tcBorders>
              <w:bottom w:val="single" w:sz="8" w:color="auto"/>
            </w:tcBorders>
            <w:shd w:val="clear" w:color="auto" w:fill="000000"/>
          </w:tcPr>
          <w:p>
            <w:pPr>
              <w:spacing w:after="0"/>
              <w:rPr>
                <w:sz w:val="24"/>
                <w:szCs w:val="24"/>
                <w:color w:val="auto"/>
              </w:rPr>
            </w:pPr>
          </w:p>
        </w:tc>
      </w:tr>
      <w:tr>
        <w:trPr>
          <w:trHeight w:val="277"/>
        </w:trPr>
        <w:tc>
          <w:tcPr>
            <w:tcW w:w="3300" w:type="dxa"/>
            <w:vAlign w:val="bottom"/>
            <w:tcBorders>
              <w:left w:val="single" w:sz="8" w:color="auto"/>
              <w:bottom w:val="single" w:sz="8" w:color="auto"/>
              <w:right w:val="single" w:sz="8" w:color="auto"/>
            </w:tcBorders>
          </w:tcPr>
          <w:p>
            <w:pPr>
              <w:jc w:val="center"/>
              <w:ind w:left="412"/>
              <w:spacing w:after="0"/>
              <w:rPr>
                <w:sz w:val="20"/>
                <w:szCs w:val="20"/>
                <w:color w:val="auto"/>
              </w:rPr>
            </w:pPr>
            <w:r>
              <w:rPr>
                <w:rFonts w:ascii="Times New Roman" w:cs="Times New Roman" w:eastAsia="Times New Roman" w:hAnsi="Times New Roman"/>
                <w:sz w:val="22"/>
                <w:szCs w:val="22"/>
                <w:color w:val="auto"/>
                <w:w w:val="99"/>
              </w:rPr>
              <w:t>20</w:t>
            </w:r>
          </w:p>
        </w:tc>
        <w:tc>
          <w:tcPr>
            <w:tcW w:w="326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22"/>
                <w:szCs w:val="22"/>
                <w:color w:val="auto"/>
                <w:w w:val="98"/>
              </w:rPr>
              <w:t>50.0%</w:t>
            </w:r>
          </w:p>
        </w:tc>
        <w:tc>
          <w:tcPr>
            <w:tcW w:w="20" w:type="dxa"/>
            <w:vAlign w:val="bottom"/>
            <w:tcBorders>
              <w:bottom w:val="single" w:sz="8" w:color="auto"/>
            </w:tcBorders>
            <w:shd w:val="clear" w:color="auto" w:fill="000000"/>
          </w:tcPr>
          <w:p>
            <w:pPr>
              <w:spacing w:after="0"/>
              <w:rPr>
                <w:sz w:val="24"/>
                <w:szCs w:val="24"/>
                <w:color w:val="auto"/>
              </w:rPr>
            </w:pPr>
          </w:p>
        </w:tc>
      </w:tr>
      <w:tr>
        <w:trPr>
          <w:trHeight w:val="277"/>
        </w:trPr>
        <w:tc>
          <w:tcPr>
            <w:tcW w:w="3300" w:type="dxa"/>
            <w:vAlign w:val="bottom"/>
            <w:tcBorders>
              <w:left w:val="single" w:sz="8" w:color="auto"/>
              <w:bottom w:val="single" w:sz="8" w:color="auto"/>
              <w:right w:val="single" w:sz="8" w:color="auto"/>
            </w:tcBorders>
          </w:tcPr>
          <w:p>
            <w:pPr>
              <w:jc w:val="center"/>
              <w:ind w:left="412"/>
              <w:spacing w:after="0"/>
              <w:rPr>
                <w:sz w:val="20"/>
                <w:szCs w:val="20"/>
                <w:color w:val="auto"/>
              </w:rPr>
            </w:pPr>
            <w:r>
              <w:rPr>
                <w:rFonts w:ascii="Times New Roman" w:cs="Times New Roman" w:eastAsia="Times New Roman" w:hAnsi="Times New Roman"/>
                <w:sz w:val="22"/>
                <w:szCs w:val="22"/>
                <w:color w:val="auto"/>
                <w:w w:val="99"/>
              </w:rPr>
              <w:t>21</w:t>
            </w:r>
          </w:p>
        </w:tc>
        <w:tc>
          <w:tcPr>
            <w:tcW w:w="326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22"/>
                <w:szCs w:val="22"/>
                <w:color w:val="auto"/>
                <w:w w:val="95"/>
              </w:rPr>
              <w:t>0%</w:t>
            </w:r>
          </w:p>
        </w:tc>
        <w:tc>
          <w:tcPr>
            <w:tcW w:w="20" w:type="dxa"/>
            <w:vAlign w:val="bottom"/>
            <w:tcBorders>
              <w:bottom w:val="single" w:sz="8" w:color="auto"/>
            </w:tcBorders>
            <w:shd w:val="clear" w:color="auto" w:fill="000000"/>
          </w:tcPr>
          <w:p>
            <w:pPr>
              <w:spacing w:after="0"/>
              <w:rPr>
                <w:sz w:val="24"/>
                <w:szCs w:val="24"/>
                <w:color w:val="auto"/>
              </w:rPr>
            </w:pPr>
          </w:p>
        </w:tc>
      </w:tr>
      <w:tr>
        <w:trPr>
          <w:trHeight w:val="277"/>
        </w:trPr>
        <w:tc>
          <w:tcPr>
            <w:tcW w:w="3300" w:type="dxa"/>
            <w:vAlign w:val="bottom"/>
            <w:tcBorders>
              <w:left w:val="single" w:sz="8" w:color="auto"/>
              <w:bottom w:val="single" w:sz="8" w:color="auto"/>
              <w:right w:val="single" w:sz="8" w:color="auto"/>
            </w:tcBorders>
          </w:tcPr>
          <w:p>
            <w:pPr>
              <w:jc w:val="center"/>
              <w:ind w:left="412"/>
              <w:spacing w:after="0"/>
              <w:rPr>
                <w:sz w:val="20"/>
                <w:szCs w:val="20"/>
                <w:color w:val="auto"/>
              </w:rPr>
            </w:pPr>
            <w:r>
              <w:rPr>
                <w:rFonts w:ascii="Times New Roman" w:cs="Times New Roman" w:eastAsia="Times New Roman" w:hAnsi="Times New Roman"/>
                <w:sz w:val="22"/>
                <w:szCs w:val="22"/>
                <w:color w:val="auto"/>
                <w:w w:val="99"/>
              </w:rPr>
              <w:t>22</w:t>
            </w:r>
          </w:p>
        </w:tc>
        <w:tc>
          <w:tcPr>
            <w:tcW w:w="326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22"/>
                <w:szCs w:val="22"/>
                <w:color w:val="auto"/>
                <w:w w:val="95"/>
              </w:rPr>
              <w:t>0%</w:t>
            </w:r>
          </w:p>
        </w:tc>
        <w:tc>
          <w:tcPr>
            <w:tcW w:w="20" w:type="dxa"/>
            <w:vAlign w:val="bottom"/>
            <w:tcBorders>
              <w:bottom w:val="single" w:sz="8" w:color="auto"/>
            </w:tcBorders>
            <w:shd w:val="clear" w:color="auto" w:fill="000000"/>
          </w:tcPr>
          <w:p>
            <w:pPr>
              <w:spacing w:after="0"/>
              <w:rPr>
                <w:sz w:val="24"/>
                <w:szCs w:val="24"/>
                <w:color w:val="auto"/>
              </w:rPr>
            </w:pPr>
          </w:p>
        </w:tc>
      </w:tr>
      <w:tr>
        <w:trPr>
          <w:trHeight w:val="277"/>
        </w:trPr>
        <w:tc>
          <w:tcPr>
            <w:tcW w:w="3300" w:type="dxa"/>
            <w:vAlign w:val="bottom"/>
            <w:tcBorders>
              <w:left w:val="single" w:sz="8" w:color="auto"/>
              <w:bottom w:val="single" w:sz="8" w:color="auto"/>
              <w:right w:val="single" w:sz="8" w:color="auto"/>
            </w:tcBorders>
          </w:tcPr>
          <w:p>
            <w:pPr>
              <w:jc w:val="center"/>
              <w:ind w:left="412"/>
              <w:spacing w:after="0"/>
              <w:rPr>
                <w:sz w:val="20"/>
                <w:szCs w:val="20"/>
                <w:color w:val="auto"/>
              </w:rPr>
            </w:pPr>
            <w:r>
              <w:rPr>
                <w:rFonts w:ascii="Times New Roman" w:cs="Times New Roman" w:eastAsia="Times New Roman" w:hAnsi="Times New Roman"/>
                <w:sz w:val="22"/>
                <w:szCs w:val="22"/>
                <w:color w:val="auto"/>
                <w:w w:val="99"/>
              </w:rPr>
              <w:t>23</w:t>
            </w:r>
          </w:p>
        </w:tc>
        <w:tc>
          <w:tcPr>
            <w:tcW w:w="326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22"/>
                <w:szCs w:val="22"/>
                <w:color w:val="auto"/>
                <w:w w:val="95"/>
              </w:rPr>
              <w:t>0%</w:t>
            </w:r>
          </w:p>
        </w:tc>
        <w:tc>
          <w:tcPr>
            <w:tcW w:w="20" w:type="dxa"/>
            <w:vAlign w:val="bottom"/>
            <w:tcBorders>
              <w:bottom w:val="single" w:sz="8" w:color="auto"/>
            </w:tcBorders>
            <w:shd w:val="clear" w:color="auto" w:fill="000000"/>
          </w:tcPr>
          <w:p>
            <w:pPr>
              <w:spacing w:after="0"/>
              <w:rPr>
                <w:sz w:val="24"/>
                <w:szCs w:val="24"/>
                <w:color w:val="auto"/>
              </w:rPr>
            </w:pPr>
          </w:p>
        </w:tc>
      </w:tr>
      <w:tr>
        <w:trPr>
          <w:trHeight w:val="277"/>
        </w:trPr>
        <w:tc>
          <w:tcPr>
            <w:tcW w:w="3300" w:type="dxa"/>
            <w:vAlign w:val="bottom"/>
            <w:tcBorders>
              <w:left w:val="single" w:sz="8" w:color="auto"/>
              <w:bottom w:val="single" w:sz="8" w:color="auto"/>
              <w:right w:val="single" w:sz="8" w:color="auto"/>
            </w:tcBorders>
          </w:tcPr>
          <w:p>
            <w:pPr>
              <w:jc w:val="center"/>
              <w:ind w:left="412"/>
              <w:spacing w:after="0"/>
              <w:rPr>
                <w:sz w:val="20"/>
                <w:szCs w:val="20"/>
                <w:color w:val="auto"/>
              </w:rPr>
            </w:pPr>
            <w:r>
              <w:rPr>
                <w:rFonts w:ascii="Times New Roman" w:cs="Times New Roman" w:eastAsia="Times New Roman" w:hAnsi="Times New Roman"/>
                <w:sz w:val="22"/>
                <w:szCs w:val="22"/>
                <w:color w:val="auto"/>
                <w:w w:val="99"/>
              </w:rPr>
              <w:t>24</w:t>
            </w:r>
          </w:p>
        </w:tc>
        <w:tc>
          <w:tcPr>
            <w:tcW w:w="326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22"/>
                <w:szCs w:val="22"/>
                <w:color w:val="auto"/>
                <w:w w:val="95"/>
              </w:rPr>
              <w:t>0%</w:t>
            </w:r>
          </w:p>
        </w:tc>
        <w:tc>
          <w:tcPr>
            <w:tcW w:w="20" w:type="dxa"/>
            <w:vAlign w:val="bottom"/>
            <w:tcBorders>
              <w:bottom w:val="single" w:sz="8" w:color="auto"/>
            </w:tcBorders>
            <w:shd w:val="clear" w:color="auto" w:fill="000000"/>
          </w:tcPr>
          <w:p>
            <w:pPr>
              <w:spacing w:after="0"/>
              <w:rPr>
                <w:sz w:val="24"/>
                <w:szCs w:val="24"/>
                <w:color w:val="auto"/>
              </w:rPr>
            </w:pPr>
          </w:p>
        </w:tc>
      </w:tr>
      <w:tr>
        <w:trPr>
          <w:trHeight w:val="277"/>
        </w:trPr>
        <w:tc>
          <w:tcPr>
            <w:tcW w:w="3300" w:type="dxa"/>
            <w:vAlign w:val="bottom"/>
            <w:tcBorders>
              <w:left w:val="single" w:sz="8" w:color="auto"/>
              <w:bottom w:val="single" w:sz="8" w:color="auto"/>
              <w:right w:val="single" w:sz="8" w:color="auto"/>
            </w:tcBorders>
          </w:tcPr>
          <w:p>
            <w:pPr>
              <w:jc w:val="center"/>
              <w:ind w:left="412"/>
              <w:spacing w:after="0"/>
              <w:rPr>
                <w:sz w:val="20"/>
                <w:szCs w:val="20"/>
                <w:color w:val="auto"/>
              </w:rPr>
            </w:pPr>
            <w:r>
              <w:rPr>
                <w:rFonts w:ascii="Times New Roman" w:cs="Times New Roman" w:eastAsia="Times New Roman" w:hAnsi="Times New Roman"/>
                <w:sz w:val="22"/>
                <w:szCs w:val="22"/>
                <w:color w:val="auto"/>
                <w:w w:val="99"/>
              </w:rPr>
              <w:t>25</w:t>
            </w:r>
          </w:p>
        </w:tc>
        <w:tc>
          <w:tcPr>
            <w:tcW w:w="326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22"/>
                <w:szCs w:val="22"/>
                <w:color w:val="auto"/>
                <w:w w:val="95"/>
              </w:rPr>
              <w:t>0%</w:t>
            </w:r>
          </w:p>
        </w:tc>
        <w:tc>
          <w:tcPr>
            <w:tcW w:w="20" w:type="dxa"/>
            <w:vAlign w:val="bottom"/>
            <w:tcBorders>
              <w:bottom w:val="single" w:sz="8" w:color="auto"/>
            </w:tcBorders>
            <w:shd w:val="clear" w:color="auto" w:fill="000000"/>
          </w:tcPr>
          <w:p>
            <w:pPr>
              <w:spacing w:after="0"/>
              <w:rPr>
                <w:sz w:val="24"/>
                <w:szCs w:val="24"/>
                <w:color w:val="auto"/>
              </w:rPr>
            </w:pPr>
          </w:p>
        </w:tc>
      </w:tr>
      <w:tr>
        <w:trPr>
          <w:trHeight w:val="277"/>
        </w:trPr>
        <w:tc>
          <w:tcPr>
            <w:tcW w:w="3300" w:type="dxa"/>
            <w:vAlign w:val="bottom"/>
            <w:tcBorders>
              <w:left w:val="single" w:sz="8" w:color="auto"/>
              <w:bottom w:val="single" w:sz="8" w:color="auto"/>
              <w:right w:val="single" w:sz="8" w:color="auto"/>
            </w:tcBorders>
          </w:tcPr>
          <w:p>
            <w:pPr>
              <w:jc w:val="center"/>
              <w:ind w:left="412"/>
              <w:spacing w:after="0"/>
              <w:rPr>
                <w:sz w:val="20"/>
                <w:szCs w:val="20"/>
                <w:color w:val="auto"/>
              </w:rPr>
            </w:pPr>
            <w:r>
              <w:rPr>
                <w:rFonts w:ascii="Times New Roman" w:cs="Times New Roman" w:eastAsia="Times New Roman" w:hAnsi="Times New Roman"/>
                <w:sz w:val="22"/>
                <w:szCs w:val="22"/>
                <w:color w:val="auto"/>
                <w:w w:val="99"/>
              </w:rPr>
              <w:t>26</w:t>
            </w:r>
          </w:p>
        </w:tc>
        <w:tc>
          <w:tcPr>
            <w:tcW w:w="326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22"/>
                <w:szCs w:val="22"/>
                <w:color w:val="auto"/>
                <w:w w:val="95"/>
              </w:rPr>
              <w:t>0%</w:t>
            </w:r>
          </w:p>
        </w:tc>
        <w:tc>
          <w:tcPr>
            <w:tcW w:w="20" w:type="dxa"/>
            <w:vAlign w:val="bottom"/>
            <w:tcBorders>
              <w:bottom w:val="single" w:sz="8" w:color="auto"/>
            </w:tcBorders>
            <w:shd w:val="clear" w:color="auto" w:fill="000000"/>
          </w:tcPr>
          <w:p>
            <w:pPr>
              <w:spacing w:after="0"/>
              <w:rPr>
                <w:sz w:val="24"/>
                <w:szCs w:val="24"/>
                <w:color w:val="auto"/>
              </w:rPr>
            </w:pPr>
          </w:p>
        </w:tc>
      </w:tr>
      <w:tr>
        <w:trPr>
          <w:trHeight w:val="277"/>
        </w:trPr>
        <w:tc>
          <w:tcPr>
            <w:tcW w:w="3300" w:type="dxa"/>
            <w:vAlign w:val="bottom"/>
            <w:tcBorders>
              <w:left w:val="single" w:sz="8" w:color="auto"/>
              <w:bottom w:val="single" w:sz="8" w:color="auto"/>
              <w:right w:val="single" w:sz="8" w:color="auto"/>
            </w:tcBorders>
          </w:tcPr>
          <w:p>
            <w:pPr>
              <w:jc w:val="center"/>
              <w:ind w:left="412"/>
              <w:spacing w:after="0"/>
              <w:rPr>
                <w:sz w:val="20"/>
                <w:szCs w:val="20"/>
                <w:color w:val="auto"/>
              </w:rPr>
            </w:pPr>
            <w:r>
              <w:rPr>
                <w:rFonts w:ascii="Times New Roman" w:cs="Times New Roman" w:eastAsia="Times New Roman" w:hAnsi="Times New Roman"/>
                <w:sz w:val="22"/>
                <w:szCs w:val="22"/>
                <w:color w:val="auto"/>
                <w:w w:val="99"/>
              </w:rPr>
              <w:t>27</w:t>
            </w:r>
          </w:p>
        </w:tc>
        <w:tc>
          <w:tcPr>
            <w:tcW w:w="326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22"/>
                <w:szCs w:val="22"/>
                <w:color w:val="auto"/>
                <w:w w:val="95"/>
              </w:rPr>
              <w:t>0%</w:t>
            </w:r>
          </w:p>
        </w:tc>
        <w:tc>
          <w:tcPr>
            <w:tcW w:w="20" w:type="dxa"/>
            <w:vAlign w:val="bottom"/>
            <w:tcBorders>
              <w:bottom w:val="single" w:sz="8" w:color="auto"/>
            </w:tcBorders>
            <w:shd w:val="clear" w:color="auto" w:fill="000000"/>
          </w:tcPr>
          <w:p>
            <w:pPr>
              <w:spacing w:after="0"/>
              <w:rPr>
                <w:sz w:val="24"/>
                <w:szCs w:val="24"/>
                <w:color w:val="auto"/>
              </w:rPr>
            </w:pPr>
          </w:p>
        </w:tc>
      </w:tr>
    </w:tbl>
    <w:p>
      <w:pPr>
        <w:sectPr>
          <w:pgSz w:w="11900" w:h="16838" w:orient="portrait"/>
          <w:cols w:equalWidth="0" w:num="1">
            <w:col w:w="10139"/>
          </w:cols>
          <w:pgMar w:left="320" w:top="1408" w:right="1440" w:bottom="1440" w:gutter="0" w:footer="0" w:header="0"/>
          <w:type w:val="continuous"/>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10.40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Issuance Agreement – ROE</w:t>
      </w:r>
    </w:p>
    <w:p>
      <w:pPr>
        <w:spacing w:after="0" w:line="2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 xml:space="preserve">SJW </w:t>
      </w:r>
      <w:r>
        <w:rPr>
          <w:rFonts w:ascii="Times New Roman" w:cs="Times New Roman" w:eastAsia="Times New Roman" w:hAnsi="Times New Roman"/>
          <w:sz w:val="21"/>
          <w:szCs w:val="21"/>
          <w:b w:val="1"/>
          <w:bCs w:val="1"/>
          <w:color w:val="auto"/>
        </w:rPr>
        <w:t>GROUP</w:t>
      </w:r>
    </w:p>
    <w:p>
      <w:pPr>
        <w:spacing w:after="0" w:line="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RESTRICTED STOCK UNIT ISSUANCE AGREEMENT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42" w:lineRule="exact"/>
        <w:rPr>
          <w:sz w:val="20"/>
          <w:szCs w:val="20"/>
          <w:color w:val="auto"/>
        </w:rPr>
      </w:pPr>
    </w:p>
    <w:p>
      <w:pPr>
        <w:ind w:firstLine="494"/>
        <w:spacing w:after="0" w:line="255" w:lineRule="auto"/>
        <w:tabs>
          <w:tab w:leader="none" w:pos="128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has adopted the Plan for the purpose of retaining the services of selected Employees of the Corporation (or any Parent or Subsidiary).</w:t>
      </w:r>
    </w:p>
    <w:p>
      <w:pPr>
        <w:spacing w:after="0" w:line="199" w:lineRule="exact"/>
        <w:rPr>
          <w:rFonts w:ascii="Times New Roman" w:cs="Times New Roman" w:eastAsia="Times New Roman" w:hAnsi="Times New Roman"/>
          <w:sz w:val="20"/>
          <w:szCs w:val="20"/>
          <w:color w:val="auto"/>
        </w:rPr>
      </w:pPr>
    </w:p>
    <w:p>
      <w:pPr>
        <w:jc w:val="both"/>
        <w:ind w:firstLine="494"/>
        <w:spacing w:after="0" w:line="268" w:lineRule="auto"/>
        <w:tabs>
          <w:tab w:leader="none" w:pos="1288"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is to render valuable services to the Corporation (or a Parent or Subsidiary), and this Agreement is executed pursuant to, and is intended to carry out the purposes of, the Plan in connection with the Corporation’s issuance of an equity incentive award under the Plan designed to retain Participant’s continued service.</w:t>
      </w:r>
    </w:p>
    <w:p>
      <w:pPr>
        <w:spacing w:after="0" w:line="188" w:lineRule="exact"/>
        <w:rPr>
          <w:rFonts w:ascii="Times New Roman" w:cs="Times New Roman" w:eastAsia="Times New Roman" w:hAnsi="Times New Roman"/>
          <w:sz w:val="20"/>
          <w:szCs w:val="20"/>
          <w:color w:val="auto"/>
        </w:rPr>
      </w:pPr>
    </w:p>
    <w:p>
      <w:pPr>
        <w:ind w:left="1300" w:hanging="806"/>
        <w:spacing w:after="0"/>
        <w:tabs>
          <w:tab w:leader="none" w:pos="13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capitalized terms in this Agreement shall have the meaning assigned to them in the attached Appendix 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19"/>
          <w:szCs w:val="19"/>
          <w:color w:val="auto"/>
        </w:rPr>
        <w:t>it is hereby agreed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follows:</w:t>
      </w:r>
    </w:p>
    <w:p>
      <w:pPr>
        <w:spacing w:after="0" w:line="233" w:lineRule="exact"/>
        <w:rPr>
          <w:sz w:val="20"/>
          <w:szCs w:val="20"/>
          <w:color w:val="auto"/>
        </w:rPr>
      </w:pPr>
    </w:p>
    <w:p>
      <w:pPr>
        <w:jc w:val="both"/>
        <w:ind w:firstLine="494"/>
        <w:spacing w:after="0" w:line="255" w:lineRule="auto"/>
        <w:tabs>
          <w:tab w:leader="none" w:pos="94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Grant of Restricted Stock Units</w:t>
      </w:r>
      <w:r>
        <w:rPr>
          <w:rFonts w:ascii="Times New Roman" w:cs="Times New Roman" w:eastAsia="Times New Roman" w:hAnsi="Times New Roman"/>
          <w:sz w:val="19"/>
          <w:szCs w:val="19"/>
          <w:color w:val="auto"/>
        </w:rPr>
        <w:t>. The Corporation hereby awards to Participant, as of the Award Date, a performance-based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award (the “Award”) under the Plan entitling Participant to receive a number of shares of Common Stock based upon the attainment of a pre-established performance objective tied to return on equity measured over a specified measurement period, provided Participant continues in Service through the completion date of that measurement period. The target number of shares of Common Stock used to determine Participant’s rights under the Award (the “Target Shares”) shall be the number of shares designated as Target Granted for the Award as set forth on the “Acknowledge Grant” page (which is incorporated as part of this Agreement), rounded up to the next whole share, linked to the Award in Participant’s personal web portal administered by Computershare Online Services, or a successor administrator, website. The actual number of shares of Common Stock that may become issuable pursuant to the Award shall be determined in accordance with the Vesting Schedule below. The applicable performance target for the vesting of those shares, the alternative and special vesting provisions which may become applicable to such shares, the date or dates on which the vested shares shall become issuable to Participant and the remaining terms and conditions governing the Award shall be as set forth in this Agreement.</w:t>
      </w:r>
    </w:p>
    <w:p>
      <w:pPr>
        <w:spacing w:after="0" w:line="19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Award </w:t>
      </w:r>
      <w:r>
        <w:rPr>
          <w:rFonts w:ascii="Times New Roman" w:cs="Times New Roman" w:eastAsia="Times New Roman" w:hAnsi="Times New Roman"/>
          <w:sz w:val="21"/>
          <w:szCs w:val="21"/>
          <w:color w:val="auto"/>
        </w:rPr>
        <w:t>Date: ________________</w:t>
      </w:r>
    </w:p>
    <w:p>
      <w:pPr>
        <w:spacing w:after="0" w:line="23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 xml:space="preserve">Vesting </w:t>
      </w:r>
      <w:r>
        <w:rPr>
          <w:rFonts w:ascii="Times New Roman" w:cs="Times New Roman" w:eastAsia="Times New Roman" w:hAnsi="Times New Roman"/>
          <w:sz w:val="21"/>
          <w:szCs w:val="21"/>
          <w:color w:val="auto"/>
        </w:rPr>
        <w:t>Schedule:</w:t>
      </w:r>
      <w:r>
        <w:rPr>
          <w:rFonts w:ascii="Times New Roman" w:cs="Times New Roman" w:eastAsia="Times New Roman" w:hAnsi="Times New Roman"/>
          <w:sz w:val="20"/>
          <w:szCs w:val="20"/>
          <w:color w:val="auto"/>
        </w:rPr>
        <w:t xml:space="preserve"> The number of shares of Common Stock which may </w:t>
      </w:r>
      <w:r>
        <w:rPr>
          <w:rFonts w:ascii="Times New Roman" w:cs="Times New Roman" w:eastAsia="Times New Roman" w:hAnsi="Times New Roman"/>
          <w:sz w:val="21"/>
          <w:szCs w:val="21"/>
          <w:color w:val="auto"/>
        </w:rPr>
        <w:t>actually</w:t>
      </w:r>
    </w:p>
    <w:p>
      <w:pPr>
        <w:spacing w:after="0" w:line="41" w:lineRule="exact"/>
        <w:rPr>
          <w:sz w:val="20"/>
          <w:szCs w:val="20"/>
          <w:color w:val="auto"/>
        </w:rPr>
      </w:pPr>
    </w:p>
    <w:p>
      <w:pPr>
        <w:jc w:val="both"/>
        <w:ind w:left="3080"/>
        <w:spacing w:after="0" w:line="241" w:lineRule="auto"/>
        <w:rPr>
          <w:sz w:val="20"/>
          <w:szCs w:val="20"/>
          <w:color w:val="auto"/>
        </w:rPr>
      </w:pPr>
      <w:r>
        <w:rPr>
          <w:rFonts w:ascii="Times New Roman" w:cs="Times New Roman" w:eastAsia="Times New Roman" w:hAnsi="Times New Roman"/>
          <w:sz w:val="20"/>
          <w:szCs w:val="20"/>
          <w:color w:val="auto"/>
        </w:rPr>
        <w:t xml:space="preserve">vest and become issuable pursuant to the Award shall be determined pursuant to a two-step process: (i) first the maximum number of shares of Common Stock in which Participant can vest under the Performance Vesting section below shall be calculated on the basis of the level at which the Performance Objective specified on attached Schedule I is actually attained and (ii) then the number of shares calculated under clause (i) in which Participant may actually vest shall be determined on the basis of his or her </w:t>
      </w:r>
      <w:r>
        <w:rPr>
          <w:rFonts w:ascii="Times New Roman" w:cs="Times New Roman" w:eastAsia="Times New Roman" w:hAnsi="Times New Roman"/>
          <w:sz w:val="21"/>
          <w:szCs w:val="21"/>
          <w:color w:val="auto"/>
        </w:rPr>
        <w:t>completion</w:t>
      </w:r>
      <w:r>
        <w:rPr>
          <w:rFonts w:ascii="Times New Roman" w:cs="Times New Roman" w:eastAsia="Times New Roman" w:hAnsi="Times New Roman"/>
          <w:sz w:val="20"/>
          <w:szCs w:val="20"/>
          <w:color w:val="auto"/>
        </w:rPr>
        <w:t xml:space="preserve"> of the applicable Service vesting requirements set forth in Paragraph 3 of this Agreement.</w:t>
      </w:r>
    </w:p>
    <w:p>
      <w:pPr>
        <w:sectPr>
          <w:pgSz w:w="11900" w:h="16838" w:orient="portrait"/>
          <w:cols w:equalWidth="0" w:num="1">
            <w:col w:w="11240"/>
          </w:cols>
          <w:pgMar w:left="320" w:top="117" w:right="339" w:bottom="1440" w:gutter="0" w:footer="0" w:header="0"/>
        </w:sectPr>
      </w:pPr>
    </w:p>
    <w:bookmarkStart w:id="130" w:name="page131"/>
    <w:bookmarkEnd w:id="130"/>
    <w:p>
      <w:pPr>
        <w:spacing w:after="0" w:line="206" w:lineRule="exact"/>
        <w:rPr>
          <w:sz w:val="20"/>
          <w:szCs w:val="20"/>
          <w:color w:val="auto"/>
        </w:rPr>
      </w:pPr>
    </w:p>
    <w:p>
      <w:pPr>
        <w:jc w:val="both"/>
        <w:ind w:left="2424"/>
        <w:spacing w:after="0" w:line="265" w:lineRule="auto"/>
        <w:rPr>
          <w:sz w:val="20"/>
          <w:szCs w:val="20"/>
          <w:color w:val="auto"/>
        </w:rPr>
      </w:pPr>
      <w:r>
        <w:rPr>
          <w:rFonts w:ascii="Times New Roman" w:cs="Times New Roman" w:eastAsia="Times New Roman" w:hAnsi="Times New Roman"/>
          <w:sz w:val="22"/>
          <w:szCs w:val="22"/>
          <w:b w:val="1"/>
          <w:bCs w:val="1"/>
          <w:i w:val="1"/>
          <w:iCs w:val="1"/>
          <w:color w:val="auto"/>
        </w:rPr>
        <w:t>Performance Vesting</w:t>
      </w:r>
      <w:r>
        <w:rPr>
          <w:rFonts w:ascii="Times New Roman" w:cs="Times New Roman" w:eastAsia="Times New Roman" w:hAnsi="Times New Roman"/>
          <w:sz w:val="19"/>
          <w:szCs w:val="19"/>
          <w:color w:val="auto"/>
        </w:rPr>
        <w:t>: Attached Schedule I specifies the Performance Objective to be attained for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the specified Measurement Period. No later than the last business day of February in the calendar year immediately following the end of the Measurement Period, the Plan Administrator shall determine and certify the actual level of attainment for the Performance Objective (the “Performance Certification Date”). On the basis of that certified level of attainment, the number of Target Shares will be multiplied by the applicable percentage (which may range from 0% to 150%) determined in accordance with the table set forth in Schedule I. The number of shares resulting from such calculation shall constitute the maximum number of shares of Common Stock in which Participant may vest under this Award and shall be designated the “Performance-Qualified Shares”. In no event may the number of such Performance-Qualified Shares exceed 150% of the number of Target Shares.</w:t>
      </w:r>
    </w:p>
    <w:p>
      <w:pPr>
        <w:spacing w:after="0" w:line="179" w:lineRule="exact"/>
        <w:rPr>
          <w:sz w:val="20"/>
          <w:szCs w:val="20"/>
          <w:color w:val="auto"/>
        </w:rPr>
      </w:pPr>
    </w:p>
    <w:p>
      <w:pPr>
        <w:jc w:val="both"/>
        <w:ind w:left="2424"/>
        <w:spacing w:after="0" w:line="254" w:lineRule="auto"/>
        <w:rPr>
          <w:sz w:val="20"/>
          <w:szCs w:val="20"/>
          <w:color w:val="auto"/>
        </w:rPr>
      </w:pPr>
      <w:r>
        <w:rPr>
          <w:rFonts w:ascii="Times New Roman" w:cs="Times New Roman" w:eastAsia="Times New Roman" w:hAnsi="Times New Roman"/>
          <w:sz w:val="20"/>
          <w:szCs w:val="20"/>
          <w:color w:val="auto"/>
        </w:rPr>
        <w:t>Should the Performance Objective be attained at a level below the threshold level specified in attached Schedule I, the Award shall be forfeited and shall be immediately cancelled. Participant shall thereupon cease to have any further right, title or interest in the shares of Common Stock underlying the cancelled Award.</w:t>
      </w:r>
    </w:p>
    <w:p>
      <w:pPr>
        <w:spacing w:after="0" w:line="190" w:lineRule="exact"/>
        <w:rPr>
          <w:sz w:val="20"/>
          <w:szCs w:val="20"/>
          <w:color w:val="auto"/>
        </w:rPr>
      </w:pPr>
    </w:p>
    <w:p>
      <w:pPr>
        <w:jc w:val="both"/>
        <w:ind w:left="2424"/>
        <w:spacing w:after="0" w:line="259" w:lineRule="auto"/>
        <w:rPr>
          <w:sz w:val="20"/>
          <w:szCs w:val="20"/>
          <w:color w:val="auto"/>
        </w:rPr>
      </w:pPr>
      <w:r>
        <w:rPr>
          <w:rFonts w:ascii="Times New Roman" w:cs="Times New Roman" w:eastAsia="Times New Roman" w:hAnsi="Times New Roman"/>
          <w:sz w:val="22"/>
          <w:szCs w:val="22"/>
          <w:b w:val="1"/>
          <w:bCs w:val="1"/>
          <w:i w:val="1"/>
          <w:iCs w:val="1"/>
          <w:color w:val="auto"/>
        </w:rPr>
        <w:t xml:space="preserve">Service Vesting. </w:t>
      </w:r>
      <w:r>
        <w:rPr>
          <w:rFonts w:ascii="Times New Roman" w:cs="Times New Roman" w:eastAsia="Times New Roman" w:hAnsi="Times New Roman"/>
          <w:sz w:val="19"/>
          <w:szCs w:val="19"/>
          <w:color w:val="auto"/>
        </w:rPr>
        <w:t>The number of Performance-Qualified Shares in which Participant actually vests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shall be determined on the basis of Participant’s satisfaction of the Service vesting requirements set forth in Paragraph 3.</w:t>
      </w:r>
    </w:p>
    <w:p>
      <w:pPr>
        <w:spacing w:after="0" w:line="187" w:lineRule="exact"/>
        <w:rPr>
          <w:sz w:val="20"/>
          <w:szCs w:val="20"/>
          <w:color w:val="auto"/>
        </w:rPr>
      </w:pPr>
    </w:p>
    <w:p>
      <w:pPr>
        <w:jc w:val="both"/>
        <w:ind w:left="2424"/>
        <w:spacing w:after="0" w:line="266" w:lineRule="auto"/>
        <w:rPr>
          <w:sz w:val="20"/>
          <w:szCs w:val="20"/>
          <w:color w:val="auto"/>
        </w:rPr>
      </w:pPr>
      <w:r>
        <w:rPr>
          <w:rFonts w:ascii="Times New Roman" w:cs="Times New Roman" w:eastAsia="Times New Roman" w:hAnsi="Times New Roman"/>
          <w:sz w:val="22"/>
          <w:szCs w:val="22"/>
          <w:b w:val="1"/>
          <w:bCs w:val="1"/>
          <w:i w:val="1"/>
          <w:iCs w:val="1"/>
          <w:color w:val="auto"/>
        </w:rPr>
        <w:t xml:space="preserve">Change in Control Vesting. </w:t>
      </w:r>
      <w:r>
        <w:rPr>
          <w:rFonts w:ascii="Times New Roman" w:cs="Times New Roman" w:eastAsia="Times New Roman" w:hAnsi="Times New Roman"/>
          <w:sz w:val="19"/>
          <w:szCs w:val="19"/>
          <w:color w:val="auto"/>
        </w:rPr>
        <w:t>The shares of Common Stock underlying the Award may also vest 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an alternative basis in accordance with Paragraph 5 should a Change in Control occur prior to the completion of the Measurement Period.</w:t>
      </w:r>
    </w:p>
    <w:p>
      <w:pPr>
        <w:spacing w:after="0" w:line="186" w:lineRule="exact"/>
        <w:rPr>
          <w:sz w:val="20"/>
          <w:szCs w:val="20"/>
          <w:color w:val="auto"/>
        </w:rPr>
      </w:pPr>
    </w:p>
    <w:p>
      <w:pPr>
        <w:jc w:val="both"/>
        <w:ind w:left="2424" w:hanging="1781"/>
        <w:spacing w:after="0" w:line="251" w:lineRule="auto"/>
        <w:rPr>
          <w:sz w:val="20"/>
          <w:szCs w:val="20"/>
          <w:color w:val="auto"/>
        </w:rPr>
      </w:pPr>
      <w:r>
        <w:rPr>
          <w:rFonts w:ascii="Times New Roman" w:cs="Times New Roman" w:eastAsia="Times New Roman" w:hAnsi="Times New Roman"/>
          <w:sz w:val="20"/>
          <w:szCs w:val="20"/>
          <w:color w:val="auto"/>
        </w:rPr>
        <w:t xml:space="preserve">Issuance </w:t>
      </w:r>
      <w:r>
        <w:rPr>
          <w:rFonts w:ascii="Times New Roman" w:cs="Times New Roman" w:eastAsia="Times New Roman" w:hAnsi="Times New Roman"/>
          <w:sz w:val="21"/>
          <w:szCs w:val="21"/>
          <w:color w:val="auto"/>
        </w:rPr>
        <w:t>Schedule:</w:t>
      </w:r>
      <w:r>
        <w:rPr>
          <w:rFonts w:ascii="Times New Roman" w:cs="Times New Roman" w:eastAsia="Times New Roman" w:hAnsi="Times New Roman"/>
          <w:sz w:val="20"/>
          <w:szCs w:val="20"/>
          <w:color w:val="auto"/>
        </w:rPr>
        <w:t xml:space="preserve"> The shares of Common Stock which actually vest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0"/>
          <w:szCs w:val="20"/>
          <w:color w:val="auto"/>
        </w:rPr>
        <w:t xml:space="preserve"> become issuable pursuant to the terms of this Agreement shall be issued in accordance with the provisions of this Agreement applicable to the particular circumstances under which such vesting occurs. The actual issuance of the shares shall be subject to the Corporation’s collection of all applicable Withholding Taxes as set forth in Paragraph 7 of this Agreement.</w:t>
      </w:r>
    </w:p>
    <w:p>
      <w:pPr>
        <w:spacing w:after="0" w:line="185" w:lineRule="exact"/>
        <w:rPr>
          <w:sz w:val="20"/>
          <w:szCs w:val="20"/>
          <w:color w:val="auto"/>
        </w:rPr>
      </w:pPr>
    </w:p>
    <w:p>
      <w:pPr>
        <w:jc w:val="both"/>
        <w:ind w:left="-656" w:firstLine="656"/>
        <w:spacing w:after="0" w:line="244" w:lineRule="auto"/>
        <w:tabs>
          <w:tab w:leader="none" w:pos="45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Limited Transferability</w:t>
      </w:r>
      <w:r>
        <w:rPr>
          <w:rFonts w:ascii="Times New Roman" w:cs="Times New Roman" w:eastAsia="Times New Roman" w:hAnsi="Times New Roman"/>
          <w:sz w:val="19"/>
          <w:szCs w:val="19"/>
          <w:color w:val="auto"/>
        </w:rPr>
        <w:t>. Prior to actual receipt of the shares of Common Stock which vest and become issuable hereunder,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Participant may not transfer any interest in the Award or the underlying shares. Any shares which vest hereunder but which otherwise remain unissued at the time of Participant’s death may be transferred pursuant to the provisions of Participant’s will or the laws of inheritance or to Participant’s designated beneficiary or beneficiaries of this Award. Participant may also direct the Corporation to re-issue the stock certificates for any shares which in fact vest and become issuable under the Award during his lifetime to one or more designated family members or a trust</w:t>
      </w:r>
    </w:p>
    <w:p>
      <w:pPr>
        <w:sectPr>
          <w:pgSz w:w="11900" w:h="16838" w:orient="portrait"/>
          <w:cols w:equalWidth="0" w:num="1">
            <w:col w:w="10584"/>
          </w:cols>
          <w:pgMar w:left="976" w:top="1440" w:right="339" w:bottom="1440" w:gutter="0" w:footer="0" w:header="0"/>
        </w:sectPr>
      </w:pPr>
    </w:p>
    <w:bookmarkStart w:id="131" w:name="page132"/>
    <w:bookmarkEnd w:id="131"/>
    <w:p>
      <w:pPr>
        <w:spacing w:after="0" w:line="255" w:lineRule="auto"/>
        <w:rPr>
          <w:sz w:val="20"/>
          <w:szCs w:val="20"/>
          <w:color w:val="auto"/>
        </w:rPr>
      </w:pPr>
      <w:r>
        <w:rPr>
          <w:rFonts w:ascii="Times New Roman" w:cs="Times New Roman" w:eastAsia="Times New Roman" w:hAnsi="Times New Roman"/>
          <w:sz w:val="20"/>
          <w:szCs w:val="20"/>
          <w:color w:val="auto"/>
        </w:rPr>
        <w:t>established for Participant and/or his family members. Participant may make such a beneficiary designation or certificate directive at any time by filing the appropriate form with the Plan Administrator or its designee.</w:t>
      </w:r>
    </w:p>
    <w:p>
      <w:pPr>
        <w:spacing w:after="0" w:line="191" w:lineRule="exact"/>
        <w:rPr>
          <w:sz w:val="20"/>
          <w:szCs w:val="20"/>
          <w:color w:val="auto"/>
        </w:rPr>
      </w:pPr>
    </w:p>
    <w:p>
      <w:pPr>
        <w:jc w:val="both"/>
        <w:ind w:firstLine="656"/>
        <w:spacing w:after="0" w:line="261" w:lineRule="auto"/>
        <w:tabs>
          <w:tab w:leader="none" w:pos="109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Service Requirement</w:t>
      </w:r>
      <w:r>
        <w:rPr>
          <w:rFonts w:ascii="Times New Roman" w:cs="Times New Roman" w:eastAsia="Times New Roman" w:hAnsi="Times New Roman"/>
          <w:sz w:val="19"/>
          <w:szCs w:val="19"/>
          <w:color w:val="auto"/>
        </w:rPr>
        <w:t>. The number of Performance-Qualified Shares calculated in accordance with the Performance-Vesting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provisions of Paragraph 1 and attached Schedule I represent the maximum number of shares of Common Stock in which Participant can vest hereunder. The actual number of shares of Common Stock in which Participant shall vest shall be determined as follows:</w:t>
      </w:r>
    </w:p>
    <w:p>
      <w:pPr>
        <w:spacing w:after="0" w:line="206" w:lineRule="exact"/>
        <w:rPr>
          <w:rFonts w:ascii="Times New Roman" w:cs="Times New Roman" w:eastAsia="Times New Roman" w:hAnsi="Times New Roman"/>
          <w:sz w:val="22"/>
          <w:szCs w:val="22"/>
          <w:color w:val="auto"/>
        </w:rPr>
      </w:pPr>
    </w:p>
    <w:p>
      <w:pPr>
        <w:ind w:left="660" w:firstLine="644"/>
        <w:spacing w:after="0" w:line="268" w:lineRule="auto"/>
        <w:tabs>
          <w:tab w:leader="none" w:pos="1551" w:val="left"/>
        </w:tabs>
        <w:numPr>
          <w:ilvl w:val="1"/>
          <w:numId w:val="78"/>
        </w:numPr>
        <w:rPr>
          <w:rFonts w:ascii="Arial" w:cs="Arial" w:eastAsia="Arial" w:hAnsi="Arial"/>
          <w:sz w:val="20"/>
          <w:szCs w:val="20"/>
          <w:color w:val="auto"/>
        </w:rPr>
      </w:pPr>
      <w:r>
        <w:rPr>
          <w:rFonts w:ascii="Times New Roman" w:cs="Times New Roman" w:eastAsia="Times New Roman" w:hAnsi="Times New Roman"/>
          <w:sz w:val="20"/>
          <w:szCs w:val="20"/>
          <w:color w:val="auto"/>
        </w:rPr>
        <w:t>Participant shall vest in one hundred percent (100%) of the Performance- Qualified Shares on the Performance Certification Date provided Participant has remained in Service through the last day of the Measurement Period.</w:t>
      </w:r>
    </w:p>
    <w:p>
      <w:pPr>
        <w:spacing w:after="0" w:line="200" w:lineRule="exact"/>
        <w:rPr>
          <w:rFonts w:ascii="Arial" w:cs="Arial" w:eastAsia="Arial" w:hAnsi="Arial"/>
          <w:sz w:val="20"/>
          <w:szCs w:val="20"/>
          <w:color w:val="auto"/>
        </w:rPr>
      </w:pPr>
    </w:p>
    <w:p>
      <w:pPr>
        <w:jc w:val="both"/>
        <w:ind w:left="660" w:firstLine="644"/>
        <w:spacing w:after="0" w:line="263" w:lineRule="auto"/>
        <w:tabs>
          <w:tab w:leader="none" w:pos="1497" w:val="left"/>
        </w:tabs>
        <w:numPr>
          <w:ilvl w:val="1"/>
          <w:numId w:val="78"/>
        </w:numPr>
        <w:rPr>
          <w:rFonts w:ascii="Arial" w:cs="Arial" w:eastAsia="Arial" w:hAnsi="Arial"/>
          <w:sz w:val="19"/>
          <w:szCs w:val="19"/>
          <w:color w:val="auto"/>
        </w:rPr>
      </w:pPr>
      <w:r>
        <w:rPr>
          <w:rFonts w:ascii="Times New Roman" w:cs="Times New Roman" w:eastAsia="Times New Roman" w:hAnsi="Times New Roman"/>
          <w:sz w:val="19"/>
          <w:szCs w:val="19"/>
          <w:color w:val="auto"/>
        </w:rPr>
        <w:t>Except to the extent otherwise provided in Paragraph 5, should Participant’s cessation of Employee status occur prior to the completion of the Measurement Period by reason of (A) Participant’s death or Permanent Disability, (B) Participant’s Retirement,</w:t>
      </w:r>
    </w:p>
    <w:p>
      <w:pPr>
        <w:spacing w:after="0" w:line="1" w:lineRule="exact"/>
        <w:rPr>
          <w:rFonts w:ascii="Arial" w:cs="Arial" w:eastAsia="Arial" w:hAnsi="Arial"/>
          <w:sz w:val="19"/>
          <w:szCs w:val="19"/>
          <w:color w:val="auto"/>
        </w:rPr>
      </w:pPr>
    </w:p>
    <w:p>
      <w:pPr>
        <w:jc w:val="both"/>
        <w:ind w:left="660"/>
        <w:spacing w:after="0" w:line="246" w:lineRule="auto"/>
        <w:rPr>
          <w:rFonts w:ascii="Arial" w:cs="Arial" w:eastAsia="Arial" w:hAnsi="Arial"/>
          <w:sz w:val="19"/>
          <w:szCs w:val="19"/>
          <w:color w:val="auto"/>
        </w:rPr>
      </w:pPr>
      <w:r>
        <w:rPr>
          <w:rFonts w:ascii="Times New Roman" w:cs="Times New Roman" w:eastAsia="Times New Roman" w:hAnsi="Times New Roman"/>
          <w:sz w:val="20"/>
          <w:szCs w:val="20"/>
          <w:color w:val="auto"/>
        </w:rPr>
        <w:t>(C) Participant’s resignation from Employee status for Good Reason or (D) the Corporation’s termination of Participant’s Employee status other than for Good Cause, then Participant shall, following the completion of the applicable Measurement Period, vest in that number of shares of Common Stock determined by multiplying the Performance-Qualified Shares in which Participant could vest based on the actual level of attainment of the Performance Objective certified by the Plan Administrator by a fraction, the numerator of which is the number of whole months of Service (rounded up to the next whole month) completed by Participant during the Measurement Period and the denominator of which is the number of months constituting the Measurement Period.</w:t>
      </w:r>
    </w:p>
    <w:p>
      <w:pPr>
        <w:spacing w:after="0" w:line="224" w:lineRule="exact"/>
        <w:rPr>
          <w:rFonts w:ascii="Arial" w:cs="Arial" w:eastAsia="Arial" w:hAnsi="Arial"/>
          <w:sz w:val="19"/>
          <w:szCs w:val="19"/>
          <w:color w:val="auto"/>
        </w:rPr>
      </w:pPr>
    </w:p>
    <w:p>
      <w:pPr>
        <w:jc w:val="both"/>
        <w:ind w:left="660" w:firstLine="644"/>
        <w:spacing w:after="0" w:line="259" w:lineRule="auto"/>
        <w:tabs>
          <w:tab w:leader="none" w:pos="1510" w:val="left"/>
        </w:tabs>
        <w:numPr>
          <w:ilvl w:val="1"/>
          <w:numId w:val="78"/>
        </w:numPr>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If Participant’s Service ceases for any other reason prior to the completion of the Measurement Period, then Participant shall not vest in any of the shares of Common Stock, and all of Participant’s right, title and interest to the Award shall immediately terminate;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b w:val="1"/>
          <w:bCs w:val="1"/>
          <w:i w:val="1"/>
          <w:iCs w:val="1"/>
          <w:color w:val="auto"/>
        </w:rPr>
        <w:t>however</w:t>
      </w:r>
      <w:r>
        <w:rPr>
          <w:rFonts w:ascii="Times New Roman" w:cs="Times New Roman" w:eastAsia="Times New Roman" w:hAnsi="Times New Roman"/>
          <w:sz w:val="20"/>
          <w:szCs w:val="20"/>
          <w:color w:val="auto"/>
        </w:rPr>
        <w:t>, that should a Change in Control occur prior to the completion of the Measurement Period, then the provisions of Paragraph 5 shall govern the vesting of the shares.</w:t>
      </w:r>
    </w:p>
    <w:p>
      <w:pPr>
        <w:spacing w:after="0" w:line="2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To the extent Participant so vests in one or more Performance-Qualified Shares pursuant to this Paragraph 3, the underlying shares that vest on the Performance Certification Date shall be issued on the last business day of February in the calendar year immediately following the end of the Measurement Period (the “Issuance Date”), subject to the Corporation’s collection of the applicable Withholding Taxes, but in no event later than the close of the calendar year in which the Issuance Date occurs.</w:t>
      </w:r>
    </w:p>
    <w:p>
      <w:pPr>
        <w:spacing w:after="0" w:line="184" w:lineRule="exact"/>
        <w:rPr>
          <w:sz w:val="20"/>
          <w:szCs w:val="20"/>
          <w:color w:val="auto"/>
        </w:rPr>
      </w:pPr>
    </w:p>
    <w:p>
      <w:pPr>
        <w:jc w:val="both"/>
        <w:ind w:firstLine="656"/>
        <w:spacing w:after="0" w:line="261" w:lineRule="auto"/>
        <w:tabs>
          <w:tab w:leader="none" w:pos="10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Stockholder Rights</w:t>
      </w:r>
      <w:r>
        <w:rPr>
          <w:rFonts w:ascii="Times New Roman" w:cs="Times New Roman" w:eastAsia="Times New Roman" w:hAnsi="Times New Roman"/>
          <w:sz w:val="19"/>
          <w:szCs w:val="19"/>
          <w:color w:val="auto"/>
        </w:rPr>
        <w:t>. Participant shall not have any stockholder rights, including voting, dividend or liquidation rights,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respect to the shares of Common Stock subject to the Award until the shares vest and Participant becomes the record holder of those shares upon their actual issuance following the Corporation’s collection of the applicable Withholding Taxes.</w:t>
      </w:r>
    </w:p>
    <w:p>
      <w:pPr>
        <w:spacing w:after="0" w:line="184"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color w:val="auto"/>
        </w:rPr>
        <w:t>.</w:t>
      </w:r>
    </w:p>
    <w:p>
      <w:pPr>
        <w:spacing w:after="0" w:line="241" w:lineRule="exact"/>
        <w:rPr>
          <w:rFonts w:ascii="Times New Roman" w:cs="Times New Roman" w:eastAsia="Times New Roman" w:hAnsi="Times New Roman"/>
          <w:sz w:val="22"/>
          <w:szCs w:val="22"/>
          <w:color w:val="auto"/>
        </w:rPr>
      </w:pPr>
    </w:p>
    <w:p>
      <w:pPr>
        <w:jc w:val="both"/>
        <w:ind w:firstLine="1296"/>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 In the event a Change of Control occurs during the Measurement Period and Participant remains in Service through the effective date of the Change of Control, then the number of Performance-Qualified Shares issuable under the Award shall be equal to the Target Shares.</w:t>
      </w:r>
    </w:p>
    <w:p>
      <w:pPr>
        <w:sectPr>
          <w:pgSz w:w="11900" w:h="16838" w:orient="portrait"/>
          <w:cols w:equalWidth="0" w:num="1">
            <w:col w:w="11240"/>
          </w:cols>
          <w:pgMar w:left="320" w:top="1413" w:right="339" w:bottom="1440" w:gutter="0" w:footer="0" w:header="0"/>
        </w:sectPr>
      </w:pPr>
    </w:p>
    <w:bookmarkStart w:id="132" w:name="page133"/>
    <w:bookmarkEnd w:id="132"/>
    <w:p>
      <w:pPr>
        <w:jc w:val="both"/>
        <w:ind w:left="-1120" w:firstLine="1304"/>
        <w:spacing w:after="0" w:line="257" w:lineRule="auto"/>
        <w:tabs>
          <w:tab w:leader="none" w:pos="626"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Award as so adjusted at the time of a Change in Control, may be assumed by the successor entity or otherwise continued in full force and effect or may be replaced with a cash retention program of the successor entity which preserves the Fair Market Value of the underlying shares of Common Stock at the time of the Change in Control and provides for the subsequent vesting and payout of that value in accordance with the provisions of this Paragraph 5.B. In the event the Award is assumed, replaced or otherwise continued in effect, the following Service-based vesting schedule shall apply:</w:t>
      </w:r>
    </w:p>
    <w:p>
      <w:pPr>
        <w:spacing w:after="0" w:line="186" w:lineRule="exact"/>
        <w:rPr>
          <w:rFonts w:ascii="Times New Roman" w:cs="Times New Roman" w:eastAsia="Times New Roman" w:hAnsi="Times New Roman"/>
          <w:sz w:val="20"/>
          <w:szCs w:val="20"/>
          <w:color w:val="auto"/>
        </w:rPr>
      </w:pPr>
    </w:p>
    <w:p>
      <w:pPr>
        <w:jc w:val="both"/>
        <w:ind w:left="180" w:firstLine="652"/>
        <w:spacing w:after="0" w:line="272" w:lineRule="auto"/>
        <w:tabs>
          <w:tab w:leader="none" w:pos="1472" w:val="left"/>
        </w:tabs>
        <w:numPr>
          <w:ilvl w:val="1"/>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Award (whether in its assumed or continued form or as converted into a cash retention program) shall vest in full upon Participant’s continuation in Service through the completion date of the Measurement Period. Following the completion of such Service-vesting period, the securities, cash or other property underlying the vested Award shall be issued on the Issuance Date or as soon as administratively practicable thereafter, subject to the Corporation’s collection of the applicable Withholding Taxes, but in no event later than March 15 following the end of the applicable Measurement </w:t>
      </w:r>
      <w:r>
        <w:rPr>
          <w:rFonts w:ascii="Times New Roman" w:cs="Times New Roman" w:eastAsia="Times New Roman" w:hAnsi="Times New Roman"/>
          <w:sz w:val="20"/>
          <w:szCs w:val="20"/>
          <w:color w:val="auto"/>
        </w:rPr>
        <w:t>Period.</w:t>
      </w:r>
    </w:p>
    <w:p>
      <w:pPr>
        <w:spacing w:after="0" w:line="193" w:lineRule="exact"/>
        <w:rPr>
          <w:rFonts w:ascii="Times New Roman" w:cs="Times New Roman" w:eastAsia="Times New Roman" w:hAnsi="Times New Roman"/>
          <w:sz w:val="19"/>
          <w:szCs w:val="19"/>
          <w:color w:val="auto"/>
        </w:rPr>
      </w:pPr>
    </w:p>
    <w:p>
      <w:pPr>
        <w:ind w:left="180" w:firstLine="652"/>
        <w:spacing w:after="0" w:line="256" w:lineRule="auto"/>
        <w:tabs>
          <w:tab w:leader="none" w:pos="1473"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Should any of the following events occur after the effective date of such Change in Control but prior to the completion date of the Measurement Period:</w:t>
      </w:r>
    </w:p>
    <w:p>
      <w:pPr>
        <w:spacing w:after="0" w:line="1" w:lineRule="exact"/>
        <w:rPr>
          <w:sz w:val="20"/>
          <w:szCs w:val="20"/>
          <w:color w:val="auto"/>
        </w:rPr>
      </w:pPr>
    </w:p>
    <w:p>
      <w:pPr>
        <w:ind w:left="820" w:hanging="636"/>
        <w:spacing w:after="0"/>
        <w:tabs>
          <w:tab w:leader="none" w:pos="82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Participant’s cessation of Employee status by reason of death or Permanent </w:t>
      </w:r>
      <w:r>
        <w:rPr>
          <w:rFonts w:ascii="Times New Roman" w:cs="Times New Roman" w:eastAsia="Times New Roman" w:hAnsi="Times New Roman"/>
          <w:sz w:val="21"/>
          <w:szCs w:val="21"/>
          <w:color w:val="auto"/>
        </w:rPr>
        <w:t>Disability,</w:t>
      </w:r>
    </w:p>
    <w:p>
      <w:pPr>
        <w:spacing w:after="0" w:line="16" w:lineRule="exact"/>
        <w:rPr>
          <w:rFonts w:ascii="Times New Roman" w:cs="Times New Roman" w:eastAsia="Times New Roman" w:hAnsi="Times New Roman"/>
          <w:sz w:val="20"/>
          <w:szCs w:val="20"/>
          <w:color w:val="auto"/>
        </w:rPr>
      </w:pPr>
    </w:p>
    <w:p>
      <w:pPr>
        <w:jc w:val="both"/>
        <w:ind w:left="180" w:firstLine="4"/>
        <w:spacing w:after="0" w:line="246" w:lineRule="auto"/>
        <w:tabs>
          <w:tab w:leader="none" w:pos="822"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 resignation from Employee status for Good Reason or (C) the Corporation’s termination of Participant’s Employee status other than for Good Cause, then the Award shall immediately vest in full with respect to the Performance-Qualified Shares determined under Paragraph 5.A, and the securities, cash or other property underlying such portion of the Award shall, subject to the Corporation’s collection of the applicable Withholding Taxes, be distributed on the earlier of (x) the Issuance Date or (y) the date of Participant’s Separation from Service, provided such Separation from Service occurs within twenty-four (24) months after a Qualifying Change in Control, or as soon as administratively practicable after the applicable distribution date, but in no event later than the close of the calendar year in which such distribution date occurs (subject to the delayed payment provisions of Paragraph 8).</w:t>
      </w:r>
    </w:p>
    <w:p>
      <w:pPr>
        <w:spacing w:after="0" w:line="212" w:lineRule="exact"/>
        <w:rPr>
          <w:sz w:val="20"/>
          <w:szCs w:val="20"/>
          <w:color w:val="auto"/>
        </w:rPr>
      </w:pPr>
    </w:p>
    <w:p>
      <w:pPr>
        <w:jc w:val="both"/>
        <w:ind w:left="-1120" w:firstLine="1304"/>
        <w:spacing w:after="0" w:line="248" w:lineRule="auto"/>
        <w:tabs>
          <w:tab w:leader="none" w:pos="591"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Award is assumed or otherwise continued in effect, the shares of Common Stock subject to the Award (as determined pursuant to Paragraph 5.A) will be adjusted immediately after the consummation of the Change in Control so as to apply to the number and class of securities into which the shares of Common Stock subject to the Award immediately prior to the Change in Control would have been converted in consummation of that Change in Control had those shares actually been issued and outstanding at that time. To the extent the actual holders of the outstanding Common Stock receive cash consideration for their Common Stock in consummation of the Change in Control, the successor corporation may, in connection with the assumption or continuation of the Award at that time, substitute one or more shares of its own common stock with a fair market value equivalent to the cash consideration paid per share of Common Stock in the Change in Control transaction, provided such shares are registered under the federal securities laws and readily tradable on an established securities exchange.</w:t>
      </w:r>
    </w:p>
    <w:p>
      <w:pPr>
        <w:sectPr>
          <w:pgSz w:w="11900" w:h="16838" w:orient="portrait"/>
          <w:cols w:equalWidth="0" w:num="1">
            <w:col w:w="10120"/>
          </w:cols>
          <w:pgMar w:left="1440" w:top="1426" w:right="339" w:bottom="1440" w:gutter="0" w:footer="0" w:header="0"/>
        </w:sectPr>
      </w:pPr>
    </w:p>
    <w:bookmarkStart w:id="133" w:name="page134"/>
    <w:bookmarkEnd w:id="133"/>
    <w:p>
      <w:pPr>
        <w:jc w:val="both"/>
        <w:ind w:left="-656" w:firstLine="1304"/>
        <w:spacing w:after="0" w:line="247" w:lineRule="auto"/>
        <w:tabs>
          <w:tab w:leader="none" w:pos="1138"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Award is not so assumed or otherwise continued in effect or replaced with a cash retention program under Paragraph 5.B, then the Award will vest immediately prior to the closing of the Change in Control with respect to the Performance-Qualified Shares determined under Paragraph 5.A. The shares subject to the vested Award shall be converted into the right to receive the same consideration per share of Common Stock payable to the other stockholders of the Corporation in consummation of that Change in Control, and such consideration shall be distributed to Participant on the tenth (10th) business day following the earliest to occur of (i) the Issuance Date, (ii) the date of Participant’s Separation from Service (subject to the delayed payment provisions of Paragraph 8), provided such Separation from Service occurs within twenty-four (24) months after a Qualifying Change in Control, or (iii) the first date following a Qualifying Change in Control on which the distribution can be made without contravention of any applicable provisions of Code Section 409A. Such distribution shall be subject to the Corporation’s collection of the applicable Withholding Taxes pursuant to the provisions of Paragraph 7.</w:t>
      </w:r>
    </w:p>
    <w:p>
      <w:pPr>
        <w:spacing w:after="0" w:line="211" w:lineRule="exact"/>
        <w:rPr>
          <w:rFonts w:ascii="Times New Roman" w:cs="Times New Roman" w:eastAsia="Times New Roman" w:hAnsi="Times New Roman"/>
          <w:sz w:val="20"/>
          <w:szCs w:val="20"/>
          <w:color w:val="auto"/>
        </w:rPr>
      </w:pPr>
    </w:p>
    <w:p>
      <w:pPr>
        <w:ind w:left="-656" w:firstLine="1304"/>
        <w:spacing w:after="0" w:line="283" w:lineRule="auto"/>
        <w:tabs>
          <w:tab w:leader="none" w:pos="1125"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not in any way affect the right of the Corporation to adjust, reclassify, reorganize or otherwise change its capital or business structure or to merge, consolidate, dissolve, liquidate or sell or transfer all or any part of its business or assets.</w:t>
      </w:r>
    </w:p>
    <w:p>
      <w:pPr>
        <w:spacing w:after="0" w:line="164" w:lineRule="exact"/>
        <w:rPr>
          <w:rFonts w:ascii="Times New Roman" w:cs="Times New Roman" w:eastAsia="Times New Roman" w:hAnsi="Times New Roman"/>
          <w:sz w:val="20"/>
          <w:szCs w:val="20"/>
          <w:color w:val="auto"/>
        </w:rPr>
      </w:pPr>
    </w:p>
    <w:p>
      <w:pPr>
        <w:jc w:val="both"/>
        <w:ind w:left="-656" w:firstLine="656"/>
        <w:spacing w:after="0" w:line="257" w:lineRule="auto"/>
        <w:tabs>
          <w:tab w:leader="none" w:pos="46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Adjustment in Shares</w:t>
      </w:r>
      <w:r>
        <w:rPr>
          <w:rFonts w:ascii="Times New Roman" w:cs="Times New Roman" w:eastAsia="Times New Roman" w:hAnsi="Times New Roman"/>
          <w:sz w:val="19"/>
          <w:szCs w:val="19"/>
          <w:color w:val="auto"/>
        </w:rPr>
        <w:t>. Should any change be made to the Common Stock by reason of any stock split, stock dividend,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recapitalization, combination of shares, exchange of shares, spin-off transaction, extraordinary dividend or distribution or other change affecting the outstanding Common Stock as a class without the Corporation’s receipt of consideration, or should the value of outstanding shares of Common Stock be substantially reduced as a result of a spin-off transaction or an extraordinary dividend or distribution, or should there occur any merger, consolidation or other reorganization, then equitable adjustments shall be made by the Plan Administrator to the total number and/or class of securities issuable pursuant to this Award in order to reflect such change and the determination of the Plan Administrator shall be final, binding and conclusive. In the event of a Change in Control, the adjustments (if any) shall be made in accordance with the provisions of Paragraph 5.</w:t>
      </w:r>
    </w:p>
    <w:p>
      <w:pPr>
        <w:spacing w:after="0" w:line="200" w:lineRule="exact"/>
        <w:rPr>
          <w:rFonts w:ascii="Times New Roman" w:cs="Times New Roman" w:eastAsia="Times New Roman" w:hAnsi="Times New Roman"/>
          <w:sz w:val="22"/>
          <w:szCs w:val="22"/>
          <w:color w:val="auto"/>
        </w:rPr>
      </w:pPr>
    </w:p>
    <w:p>
      <w:pPr>
        <w:spacing w:after="0" w:line="221" w:lineRule="exact"/>
        <w:rPr>
          <w:rFonts w:ascii="Times New Roman" w:cs="Times New Roman" w:eastAsia="Times New Roman" w:hAnsi="Times New Roman"/>
          <w:sz w:val="22"/>
          <w:szCs w:val="22"/>
          <w:color w:val="auto"/>
        </w:rPr>
      </w:pPr>
    </w:p>
    <w:p>
      <w:pPr>
        <w:ind w:left="384" w:hanging="384"/>
        <w:spacing w:after="0"/>
        <w:tabs>
          <w:tab w:leader="none" w:pos="38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Issuance of Shares/Collection of Withholding Taxes</w:t>
      </w:r>
      <w:r>
        <w:rPr>
          <w:rFonts w:ascii="Times New Roman" w:cs="Times New Roman" w:eastAsia="Times New Roman" w:hAnsi="Times New Roman"/>
          <w:sz w:val="22"/>
          <w:szCs w:val="22"/>
          <w:color w:val="auto"/>
        </w:rPr>
        <w:t>.</w:t>
      </w:r>
    </w:p>
    <w:p>
      <w:pPr>
        <w:spacing w:after="0" w:line="255" w:lineRule="exact"/>
        <w:rPr>
          <w:rFonts w:ascii="Times New Roman" w:cs="Times New Roman" w:eastAsia="Times New Roman" w:hAnsi="Times New Roman"/>
          <w:sz w:val="22"/>
          <w:szCs w:val="22"/>
          <w:color w:val="auto"/>
        </w:rPr>
      </w:pPr>
    </w:p>
    <w:p>
      <w:pPr>
        <w:jc w:val="both"/>
        <w:ind w:left="-656" w:right="20" w:firstLine="1304"/>
        <w:spacing w:after="0" w:line="261" w:lineRule="auto"/>
        <w:tabs>
          <w:tab w:leader="none" w:pos="1036"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Issuance Date (or any earlier date on which the shares of Common Stock are to be issued in accordance with the terms of this Agreement), the Corporation shall issue to or on behalf of Participant a certificate (which may be in electronic form) for the applicable number of shares of Common Stock, subject, however, to the Corporation’s collection of the applicable Withholding Taxes.</w:t>
      </w:r>
    </w:p>
    <w:p>
      <w:pPr>
        <w:spacing w:after="0" w:line="194" w:lineRule="exact"/>
        <w:rPr>
          <w:rFonts w:ascii="Times New Roman" w:cs="Times New Roman" w:eastAsia="Times New Roman" w:hAnsi="Times New Roman"/>
          <w:sz w:val="20"/>
          <w:szCs w:val="20"/>
          <w:color w:val="auto"/>
        </w:rPr>
      </w:pPr>
    </w:p>
    <w:p>
      <w:pPr>
        <w:jc w:val="both"/>
        <w:ind w:left="-656" w:firstLine="1304"/>
        <w:spacing w:after="0" w:line="243" w:lineRule="auto"/>
        <w:tabs>
          <w:tab w:leader="none" w:pos="1016"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Corporation shall collect the applicable Withholding Taxes with respect to the shares of Common Stock which vest and become issuable hereunder through an automatic share withholding procedure pursuant to which the Corporation will withhold, at the time of such issuance, a portion of the shares with a Fair Market Value (measured as of the trading day immediately preceding the date of taxation of such shares) equal to the amount of those taxes; </w:t>
      </w:r>
      <w:r>
        <w:rPr>
          <w:rFonts w:ascii="Times New Roman" w:cs="Times New Roman" w:eastAsia="Times New Roman" w:hAnsi="Times New Roman"/>
          <w:sz w:val="21"/>
          <w:szCs w:val="21"/>
          <w:b w:val="1"/>
          <w:bCs w:val="1"/>
          <w:i w:val="1"/>
          <w:iCs w:val="1"/>
          <w:color w:val="auto"/>
        </w:rPr>
        <w:t>provided, however</w:t>
      </w:r>
      <w:r>
        <w:rPr>
          <w:rFonts w:ascii="Times New Roman" w:cs="Times New Roman" w:eastAsia="Times New Roman" w:hAnsi="Times New Roman"/>
          <w:sz w:val="20"/>
          <w:szCs w:val="20"/>
          <w:color w:val="auto"/>
        </w:rPr>
        <w:t>, that the amount of any shares so withheld shall not exceed the amount necessary to satisfy the Corporation‘s required tax withholding obligations using the maximum statutory withholding rates for federal and state tax purposes that are applicable to supplemental taxable income. In addition, the shares calculated to satisfy the maximum statutory withholding rates shall be rounded up to the next whole share. In the event payment is to be made in a form other than the shares, then the Corporation shall collect from Participant the applicable Withholding Taxes pursuant to such procedures as the Corporation deems appropriate under the circumstances.</w:t>
      </w:r>
    </w:p>
    <w:p>
      <w:pPr>
        <w:sectPr>
          <w:pgSz w:w="11900" w:h="16838" w:orient="portrait"/>
          <w:cols w:equalWidth="0" w:num="1">
            <w:col w:w="10584"/>
          </w:cols>
          <w:pgMar w:left="976" w:top="1426" w:right="339" w:bottom="1440" w:gutter="0" w:footer="0" w:header="0"/>
        </w:sectPr>
      </w:pPr>
    </w:p>
    <w:bookmarkStart w:id="134" w:name="page135"/>
    <w:bookmarkEnd w:id="134"/>
    <w:p>
      <w:pPr>
        <w:jc w:val="both"/>
        <w:ind w:left="-656" w:firstLine="1304"/>
        <w:spacing w:after="0" w:line="244" w:lineRule="auto"/>
        <w:tabs>
          <w:tab w:leader="none" w:pos="1154"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provisions of Paragraph 7.B, the employee portion of the federal, state and local employment taxes required to be withheld by the Corporation in connection with the vesting of the shares of Common Stock or any other amounts hereunder (the “Employment Taxes”) shall in all events be collected from Participant no later than the last business day of the calendar year in which the shares or other amounts vest hereunder. Accordingly, to the extent the Issuance Date for one or more vested shares or the distribution date for such other amounts is to occur in a year subsequent to the calendar year in which those shares or other amounts vest, Participant shall, on or before the last business day of the calendar year in which the shares or other amounts vest, deliver to the Corporation a check payable to its order in the dollar amount equal to the Employment Taxes required to be withheld with respect to those shares or other amounts. The provisions of this Paragraph 7.C shall be applicable only to the extent necessary to comply with the applicable tax withholding requirements of Code Section </w:t>
      </w:r>
      <w:r>
        <w:rPr>
          <w:rFonts w:ascii="Times New Roman" w:cs="Times New Roman" w:eastAsia="Times New Roman" w:hAnsi="Times New Roman"/>
          <w:sz w:val="21"/>
          <w:szCs w:val="21"/>
          <w:color w:val="auto"/>
        </w:rPr>
        <w:t>3121(v).</w:t>
      </w:r>
    </w:p>
    <w:p>
      <w:pPr>
        <w:spacing w:after="0" w:line="201" w:lineRule="exact"/>
        <w:rPr>
          <w:rFonts w:ascii="Times New Roman" w:cs="Times New Roman" w:eastAsia="Times New Roman" w:hAnsi="Times New Roman"/>
          <w:sz w:val="20"/>
          <w:szCs w:val="20"/>
          <w:color w:val="auto"/>
        </w:rPr>
      </w:pPr>
    </w:p>
    <w:p>
      <w:pPr>
        <w:jc w:val="both"/>
        <w:ind w:left="-656" w:firstLine="1304"/>
        <w:spacing w:after="0" w:line="239" w:lineRule="auto"/>
        <w:tabs>
          <w:tab w:leader="none" w:pos="1099"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Paragraph 5 and Paragraph 7.B, the settlement of the vested Award shall be made solely in shares of Common Stock. In no event, however, shall any fractional shares be issued. Accordingly, the total number of shares of Common Stock to be issued pursuant to this Award shall, to the extent necessary, be rounded down to the next whole share in order to avoid the issuance of a fractional share.</w:t>
      </w:r>
    </w:p>
    <w:p>
      <w:pPr>
        <w:spacing w:after="0" w:line="203" w:lineRule="exact"/>
        <w:rPr>
          <w:rFonts w:ascii="Times New Roman" w:cs="Times New Roman" w:eastAsia="Times New Roman" w:hAnsi="Times New Roman"/>
          <w:sz w:val="22"/>
          <w:szCs w:val="22"/>
          <w:color w:val="auto"/>
        </w:rPr>
      </w:pPr>
    </w:p>
    <w:p>
      <w:pPr>
        <w:jc w:val="both"/>
        <w:ind w:left="-656" w:firstLine="656"/>
        <w:spacing w:after="0" w:line="258" w:lineRule="auto"/>
        <w:tabs>
          <w:tab w:leader="none" w:pos="410" w:val="left"/>
        </w:tabs>
        <w:numPr>
          <w:ilvl w:val="0"/>
          <w:numId w:val="8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Deferred Issuance Date</w:t>
      </w:r>
      <w:r>
        <w:rPr>
          <w:rFonts w:ascii="Times New Roman" w:cs="Times New Roman" w:eastAsia="Times New Roman" w:hAnsi="Times New Roman"/>
          <w:sz w:val="19"/>
          <w:szCs w:val="19"/>
          <w:color w:val="auto"/>
        </w:rPr>
        <w:t>. Notwithstanding any provision to the contrary in this Agreement, no shares of Common Stock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 xml:space="preserve">other amounts which become issuable or distributable by reason of Participant’s Separation from Service shall actually be issued or distributed to Participant prior to the </w:t>
      </w:r>
      <w:r>
        <w:rPr>
          <w:rFonts w:ascii="Times New Roman" w:cs="Times New Roman" w:eastAsia="Times New Roman" w:hAnsi="Times New Roman"/>
          <w:sz w:val="21"/>
          <w:szCs w:val="21"/>
          <w:b w:val="1"/>
          <w:bCs w:val="1"/>
          <w:i w:val="1"/>
          <w:iCs w:val="1"/>
          <w:color w:val="auto"/>
        </w:rPr>
        <w:t>earlier</w:t>
      </w:r>
      <w:r>
        <w:rPr>
          <w:rFonts w:ascii="Times New Roman" w:cs="Times New Roman" w:eastAsia="Times New Roman" w:hAnsi="Times New Roman"/>
          <w:sz w:val="19"/>
          <w:szCs w:val="19"/>
          <w:color w:val="auto"/>
        </w:rPr>
        <w:t xml:space="preserve"> of (i) the first day of the seventh (7th) month following the date of such Separation from Service or (ii) the date of Participant’s death, if Participant is deemed at the time of such Separation from Service to be a specified employee under Section 1.409A-1(i) of the Treasury Regulations issued under Code Section 409A, as determined by the Plan Administrator in accordance with consistent and uniform standards applied to all other Code Section 409A arrangements of the Corporation, and such delayed commencement is otherwise required in order to avoid a prohibited distribution under Code Section 409A(a)(2). The deferred shares or other distributable amount shall be issued or distributed in a lump sum on the first day of the seventh (7th) month following the date of Participant’s Separation from Service or, if earlier, the first day of the month immediately following the date the Corporation receives proof of Participant’s death.</w:t>
      </w:r>
    </w:p>
    <w:p>
      <w:pPr>
        <w:spacing w:after="0" w:line="200" w:lineRule="exact"/>
        <w:rPr>
          <w:rFonts w:ascii="Times New Roman" w:cs="Times New Roman" w:eastAsia="Times New Roman" w:hAnsi="Times New Roman"/>
          <w:sz w:val="22"/>
          <w:szCs w:val="22"/>
          <w:u w:val="single" w:color="auto"/>
          <w:color w:val="auto"/>
        </w:rPr>
      </w:pPr>
    </w:p>
    <w:p>
      <w:pPr>
        <w:spacing w:after="0" w:line="216" w:lineRule="exact"/>
        <w:rPr>
          <w:rFonts w:ascii="Times New Roman" w:cs="Times New Roman" w:eastAsia="Times New Roman" w:hAnsi="Times New Roman"/>
          <w:sz w:val="22"/>
          <w:szCs w:val="22"/>
          <w:u w:val="single" w:color="auto"/>
          <w:color w:val="auto"/>
        </w:rPr>
      </w:pPr>
    </w:p>
    <w:p>
      <w:pPr>
        <w:jc w:val="both"/>
        <w:ind w:left="-656" w:firstLine="656"/>
        <w:spacing w:after="0" w:line="272" w:lineRule="auto"/>
        <w:tabs>
          <w:tab w:leader="none" w:pos="397"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Clawback</w:t>
      </w:r>
      <w:r>
        <w:rPr>
          <w:rFonts w:ascii="Times New Roman" w:cs="Times New Roman" w:eastAsia="Times New Roman" w:hAnsi="Times New Roman"/>
          <w:sz w:val="19"/>
          <w:szCs w:val="19"/>
          <w:color w:val="auto"/>
        </w:rPr>
        <w:t>. Notwithstanding anything to the contrary in this Agreement or the Plan, any shares, cash or other property issued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to Participant pursuant to this Agreement shall be subject to reduction, recovery and/or recoupment to the extent required by any present or future law, government regulation or stock exchange listing requirement.</w:t>
      </w:r>
    </w:p>
    <w:p>
      <w:pPr>
        <w:spacing w:after="0" w:line="176" w:lineRule="exact"/>
        <w:rPr>
          <w:rFonts w:ascii="Times New Roman" w:cs="Times New Roman" w:eastAsia="Times New Roman" w:hAnsi="Times New Roman"/>
          <w:sz w:val="22"/>
          <w:szCs w:val="22"/>
          <w:color w:val="auto"/>
        </w:rPr>
      </w:pPr>
    </w:p>
    <w:p>
      <w:pPr>
        <w:ind w:left="484" w:hanging="484"/>
        <w:spacing w:after="0"/>
        <w:tabs>
          <w:tab w:leader="none" w:pos="48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Benefit Limit</w:t>
      </w:r>
      <w:r>
        <w:rPr>
          <w:rFonts w:ascii="Times New Roman" w:cs="Times New Roman" w:eastAsia="Times New Roman" w:hAnsi="Times New Roman"/>
          <w:sz w:val="22"/>
          <w:szCs w:val="22"/>
          <w:color w:val="auto"/>
        </w:rPr>
        <w:t>.</w:t>
      </w:r>
    </w:p>
    <w:p>
      <w:pPr>
        <w:spacing w:after="0" w:line="255" w:lineRule="exact"/>
        <w:rPr>
          <w:rFonts w:ascii="Times New Roman" w:cs="Times New Roman" w:eastAsia="Times New Roman" w:hAnsi="Times New Roman"/>
          <w:sz w:val="22"/>
          <w:szCs w:val="22"/>
          <w:color w:val="auto"/>
        </w:rPr>
      </w:pPr>
    </w:p>
    <w:p>
      <w:pPr>
        <w:jc w:val="both"/>
        <w:ind w:left="-656" w:firstLine="1304"/>
        <w:spacing w:after="0" w:line="251" w:lineRule="auto"/>
        <w:tabs>
          <w:tab w:leader="none" w:pos="1278"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the vesting and issuance of the shares of Common Stock subject to this Award would otherwise constitute a parachute payment under Code Section 280G, then the vesting and issuance of those shares shall be subject to reduction to the extent necessary to assure that the number of shares which vest and are issued under this Award will be limited to the </w:t>
      </w:r>
      <w:r>
        <w:rPr>
          <w:rFonts w:ascii="Times New Roman" w:cs="Times New Roman" w:eastAsia="Times New Roman" w:hAnsi="Times New Roman"/>
          <w:sz w:val="21"/>
          <w:szCs w:val="21"/>
          <w:b w:val="1"/>
          <w:bCs w:val="1"/>
          <w:i w:val="1"/>
          <w:iCs w:val="1"/>
          <w:color w:val="auto"/>
        </w:rPr>
        <w:t>greater</w:t>
      </w:r>
      <w:r>
        <w:rPr>
          <w:rFonts w:ascii="Times New Roman" w:cs="Times New Roman" w:eastAsia="Times New Roman" w:hAnsi="Times New Roman"/>
          <w:sz w:val="20"/>
          <w:szCs w:val="20"/>
          <w:color w:val="auto"/>
        </w:rPr>
        <w:t xml:space="preserve"> of (i) the number of shares of Common Stock which can vest and be issued without triggering a parachute payment under Code Section 280G or (ii) the maximum number of shares of Common Stock which can vest and be issued under this Award so as to provide Participant with the greatest after-tax amount of such vested and issued shares after taking into account any excise tax Participant may incur under Code Section 4999 with respect to those shares and any other benefits or payments to which Participant may be entitled in</w:t>
      </w:r>
    </w:p>
    <w:p>
      <w:pPr>
        <w:sectPr>
          <w:pgSz w:w="11900" w:h="16838" w:orient="portrait"/>
          <w:cols w:equalWidth="0" w:num="1">
            <w:col w:w="10584"/>
          </w:cols>
          <w:pgMar w:left="976" w:top="1426"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20"/>
          <w:szCs w:val="20"/>
          <w:color w:val="auto"/>
        </w:rPr>
        <w:t>connection with any change in control or ownership of the Corporation or the subsequent termination of Participant’s Service.</w:t>
      </w:r>
    </w:p>
    <w:p>
      <w:pPr>
        <w:spacing w:after="0" w:line="243" w:lineRule="exact"/>
        <w:rPr>
          <w:sz w:val="20"/>
          <w:szCs w:val="20"/>
          <w:color w:val="auto"/>
        </w:rPr>
      </w:pPr>
    </w:p>
    <w:p>
      <w:pPr>
        <w:jc w:val="both"/>
        <w:ind w:firstLine="1304"/>
        <w:spacing w:after="0" w:line="254" w:lineRule="auto"/>
        <w:tabs>
          <w:tab w:leader="none" w:pos="1936"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benefit limitation of this Paragraph 10 shall apply only to the extent Participant is not otherwise entitled to a Code Section 4999 tax gross-up, pursuant to the terms of the Corporation’s Executive Severance Plan (or any successor plan), with respect to the shares that vest on an accelerated basis in connection with a Change in Control or subsequent cessation of Employee status.</w:t>
      </w:r>
    </w:p>
    <w:p>
      <w:pPr>
        <w:spacing w:after="0" w:line="179" w:lineRule="exact"/>
        <w:rPr>
          <w:rFonts w:ascii="Times New Roman" w:cs="Times New Roman" w:eastAsia="Times New Roman" w:hAnsi="Times New Roman"/>
          <w:sz w:val="20"/>
          <w:szCs w:val="20"/>
          <w:color w:val="auto"/>
        </w:rPr>
      </w:pPr>
    </w:p>
    <w:p>
      <w:pPr>
        <w:jc w:val="both"/>
        <w:ind w:firstLine="656"/>
        <w:spacing w:after="0" w:line="272" w:lineRule="auto"/>
        <w:tabs>
          <w:tab w:leader="none" w:pos="123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Compliance with Laws and Regulations</w:t>
      </w:r>
      <w:r>
        <w:rPr>
          <w:rFonts w:ascii="Times New Roman" w:cs="Times New Roman" w:eastAsia="Times New Roman" w:hAnsi="Times New Roman"/>
          <w:sz w:val="19"/>
          <w:szCs w:val="19"/>
          <w:color w:val="auto"/>
        </w:rPr>
        <w:t>. The issuance of shares of Common Stock pursuant to the Award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subject to compliance by the Corporation and Participant with all applicable requirements of law relating thereto and with all applicable regulations of any Stock Exchange on which the Common Stock may be listed for trading at the time of such issuance.</w:t>
      </w:r>
    </w:p>
    <w:p>
      <w:pPr>
        <w:spacing w:after="0" w:line="163" w:lineRule="exact"/>
        <w:rPr>
          <w:rFonts w:ascii="Times New Roman" w:cs="Times New Roman" w:eastAsia="Times New Roman" w:hAnsi="Times New Roman"/>
          <w:sz w:val="22"/>
          <w:szCs w:val="22"/>
          <w:color w:val="auto"/>
        </w:rPr>
      </w:pPr>
    </w:p>
    <w:p>
      <w:pPr>
        <w:jc w:val="both"/>
        <w:ind w:firstLine="656"/>
        <w:spacing w:after="0" w:line="270" w:lineRule="auto"/>
        <w:tabs>
          <w:tab w:leader="none" w:pos="113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19"/>
          <w:szCs w:val="19"/>
          <w:color w:val="auto"/>
        </w:rPr>
        <w:t>. Any notice required to be given or delivered to the Corporation under the terms of this Agreement shall be in writing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and addressed to the Corporation at its principal corporate offices. Any notice required to be given or delivered to Participant shall be in writing and addressed to Participant at the address indicated below Participant’s signature line on this Agreement. All notices shall be deemed effective upon personal delivery or upon deposit in the U.S. mail, postage prepaid and properly addressed to the party to be notified.</w:t>
      </w:r>
    </w:p>
    <w:p>
      <w:pPr>
        <w:spacing w:after="0" w:line="179" w:lineRule="exact"/>
        <w:rPr>
          <w:rFonts w:ascii="Times New Roman" w:cs="Times New Roman" w:eastAsia="Times New Roman" w:hAnsi="Times New Roman"/>
          <w:sz w:val="22"/>
          <w:szCs w:val="22"/>
          <w:color w:val="auto"/>
        </w:rPr>
      </w:pPr>
    </w:p>
    <w:p>
      <w:pPr>
        <w:jc w:val="both"/>
        <w:ind w:firstLine="656"/>
        <w:spacing w:after="0" w:line="254" w:lineRule="auto"/>
        <w:tabs>
          <w:tab w:leader="none" w:pos="1147"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19"/>
          <w:szCs w:val="19"/>
          <w:color w:val="auto"/>
        </w:rPr>
        <w:t>. Except to the extent otherwise provided in this Agreement, the provisions of this Agreement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inure to the benefit of, and be binding upon, the Corporation and its successors and assigns and Participant, Participant’s assigns, the legal representatives, heirs and legatees of Participant’s estate and any beneficiaries of the Award designated by Participant.</w:t>
      </w:r>
    </w:p>
    <w:p>
      <w:pPr>
        <w:spacing w:after="0" w:line="191" w:lineRule="exact"/>
        <w:rPr>
          <w:rFonts w:ascii="Times New Roman" w:cs="Times New Roman" w:eastAsia="Times New Roman" w:hAnsi="Times New Roman"/>
          <w:sz w:val="22"/>
          <w:szCs w:val="22"/>
          <w:color w:val="auto"/>
        </w:rPr>
      </w:pPr>
    </w:p>
    <w:p>
      <w:pPr>
        <w:jc w:val="both"/>
        <w:ind w:firstLine="656"/>
        <w:spacing w:after="0" w:line="257" w:lineRule="auto"/>
        <w:tabs>
          <w:tab w:leader="none" w:pos="1201"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Construction</w:t>
      </w:r>
      <w:r>
        <w:rPr>
          <w:rFonts w:ascii="Times New Roman" w:cs="Times New Roman" w:eastAsia="Times New Roman" w:hAnsi="Times New Roman"/>
          <w:sz w:val="19"/>
          <w:szCs w:val="19"/>
          <w:color w:val="auto"/>
        </w:rPr>
        <w:t>. This Agreement and the Award evidenced hereby are made and granted pursuant to the Plan and are in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 xml:space="preserve">respects limited by and subject to the terms of the Plan. All decisions of the Plan Administrator with respect to any question or issue arising under the Plan or this Agreement shall be conclusive and binding on all persons having an interest in the Award. To the extent there is any ambiguity as to whether any provision of this Agreement would otherwise contravene one or more applicable requirements or limitations of Code Section 409A and the Treasury Regulations thereunder, such provision shall be interpreted and applied in a manner that complies with the applicable requirements of Code Section 409A and the Treasury Regulations thereunder. For purposes of Code Section 409A, each installment distribution of shares of Common Stock (or other installment distribution hereunder) shall be treated as a separate payment, and Participant’s right to receive each such installment of shares (or other installment distribution hereunder) shall accordingly be treated as a right to receive a series of separate </w:t>
      </w:r>
      <w:r>
        <w:rPr>
          <w:rFonts w:ascii="Times New Roman" w:cs="Times New Roman" w:eastAsia="Times New Roman" w:hAnsi="Times New Roman"/>
          <w:sz w:val="21"/>
          <w:szCs w:val="21"/>
          <w:color w:val="auto"/>
        </w:rPr>
        <w:t>payments.</w:t>
      </w:r>
    </w:p>
    <w:p>
      <w:pPr>
        <w:spacing w:after="0" w:line="171" w:lineRule="exact"/>
        <w:rPr>
          <w:rFonts w:ascii="Times New Roman" w:cs="Times New Roman" w:eastAsia="Times New Roman" w:hAnsi="Times New Roman"/>
          <w:sz w:val="22"/>
          <w:szCs w:val="22"/>
          <w:color w:val="auto"/>
        </w:rPr>
      </w:pPr>
    </w:p>
    <w:p>
      <w:pPr>
        <w:ind w:firstLine="656"/>
        <w:spacing w:after="0" w:line="282" w:lineRule="auto"/>
        <w:tabs>
          <w:tab w:leader="none" w:pos="117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19"/>
          <w:szCs w:val="19"/>
          <w:color w:val="auto"/>
        </w:rPr>
        <w:t>. The interpretation, performance and enforcement of this Agreement shall be governed by the laws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State of California without resort to that State’s conflict-of-laws rules.</w:t>
      </w:r>
    </w:p>
    <w:p>
      <w:pPr>
        <w:spacing w:after="0" w:line="161" w:lineRule="exact"/>
        <w:rPr>
          <w:rFonts w:ascii="Times New Roman" w:cs="Times New Roman" w:eastAsia="Times New Roman" w:hAnsi="Times New Roman"/>
          <w:sz w:val="22"/>
          <w:szCs w:val="22"/>
          <w:color w:val="auto"/>
        </w:rPr>
      </w:pPr>
    </w:p>
    <w:p>
      <w:pPr>
        <w:jc w:val="both"/>
        <w:ind w:firstLine="656"/>
        <w:spacing w:after="0" w:line="270" w:lineRule="auto"/>
        <w:tabs>
          <w:tab w:leader="none" w:pos="113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Employment at Will</w:t>
      </w:r>
      <w:r>
        <w:rPr>
          <w:rFonts w:ascii="Times New Roman" w:cs="Times New Roman" w:eastAsia="Times New Roman" w:hAnsi="Times New Roman"/>
          <w:sz w:val="19"/>
          <w:szCs w:val="19"/>
          <w:color w:val="auto"/>
        </w:rPr>
        <w:t>. Nothing in this Agreement or in the Plan shall confer upon Participant any right to continue in Service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for any period of specific duration or interfere with or otherwise restrict in any way the rights of the Corporation (or any Parent or Subsidiary employing or retaining Participant) or of Participant, which rights are hereby expressly reserved by each, to terminate Participant’s Service at any time for any reason, with or without cause.</w:t>
      </w:r>
    </w:p>
    <w:p>
      <w:pPr>
        <w:sectPr>
          <w:pgSz w:w="11900" w:h="16838" w:orient="portrait"/>
          <w:cols w:equalWidth="0" w:num="1">
            <w:col w:w="11240"/>
          </w:cols>
          <w:pgMar w:left="320" w:top="1413" w:right="339" w:bottom="1440" w:gutter="0" w:footer="0" w:header="0"/>
        </w:sectPr>
      </w:pPr>
    </w:p>
    <w:bookmarkStart w:id="136" w:name="page137"/>
    <w:bookmarkEnd w:id="136"/>
    <w:p>
      <w:pPr>
        <w:spacing w:after="0" w:line="283" w:lineRule="auto"/>
        <w:rPr>
          <w:sz w:val="20"/>
          <w:szCs w:val="20"/>
          <w:color w:val="auto"/>
        </w:rPr>
      </w:pPr>
      <w:r>
        <w:rPr>
          <w:rFonts w:ascii="Times New Roman" w:cs="Times New Roman" w:eastAsia="Times New Roman" w:hAnsi="Times New Roman"/>
          <w:sz w:val="20"/>
          <w:szCs w:val="20"/>
          <w:color w:val="auto"/>
        </w:rPr>
        <w:t>Please confirm your acceptance of this Award electronically by following the instructions on your personal web portal at Computershare Online Services. Your electronic signature indicates your agreement to be bound by the terms of this Agreement.</w:t>
      </w:r>
    </w:p>
    <w:p>
      <w:pPr>
        <w:sectPr>
          <w:pgSz w:w="11900" w:h="16838" w:orient="portrait"/>
          <w:cols w:equalWidth="0" w:num="1">
            <w:col w:w="10880"/>
          </w:cols>
          <w:pgMar w:left="320" w:top="1426" w:right="69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22"/>
          <w:szCs w:val="22"/>
          <w:color w:val="auto"/>
        </w:rPr>
        <w:t>APPENDIX A</w:t>
      </w:r>
    </w:p>
    <w:p>
      <w:pPr>
        <w:spacing w:after="0" w:line="22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 xml:space="preserve">The following definitions shall be in effect under the </w:t>
      </w:r>
      <w:r>
        <w:rPr>
          <w:rFonts w:ascii="Times New Roman" w:cs="Times New Roman" w:eastAsia="Times New Roman" w:hAnsi="Times New Roman"/>
          <w:sz w:val="21"/>
          <w:szCs w:val="21"/>
          <w:color w:val="auto"/>
        </w:rPr>
        <w:t>Agreement:</w:t>
      </w:r>
    </w:p>
    <w:p>
      <w:pPr>
        <w:spacing w:after="0" w:line="241" w:lineRule="exact"/>
        <w:rPr>
          <w:sz w:val="20"/>
          <w:szCs w:val="20"/>
          <w:color w:val="auto"/>
        </w:rPr>
      </w:pPr>
    </w:p>
    <w:p>
      <w:pPr>
        <w:ind w:left="540" w:hanging="308"/>
        <w:spacing w:after="0"/>
        <w:tabs>
          <w:tab w:leader="none" w:pos="5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this Restricted Stock Unit Issuance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w:t>
      </w:r>
    </w:p>
    <w:p>
      <w:pPr>
        <w:spacing w:after="0" w:line="233" w:lineRule="exact"/>
        <w:rPr>
          <w:rFonts w:ascii="Times New Roman" w:cs="Times New Roman" w:eastAsia="Times New Roman" w:hAnsi="Times New Roman"/>
          <w:sz w:val="20"/>
          <w:szCs w:val="20"/>
          <w:color w:val="auto"/>
        </w:rPr>
      </w:pPr>
    </w:p>
    <w:p>
      <w:pPr>
        <w:ind w:left="540" w:hanging="308"/>
        <w:spacing w:after="0"/>
        <w:tabs>
          <w:tab w:leader="none" w:pos="5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the award made to Participant pursuant to the terms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w:t>
      </w:r>
    </w:p>
    <w:p>
      <w:pPr>
        <w:spacing w:after="0" w:line="233" w:lineRule="exact"/>
        <w:rPr>
          <w:rFonts w:ascii="Times New Roman" w:cs="Times New Roman" w:eastAsia="Times New Roman" w:hAnsi="Times New Roman"/>
          <w:sz w:val="20"/>
          <w:szCs w:val="20"/>
          <w:color w:val="auto"/>
        </w:rPr>
      </w:pPr>
    </w:p>
    <w:p>
      <w:pPr>
        <w:ind w:left="-100" w:firstLine="332"/>
        <w:spacing w:after="0" w:line="235" w:lineRule="auto"/>
        <w:tabs>
          <w:tab w:leader="none" w:pos="5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Award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the date the Award is granted to Participant pursuant to the Agreement and shall be the date indicated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Paragraph 1 of the Agreement.</w:t>
      </w:r>
    </w:p>
    <w:p>
      <w:pPr>
        <w:spacing w:after="0" w:line="206" w:lineRule="exact"/>
        <w:rPr>
          <w:rFonts w:ascii="Times New Roman" w:cs="Times New Roman" w:eastAsia="Times New Roman" w:hAnsi="Times New Roman"/>
          <w:sz w:val="20"/>
          <w:szCs w:val="20"/>
          <w:color w:val="auto"/>
        </w:rPr>
      </w:pPr>
    </w:p>
    <w:p>
      <w:pPr>
        <w:ind w:left="540" w:hanging="308"/>
        <w:spacing w:after="0"/>
        <w:tabs>
          <w:tab w:leader="none" w:pos="5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Board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the Corporation’s Board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Directors.</w:t>
      </w:r>
    </w:p>
    <w:p>
      <w:pPr>
        <w:spacing w:after="0" w:line="233" w:lineRule="exact"/>
        <w:rPr>
          <w:rFonts w:ascii="Times New Roman" w:cs="Times New Roman" w:eastAsia="Times New Roman" w:hAnsi="Times New Roman"/>
          <w:sz w:val="20"/>
          <w:szCs w:val="20"/>
          <w:color w:val="auto"/>
        </w:rPr>
      </w:pPr>
    </w:p>
    <w:p>
      <w:pPr>
        <w:ind w:left="-100" w:firstLine="332"/>
        <w:spacing w:after="0" w:line="282" w:lineRule="auto"/>
        <w:tabs>
          <w:tab w:leader="none" w:pos="543"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any change in control or ownership of the Corporation which occurs by reason of one or more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the following events:</w:t>
      </w:r>
    </w:p>
    <w:p>
      <w:pPr>
        <w:spacing w:after="0" w:line="170" w:lineRule="exact"/>
        <w:rPr>
          <w:rFonts w:ascii="Times New Roman" w:cs="Times New Roman" w:eastAsia="Times New Roman" w:hAnsi="Times New Roman"/>
          <w:sz w:val="20"/>
          <w:szCs w:val="20"/>
          <w:color w:val="auto"/>
        </w:rPr>
      </w:pPr>
    </w:p>
    <w:p>
      <w:pPr>
        <w:jc w:val="both"/>
        <w:ind w:left="1200" w:hanging="320"/>
        <w:spacing w:after="0" w:line="260" w:lineRule="auto"/>
        <w:tabs>
          <w:tab w:leader="none" w:pos="1196"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acquisition, directly or indirectly by any person or related group of persons (as such term is used in Sections 13(d) and 14(d) of the Exchange Act), other than the Corporation or a person that directly or indirectly controls, is controlled by, or is under control with, the Corporation or an employee benefit plan maintained by any such entity, of beneficial ownership (as defined in Rule 13d-3 of the Exchange Act) of securities of the Corporation that results in such person or related group owning thirty percent (30%) or more of the total combined voting power of the Corporation’s then-outstanding securities;</w:t>
      </w:r>
    </w:p>
    <w:p>
      <w:pPr>
        <w:spacing w:after="0" w:line="198" w:lineRule="exact"/>
        <w:rPr>
          <w:rFonts w:ascii="Times New Roman" w:cs="Times New Roman" w:eastAsia="Times New Roman" w:hAnsi="Times New Roman"/>
          <w:sz w:val="20"/>
          <w:szCs w:val="20"/>
          <w:color w:val="auto"/>
        </w:rPr>
      </w:pPr>
    </w:p>
    <w:p>
      <w:pPr>
        <w:jc w:val="both"/>
        <w:ind w:left="1200" w:hanging="320"/>
        <w:spacing w:after="0" w:line="244" w:lineRule="auto"/>
        <w:tabs>
          <w:tab w:leader="none" w:pos="1197"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merger, recapitalization, consolidation, or other similar transaction to which the Corporation is a party, unless securities representing at least 50% of the combined voting power of the then-outstanding securities of the surviving entity or a parent thereof are immediately thereafter beneficially owned, directly or indirectly and in substantially the same proportion, by the persons who beneficially owned the Corporation’s outstanding voting securities immediately before the transaction;</w:t>
      </w:r>
    </w:p>
    <w:p>
      <w:pPr>
        <w:spacing w:after="0" w:line="225" w:lineRule="exact"/>
        <w:rPr>
          <w:rFonts w:ascii="Times New Roman" w:cs="Times New Roman" w:eastAsia="Times New Roman" w:hAnsi="Times New Roman"/>
          <w:sz w:val="20"/>
          <w:szCs w:val="20"/>
          <w:color w:val="auto"/>
        </w:rPr>
      </w:pPr>
    </w:p>
    <w:p>
      <w:pPr>
        <w:jc w:val="both"/>
        <w:ind w:left="1200" w:hanging="320"/>
        <w:spacing w:after="0" w:line="263" w:lineRule="auto"/>
        <w:tabs>
          <w:tab w:leader="none" w:pos="1198"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sale, transfer or disposition of all or substantially all of the Corporation’s assets, unless securities representing at least 50% of the combined voting power of the then-outstanding securities of the entity acquiring the Corporation’s assets or parent thereof are immediately thereafter beneficially owned, directly or indirectly and in substantially the same proportion, by the persons who beneficially owned the Corporation’s outstanding voting securities immediately before the transaction;</w:t>
      </w:r>
    </w:p>
    <w:p>
      <w:pPr>
        <w:spacing w:after="0" w:line="193" w:lineRule="exact"/>
        <w:rPr>
          <w:rFonts w:ascii="Times New Roman" w:cs="Times New Roman" w:eastAsia="Times New Roman" w:hAnsi="Times New Roman"/>
          <w:sz w:val="20"/>
          <w:szCs w:val="20"/>
          <w:color w:val="auto"/>
        </w:rPr>
      </w:pPr>
    </w:p>
    <w:p>
      <w:pPr>
        <w:jc w:val="both"/>
        <w:ind w:left="1200" w:hanging="320"/>
        <w:spacing w:after="0" w:line="253" w:lineRule="auto"/>
        <w:tabs>
          <w:tab w:leader="none" w:pos="1174"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merger, recapitalization, consolidation, or other transaction to which the Corporation is a party or the sale, transfer, or other disposition of all or substantially all of the Corporation’s assets if, in either case, the members of the Board immediately prior to consummation of the transaction do not, upon consummation of the transaction, constitute at least a majority of the board of directors of the surviving entity or the entity acquiring the Corporation’s assets, as the case may be, or a parent thereof (for this purpose, any change in the composition of the board of directors that is anticipated or</w:t>
      </w:r>
    </w:p>
    <w:p>
      <w:pPr>
        <w:sectPr>
          <w:pgSz w:w="11900" w:h="16838" w:orient="portrait"/>
          <w:cols w:equalWidth="0" w:num="1">
            <w:col w:w="11140"/>
          </w:cols>
          <w:pgMar w:left="420" w:top="1408" w:right="339" w:bottom="1440" w:gutter="0" w:footer="0" w:header="0"/>
        </w:sectPr>
      </w:pPr>
    </w:p>
    <w:bookmarkStart w:id="138" w:name="page139"/>
    <w:bookmarkEnd w:id="138"/>
    <w:p>
      <w:pPr>
        <w:ind w:left="1300" w:right="20"/>
        <w:spacing w:after="0" w:line="255" w:lineRule="auto"/>
        <w:rPr>
          <w:sz w:val="20"/>
          <w:szCs w:val="20"/>
          <w:color w:val="auto"/>
        </w:rPr>
      </w:pPr>
      <w:r>
        <w:rPr>
          <w:rFonts w:ascii="Times New Roman" w:cs="Times New Roman" w:eastAsia="Times New Roman" w:hAnsi="Times New Roman"/>
          <w:sz w:val="20"/>
          <w:szCs w:val="20"/>
          <w:color w:val="auto"/>
        </w:rPr>
        <w:t>pursuant to an understanding or agreement in connection with a transaction will be deemed to have occurred at the time of the transaction); or</w:t>
      </w:r>
    </w:p>
    <w:p>
      <w:pPr>
        <w:spacing w:after="0" w:line="213" w:lineRule="exact"/>
        <w:rPr>
          <w:sz w:val="20"/>
          <w:szCs w:val="20"/>
          <w:color w:val="auto"/>
        </w:rPr>
      </w:pPr>
    </w:p>
    <w:p>
      <w:pPr>
        <w:jc w:val="both"/>
        <w:ind w:left="1300" w:hanging="320"/>
        <w:spacing w:after="0" w:line="260" w:lineRule="auto"/>
        <w:tabs>
          <w:tab w:leader="none" w:pos="1287"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since the beginning of such period or (b) have been elected or nominated for election as Board members during such period by at least a majority of the Board members who were described in clause (a) or who were previously so elected or approved and who were still in office at the time the Board approved such election or nomination; provided, however, that solely for purposes of determining whether a permissible Section 409A distribution can be made under Paragraph 5.C in connection with such Change in Control event, the period for measuring a change in the composition of the Board shall be limited to a period of twelve (12) consecutive months or less;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provided however, that no Change in Control shall occur if the result of the transaction is to give more ownership or control of the Corporation to any person or related group of persons who held securities representing more than thirty percent (30%) of the combined voting power of the Corporation's outstanding securities as of March 3, 2003.</w:t>
      </w:r>
    </w:p>
    <w:p>
      <w:pPr>
        <w:spacing w:after="0" w:line="186" w:lineRule="exact"/>
        <w:rPr>
          <w:sz w:val="20"/>
          <w:szCs w:val="20"/>
          <w:color w:val="auto"/>
        </w:rPr>
      </w:pPr>
    </w:p>
    <w:p>
      <w:pPr>
        <w:ind w:left="640" w:hanging="308"/>
        <w:spacing w:after="0"/>
        <w:tabs>
          <w:tab w:leader="none" w:pos="64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Code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the Internal Revenue Code of 1986,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amended.</w:t>
      </w:r>
    </w:p>
    <w:p>
      <w:pPr>
        <w:spacing w:after="0" w:line="23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the shares of the Corporation’s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w:t>
      </w:r>
    </w:p>
    <w:p>
      <w:pPr>
        <w:spacing w:after="0" w:line="233" w:lineRule="exact"/>
        <w:rPr>
          <w:rFonts w:ascii="Times New Roman" w:cs="Times New Roman" w:eastAsia="Times New Roman" w:hAnsi="Times New Roman"/>
          <w:sz w:val="20"/>
          <w:szCs w:val="20"/>
          <w:color w:val="auto"/>
        </w:rPr>
      </w:pPr>
    </w:p>
    <w:p>
      <w:pPr>
        <w:ind w:firstLine="332"/>
        <w:spacing w:after="0" w:line="282" w:lineRule="auto"/>
        <w:tabs>
          <w:tab w:leader="none" w:pos="638"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Corporation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SJW Group, a Delaware corporation, and any successor corporation to all or substantially all of the assets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or voting stock of SJW Group which shall by appropriate action adopt the Plan and/or assume the Award.</w:t>
      </w:r>
    </w:p>
    <w:p>
      <w:pPr>
        <w:spacing w:after="0" w:line="161" w:lineRule="exact"/>
        <w:rPr>
          <w:rFonts w:ascii="Times New Roman" w:cs="Times New Roman" w:eastAsia="Times New Roman" w:hAnsi="Times New Roman"/>
          <w:sz w:val="20"/>
          <w:szCs w:val="20"/>
          <w:color w:val="auto"/>
        </w:rPr>
      </w:pPr>
    </w:p>
    <w:p>
      <w:pPr>
        <w:jc w:val="both"/>
        <w:ind w:firstLine="332"/>
        <w:spacing w:after="0" w:line="261" w:lineRule="auto"/>
        <w:tabs>
          <w:tab w:leader="none" w:pos="642"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Employee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an individual who is in the employ of the Corporation (or any Parent or Subsidiary), subject to the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 xml:space="preserve">and direction of the employer entity as to both the work to be performed and the manner and method of performance; </w:t>
      </w:r>
      <w:r>
        <w:rPr>
          <w:rFonts w:ascii="Times New Roman" w:cs="Times New Roman" w:eastAsia="Times New Roman" w:hAnsi="Times New Roman"/>
          <w:sz w:val="21"/>
          <w:szCs w:val="21"/>
          <w:b w:val="1"/>
          <w:bCs w:val="1"/>
          <w:i w:val="1"/>
          <w:iCs w:val="1"/>
          <w:color w:val="auto"/>
        </w:rPr>
        <w:t>provided, however,</w:t>
      </w:r>
      <w:r>
        <w:rPr>
          <w:rFonts w:ascii="Times New Roman" w:cs="Times New Roman" w:eastAsia="Times New Roman" w:hAnsi="Times New Roman"/>
          <w:sz w:val="19"/>
          <w:szCs w:val="19"/>
          <w:color w:val="auto"/>
        </w:rPr>
        <w:t xml:space="preserve"> that solely for purposes of determining whether Participant has incurred a Separation from Service, the term “Employee” shall have the meaning assigned to such term in the Separation from Service definition set forth in this Appendix.</w:t>
      </w:r>
    </w:p>
    <w:p>
      <w:pPr>
        <w:spacing w:after="0" w:line="188" w:lineRule="exact"/>
        <w:rPr>
          <w:rFonts w:ascii="Times New Roman" w:cs="Times New Roman" w:eastAsia="Times New Roman" w:hAnsi="Times New Roman"/>
          <w:sz w:val="20"/>
          <w:szCs w:val="20"/>
          <w:color w:val="auto"/>
        </w:rPr>
      </w:pPr>
    </w:p>
    <w:p>
      <w:pPr>
        <w:jc w:val="both"/>
        <w:ind w:firstLine="332"/>
        <w:spacing w:after="0" w:line="257" w:lineRule="auto"/>
        <w:tabs>
          <w:tab w:leader="none" w:pos="639"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Fair Market Value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per share of Common Stock on any relevant date shall be the closing selling price per share on the date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question on the Stock Exchange on which the Common Stock is at that time primarily traded, as such price is officially quoted in the composite tape of transactions on such exchange. If there is no reported sale of Common Stock on such Stock Exchange on the date in question, then the Fair Market Value shall be the closing selling price on the exchange on the last preceding date for which such quotation exists.</w:t>
      </w:r>
    </w:p>
    <w:p>
      <w:pPr>
        <w:spacing w:after="0" w:line="200" w:lineRule="exact"/>
        <w:rPr>
          <w:rFonts w:ascii="Times New Roman" w:cs="Times New Roman" w:eastAsia="Times New Roman" w:hAnsi="Times New Roman"/>
          <w:sz w:val="20"/>
          <w:szCs w:val="20"/>
          <w:color w:val="auto"/>
        </w:rPr>
      </w:pPr>
    </w:p>
    <w:p>
      <w:pPr>
        <w:spacing w:after="0" w:line="21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Good Cause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w:t>
      </w:r>
    </w:p>
    <w:p>
      <w:pPr>
        <w:spacing w:after="0" w:line="241" w:lineRule="exact"/>
        <w:rPr>
          <w:rFonts w:ascii="Times New Roman" w:cs="Times New Roman" w:eastAsia="Times New Roman" w:hAnsi="Times New Roman"/>
          <w:sz w:val="20"/>
          <w:szCs w:val="20"/>
          <w:color w:val="auto"/>
        </w:rPr>
      </w:pPr>
    </w:p>
    <w:p>
      <w:pPr>
        <w:ind w:left="340" w:right="20" w:firstLine="316"/>
        <w:spacing w:after="0" w:line="269" w:lineRule="auto"/>
        <w:tabs>
          <w:tab w:leader="none" w:pos="1308"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 or omission by Participant that results in substantial harm to the business or property of the Corporation (or any Parent or Subsidiary) and that constitutes dishonesty, intentional breach of fiduciary obligation or intentional wrongdoing,</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 conviction of a criminal violation involving fraud or dishonesty, or</w:t>
      </w:r>
    </w:p>
    <w:p>
      <w:pPr>
        <w:sectPr>
          <w:pgSz w:w="11900" w:h="16838" w:orient="portrait"/>
          <w:cols w:equalWidth="0" w:num="1">
            <w:col w:w="11240"/>
          </w:cols>
          <w:pgMar w:left="320" w:top="1413" w:right="339" w:bottom="1440" w:gutter="0" w:footer="0" w:header="0"/>
        </w:sectPr>
      </w:pPr>
    </w:p>
    <w:bookmarkStart w:id="139" w:name="page140"/>
    <w:bookmarkEnd w:id="139"/>
    <w:p>
      <w:pPr>
        <w:jc w:val="both"/>
        <w:ind w:left="340" w:firstLine="316"/>
        <w:spacing w:after="0" w:line="258" w:lineRule="auto"/>
        <w:tabs>
          <w:tab w:leader="none" w:pos="131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 intentional and knowing participation in the preparation or release of false or materially misleading financial statements relating to the operations and financial condition of the Corporation (or any Parent or Subsidiary) or Participant’s intentional and knowing submission of any false or erroneous certification required of him or her under the Sarbanes-Oxley Act of 2002 or any securities exchange on which the Common Stock is at the time listed for trading.</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foregoing definition shall not in any way preclude or restrict the right of the Corporation (or any Parent or Subsidiary) to discharge or dismiss Participant or any other person in the Service of the Corporation (or any Parent or Subsidiary) for any other acts or omissions, but such other acts or omissions shall not be deemed, for purposes of the Plan or this Agreement, to constitute grounds for termination for Good Cause.</w:t>
      </w:r>
    </w:p>
    <w:p>
      <w:pPr>
        <w:spacing w:after="0" w:line="192" w:lineRule="exact"/>
        <w:rPr>
          <w:sz w:val="20"/>
          <w:szCs w:val="20"/>
          <w:color w:val="auto"/>
        </w:rPr>
      </w:pPr>
    </w:p>
    <w:p>
      <w:pPr>
        <w:ind w:left="660" w:hanging="328"/>
        <w:spacing w:after="0"/>
        <w:tabs>
          <w:tab w:leader="none" w:pos="66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Good Reason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be deemed to exist with respect to Participant if and only if, without Participant’s express written consent:</w:t>
      </w:r>
    </w:p>
    <w:p>
      <w:pPr>
        <w:spacing w:after="0" w:line="25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a significantly adverse change in the nature or the scope of Participant’s authority;</w:t>
      </w:r>
    </w:p>
    <w:p>
      <w:pPr>
        <w:spacing w:after="0" w:line="25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is assigned duties materially inconsistent with his or her present duties, responsibilities and status;</w:t>
      </w:r>
    </w:p>
    <w:p>
      <w:pPr>
        <w:spacing w:after="0" w:line="25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a reduction in the sum of Participant’s rate of base salary and target bonus; or</w:t>
      </w:r>
    </w:p>
    <w:p>
      <w:pPr>
        <w:spacing w:after="0" w:line="242" w:lineRule="exact"/>
        <w:rPr>
          <w:rFonts w:ascii="Times New Roman" w:cs="Times New Roman" w:eastAsia="Times New Roman" w:hAnsi="Times New Roman"/>
          <w:sz w:val="20"/>
          <w:szCs w:val="20"/>
          <w:color w:val="auto"/>
        </w:rPr>
      </w:pPr>
    </w:p>
    <w:p>
      <w:pPr>
        <w:ind w:left="1280" w:hanging="624"/>
        <w:spacing w:after="0"/>
        <w:tabs>
          <w:tab w:leader="none" w:pos="128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changes by fifty-five (55) miles or more the principal location in which Participant is required to perform</w:t>
      </w:r>
    </w:p>
    <w:p>
      <w:pPr>
        <w:spacing w:after="0" w:line="21" w:lineRule="exact"/>
        <w:rPr>
          <w:rFonts w:ascii="Times New Roman" w:cs="Times New Roman" w:eastAsia="Times New Roman" w:hAnsi="Times New Roman"/>
          <w:sz w:val="20"/>
          <w:szCs w:val="20"/>
          <w:color w:val="auto"/>
        </w:rPr>
      </w:pPr>
    </w:p>
    <w:p>
      <w:pPr>
        <w:ind w:left="3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services;</w:t>
      </w:r>
    </w:p>
    <w:p>
      <w:pPr>
        <w:spacing w:after="0" w:line="21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provided, however, </w:t>
      </w:r>
      <w:r>
        <w:rPr>
          <w:rFonts w:ascii="Times New Roman" w:cs="Times New Roman" w:eastAsia="Times New Roman" w:hAnsi="Times New Roman"/>
          <w:sz w:val="19"/>
          <w:szCs w:val="19"/>
          <w:color w:val="auto"/>
        </w:rPr>
        <w:t>that, before Participant may resign for any Good Reason event or transaction, Participant must first provide written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notice to the Corporation (or the Parent or Subsidiary employing Participant) identifying such Good Reason event or transaction within</w:t>
      </w:r>
    </w:p>
    <w:p>
      <w:pPr>
        <w:spacing w:after="0" w:line="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ninety (90) days after the occurrence of such event or transaction and the Corporation (or the Parent or Subsidiary employing Participant) shall have failed to cure such event or transaction within thirty (30) days after receipt of such written notice.</w:t>
      </w:r>
    </w:p>
    <w:p>
      <w:pPr>
        <w:spacing w:after="0" w:line="207" w:lineRule="exact"/>
        <w:rPr>
          <w:sz w:val="20"/>
          <w:szCs w:val="20"/>
          <w:color w:val="auto"/>
        </w:rPr>
      </w:pPr>
    </w:p>
    <w:p>
      <w:pPr>
        <w:ind w:right="20" w:firstLine="324"/>
        <w:spacing w:after="0" w:line="280" w:lineRule="auto"/>
        <w:rPr>
          <w:sz w:val="20"/>
          <w:szCs w:val="20"/>
          <w:color w:val="auto"/>
        </w:rPr>
      </w:pPr>
      <w:r>
        <w:rPr>
          <w:rFonts w:ascii="Times New Roman" w:cs="Times New Roman" w:eastAsia="Times New Roman" w:hAnsi="Times New Roman"/>
          <w:sz w:val="20"/>
          <w:szCs w:val="20"/>
          <w:color w:val="auto"/>
        </w:rPr>
        <w:t xml:space="preserve">M. </w:t>
      </w:r>
      <w:r>
        <w:rPr>
          <w:rFonts w:ascii="Times New Roman" w:cs="Times New Roman" w:eastAsia="Times New Roman" w:hAnsi="Times New Roman"/>
          <w:sz w:val="21"/>
          <w:szCs w:val="21"/>
          <w:b w:val="1"/>
          <w:bCs w:val="1"/>
          <w:u w:val="single" w:color="auto"/>
          <w:color w:val="auto"/>
        </w:rPr>
        <w:t>Measurement Period</w:t>
      </w:r>
      <w:r>
        <w:rPr>
          <w:rFonts w:ascii="Times New Roman" w:cs="Times New Roman" w:eastAsia="Times New Roman" w:hAnsi="Times New Roman"/>
          <w:sz w:val="20"/>
          <w:szCs w:val="20"/>
          <w:color w:val="auto"/>
        </w:rPr>
        <w:t xml:space="preserve"> shall mean the period specified on attached Schedule I over which the attainment of the Performance Objective is to be measured.</w:t>
      </w:r>
    </w:p>
    <w:p>
      <w:pPr>
        <w:spacing w:after="0" w:line="152" w:lineRule="exact"/>
        <w:rPr>
          <w:sz w:val="20"/>
          <w:szCs w:val="20"/>
          <w:color w:val="auto"/>
        </w:rPr>
      </w:pPr>
    </w:p>
    <w:p>
      <w:pPr>
        <w:ind w:left="640" w:hanging="308"/>
        <w:spacing w:after="0"/>
        <w:tabs>
          <w:tab w:leader="none" w:pos="64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1934 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the Securities Exchange Act of 1934,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amended.</w:t>
      </w:r>
    </w:p>
    <w:p>
      <w:pPr>
        <w:spacing w:after="0" w:line="23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the person to whom the Award is made pursuant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w:t>
      </w:r>
    </w:p>
    <w:p>
      <w:pPr>
        <w:spacing w:after="0" w:line="233" w:lineRule="exact"/>
        <w:rPr>
          <w:rFonts w:ascii="Times New Roman" w:cs="Times New Roman" w:eastAsia="Times New Roman" w:hAnsi="Times New Roman"/>
          <w:sz w:val="20"/>
          <w:szCs w:val="20"/>
          <w:color w:val="auto"/>
        </w:rPr>
      </w:pPr>
    </w:p>
    <w:p>
      <w:pPr>
        <w:jc w:val="both"/>
        <w:ind w:firstLine="332"/>
        <w:spacing w:after="0" w:line="254" w:lineRule="auto"/>
        <w:tabs>
          <w:tab w:leader="none" w:pos="624"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Parent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any corporation (other than the Corporation) in an unbroken chain of corporations ending with the Corporation,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provided each corporation in the unbroken chain (other than the Corporation) owns, at the time of the determination, stock possessing fifty percent (50%) or more of the total combined voting power of all classes of stock in one of the other corporations in such chain.</w:t>
      </w:r>
    </w:p>
    <w:p>
      <w:pPr>
        <w:spacing w:after="0" w:line="178" w:lineRule="exact"/>
        <w:rPr>
          <w:rFonts w:ascii="Times New Roman" w:cs="Times New Roman" w:eastAsia="Times New Roman" w:hAnsi="Times New Roman"/>
          <w:sz w:val="20"/>
          <w:szCs w:val="20"/>
          <w:color w:val="auto"/>
        </w:rPr>
      </w:pPr>
    </w:p>
    <w:p>
      <w:pPr>
        <w:ind w:firstLine="332"/>
        <w:spacing w:after="0" w:line="282" w:lineRule="auto"/>
        <w:tabs>
          <w:tab w:leader="none" w:pos="638"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Performance Objective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the attainment of the return on equity objective set forth in attached Schedule I, as calculated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over the Measurement Period.</w:t>
      </w:r>
    </w:p>
    <w:p>
      <w:pPr>
        <w:sectPr>
          <w:pgSz w:w="11900" w:h="16838" w:orient="portrait"/>
          <w:cols w:equalWidth="0" w:num="1">
            <w:col w:w="11240"/>
          </w:cols>
          <w:pgMar w:left="320" w:top="1426" w:right="339" w:bottom="1440" w:gutter="0" w:footer="0" w:header="0"/>
        </w:sectPr>
      </w:pPr>
    </w:p>
    <w:bookmarkStart w:id="140" w:name="page141"/>
    <w:bookmarkEnd w:id="140"/>
    <w:p>
      <w:pPr>
        <w:ind w:left="-8" w:right="20" w:firstLine="332"/>
        <w:spacing w:after="0" w:line="256" w:lineRule="auto"/>
        <w:tabs>
          <w:tab w:leader="none" w:pos="632" w:val="left"/>
        </w:tabs>
        <w:numPr>
          <w:ilvl w:val="2"/>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Permanent Disability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Participant’s inability to engage in any substantial gainful activity by reason of any medically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determinable physical or mental impairment expected to result in death or to be of continuous duration of twelve (12) months or more.</w:t>
      </w:r>
    </w:p>
    <w:p>
      <w:pPr>
        <w:spacing w:after="0" w:line="189" w:lineRule="exact"/>
        <w:rPr>
          <w:rFonts w:ascii="Times New Roman" w:cs="Times New Roman" w:eastAsia="Times New Roman" w:hAnsi="Times New Roman"/>
          <w:sz w:val="20"/>
          <w:szCs w:val="20"/>
          <w:color w:val="auto"/>
        </w:rPr>
      </w:pPr>
    </w:p>
    <w:p>
      <w:pPr>
        <w:ind w:left="652" w:hanging="328"/>
        <w:spacing w:after="0"/>
        <w:tabs>
          <w:tab w:leader="none" w:pos="652" w:val="left"/>
        </w:tabs>
        <w:numPr>
          <w:ilvl w:val="2"/>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the Corporation’s Long Term Incentive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w:t>
      </w:r>
    </w:p>
    <w:p>
      <w:pPr>
        <w:spacing w:after="0" w:line="233" w:lineRule="exact"/>
        <w:rPr>
          <w:rFonts w:ascii="Times New Roman" w:cs="Times New Roman" w:eastAsia="Times New Roman" w:hAnsi="Times New Roman"/>
          <w:sz w:val="20"/>
          <w:szCs w:val="20"/>
          <w:color w:val="auto"/>
        </w:rPr>
      </w:pPr>
    </w:p>
    <w:p>
      <w:pPr>
        <w:ind w:left="632" w:hanging="308"/>
        <w:spacing w:after="0"/>
        <w:tabs>
          <w:tab w:leader="none" w:pos="632" w:val="left"/>
        </w:tabs>
        <w:numPr>
          <w:ilvl w:val="2"/>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Plan Administrator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either the Board or a committee of the Board acting in its capacity as administrator of the Plan.</w:t>
      </w:r>
    </w:p>
    <w:p>
      <w:pPr>
        <w:spacing w:after="0" w:line="233" w:lineRule="exact"/>
        <w:rPr>
          <w:rFonts w:ascii="Times New Roman" w:cs="Times New Roman" w:eastAsia="Times New Roman" w:hAnsi="Times New Roman"/>
          <w:sz w:val="20"/>
          <w:szCs w:val="20"/>
          <w:color w:val="auto"/>
        </w:rPr>
      </w:pPr>
    </w:p>
    <w:p>
      <w:pPr>
        <w:jc w:val="both"/>
        <w:ind w:left="-8" w:firstLine="332"/>
        <w:spacing w:after="0" w:line="257" w:lineRule="auto"/>
        <w:tabs>
          <w:tab w:leader="none" w:pos="630" w:val="left"/>
        </w:tabs>
        <w:numPr>
          <w:ilvl w:val="2"/>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Qualifying Change in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the date on which there occurs a Change in Control that also qualifies as: (i) a change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in the ownership of the Corporation, as determined in accordance with Section 1.409A-3(i)((5)(v) of the Treasury Regulations, (ii) a change in the effective control of the Corporation, as determined in accordance with Section 1.409A-3(i)((5)(vi) of the Treasury Regulations, or (iii) a change in the ownership of a substantial portion of the assets of the Corporation, as determined in accordance with Section 1.409A- 3(i)((5)</w:t>
      </w:r>
    </w:p>
    <w:p>
      <w:pPr>
        <w:spacing w:after="0" w:line="2" w:lineRule="exact"/>
        <w:rPr>
          <w:rFonts w:ascii="Times New Roman" w:cs="Times New Roman" w:eastAsia="Times New Roman" w:hAnsi="Times New Roman"/>
          <w:sz w:val="20"/>
          <w:szCs w:val="20"/>
          <w:color w:val="auto"/>
        </w:rPr>
      </w:pPr>
    </w:p>
    <w:p>
      <w:pPr>
        <w:ind w:left="392" w:hanging="392"/>
        <w:spacing w:after="0"/>
        <w:tabs>
          <w:tab w:leader="none" w:pos="392"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Treasury Regulations.</w:t>
      </w:r>
    </w:p>
    <w:p>
      <w:pPr>
        <w:spacing w:after="0" w:line="198" w:lineRule="exact"/>
        <w:rPr>
          <w:rFonts w:ascii="Times New Roman" w:cs="Times New Roman" w:eastAsia="Times New Roman" w:hAnsi="Times New Roman"/>
          <w:sz w:val="20"/>
          <w:szCs w:val="20"/>
          <w:color w:val="auto"/>
        </w:rPr>
      </w:pPr>
    </w:p>
    <w:p>
      <w:pPr>
        <w:jc w:val="both"/>
        <w:ind w:left="-8" w:firstLine="251"/>
        <w:spacing w:after="0" w:line="247" w:lineRule="auto"/>
        <w:tabs>
          <w:tab w:leader="none" w:pos="604"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Retirement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Participant’s voluntary cessation of Employee status (i) after reaching age 55 and at least five (5) years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Service with the Corporation (or any Parent or Subsidiary) and (ii) where Participant’s age plus years of Service with the Corporation (or any Parent or Subsidiary) equals at least 65.</w:t>
      </w:r>
    </w:p>
    <w:p>
      <w:pPr>
        <w:spacing w:after="0" w:line="185" w:lineRule="exact"/>
        <w:rPr>
          <w:rFonts w:ascii="Times New Roman" w:cs="Times New Roman" w:eastAsia="Times New Roman" w:hAnsi="Times New Roman"/>
          <w:sz w:val="20"/>
          <w:szCs w:val="20"/>
          <w:color w:val="auto"/>
        </w:rPr>
      </w:pPr>
    </w:p>
    <w:p>
      <w:pPr>
        <w:jc w:val="both"/>
        <w:ind w:left="-8" w:firstLine="251"/>
        <w:spacing w:after="0" w:line="258" w:lineRule="auto"/>
        <w:tabs>
          <w:tab w:leader="none" w:pos="615"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Separation from Service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Participant’s cessation of Employee status by reason of his death, retirement or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of employment. Participant shall be deemed to have terminated employment for such purpose at such time as the level of his bona fide services to be performed as an Employee (or as a consultant or independent contractor) permanently decreases to a level that is not more than twenty percent (20%) of the average level of services he rendered as an Employee during the immediately preceding thirty-six (36) months. Solely for purposes of determining when a Separation from Service occurs, Participant will be deemed to continue in “Employee” status for so long as he remains in the employ of one or more members of the Employer Group, subject to the control and direction of the employer entity as to both the work to be performed and the manner and method of performance. “Employer Group” means the Corporation and any Parent or Subsidiary and any other corporation or business controlled by, controlling or under common control with, the Corporation, as determined in accordance with Sections 414(b) and (c) of the Code and the Treasury Regulations thereunder, except that in applying Sections 1563(1), (2) and (3) of the Code for purposes of determining the controlled group of corporations under Section 414(b), the phrase “at least 50 percent” shall be used instead of “at least 80 percent” each place the latter phrase appears in such sections and in applying Section 1.414(c)-2 of the Treasury Regulations for purposes of determining trades or businesses that are under common control for purposes of Section 414(c), the phrase “at least 50 percent” shall be used instead of “at least 80 percent” each place the latter phrase appears in Section 1.4.14(c)-2 of the Treasury Regulations. Any such determination as to Separation from Service, however, shall be made in accordance with the applicable standards of the Treasury Regulations issued under Section 409A of the Code.</w:t>
      </w:r>
    </w:p>
    <w:p>
      <w:pPr>
        <w:spacing w:after="0" w:line="192" w:lineRule="exact"/>
        <w:rPr>
          <w:rFonts w:ascii="Times New Roman" w:cs="Times New Roman" w:eastAsia="Times New Roman" w:hAnsi="Times New Roman"/>
          <w:sz w:val="20"/>
          <w:szCs w:val="20"/>
          <w:color w:val="auto"/>
        </w:rPr>
      </w:pPr>
    </w:p>
    <w:p>
      <w:pPr>
        <w:jc w:val="both"/>
        <w:ind w:left="-8" w:firstLine="251"/>
        <w:spacing w:after="0" w:line="253" w:lineRule="auto"/>
        <w:tabs>
          <w:tab w:leader="none" w:pos="630"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Service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Participant’s performance of services for the Corporation (or any Parent or Subsidiary) in the capacity of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Employee, a non-employee member of the Board or a consultant or independent advisor. Participant shall be deemed to cease Service immediately upon the occurrence of either of the following events: (i) Participant no longer performs services in any of the foregoing capacities for the Corporation (or any Parent or Subsidiary) or (ii) the entity for which Participant performs such services ceases to remain a Parent or Subsidiary of the Corporation, even though Participant may subsequently continue to perform services for that entity. Service as an Employee shall</w:t>
      </w:r>
    </w:p>
    <w:p>
      <w:pPr>
        <w:sectPr>
          <w:pgSz w:w="11900" w:h="16838" w:orient="portrait"/>
          <w:cols w:equalWidth="0" w:num="1">
            <w:col w:w="11232"/>
          </w:cols>
          <w:pgMar w:left="328" w:top="1404" w:right="339" w:bottom="1440" w:gutter="0" w:footer="0" w:header="0"/>
        </w:sectPr>
      </w:pPr>
    </w:p>
    <w:bookmarkStart w:id="141" w:name="page142"/>
    <w:bookmarkEnd w:id="141"/>
    <w:p>
      <w:pPr>
        <w:spacing w:after="0" w:line="256" w:lineRule="auto"/>
        <w:rPr>
          <w:sz w:val="20"/>
          <w:szCs w:val="20"/>
          <w:color w:val="auto"/>
        </w:rPr>
      </w:pPr>
      <w:r>
        <w:rPr>
          <w:rFonts w:ascii="Times New Roman" w:cs="Times New Roman" w:eastAsia="Times New Roman" w:hAnsi="Times New Roman"/>
          <w:sz w:val="20"/>
          <w:szCs w:val="20"/>
          <w:color w:val="auto"/>
        </w:rPr>
        <w:t xml:space="preserve">not be deemed to cease during a period of military leave, sick leave or other personal leave approved by the Corporation;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b w:val="1"/>
          <w:bCs w:val="1"/>
          <w:i w:val="1"/>
          <w:iCs w:val="1"/>
          <w:color w:val="auto"/>
        </w:rPr>
        <w:t>however</w:t>
      </w:r>
      <w:r>
        <w:rPr>
          <w:rFonts w:ascii="Times New Roman" w:cs="Times New Roman" w:eastAsia="Times New Roman" w:hAnsi="Times New Roman"/>
          <w:sz w:val="19"/>
          <w:szCs w:val="19"/>
          <w:color w:val="auto"/>
        </w:rPr>
        <w:t>, that the following special provisions shall be in effect for any such leave:</w:t>
      </w:r>
    </w:p>
    <w:p>
      <w:pPr>
        <w:spacing w:after="0" w:line="1" w:lineRule="exact"/>
        <w:rPr>
          <w:sz w:val="20"/>
          <w:szCs w:val="20"/>
          <w:color w:val="auto"/>
        </w:rPr>
      </w:pPr>
    </w:p>
    <w:p>
      <w:pPr>
        <w:jc w:val="both"/>
        <w:ind w:left="1300" w:firstLine="328"/>
        <w:spacing w:after="0" w:line="238" w:lineRule="auto"/>
        <w:tabs>
          <w:tab w:leader="none" w:pos="1944"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Should the period of such leave (other than a disability leave) exceed </w:t>
      </w:r>
      <w:r>
        <w:rPr>
          <w:rFonts w:ascii="Times New Roman" w:cs="Times New Roman" w:eastAsia="Times New Roman" w:hAnsi="Times New Roman"/>
          <w:sz w:val="21"/>
          <w:szCs w:val="21"/>
          <w:color w:val="auto"/>
        </w:rPr>
        <w:t>six</w:t>
      </w:r>
      <w:r>
        <w:rPr>
          <w:rFonts w:ascii="Times New Roman" w:cs="Times New Roman" w:eastAsia="Times New Roman" w:hAnsi="Times New Roman"/>
          <w:sz w:val="20"/>
          <w:szCs w:val="20"/>
          <w:color w:val="auto"/>
        </w:rPr>
        <w:t xml:space="preserve"> (6) months, then Participant shall be deemed to cease Service and to incur a Separation from Service upon the expiration of the initial six (6)-month period of that leave, unless Participant retains a right to re-employment under applicable law or by contract with the Corporation (or any Parent or Subsidiary).</w:t>
      </w:r>
    </w:p>
    <w:p>
      <w:pPr>
        <w:spacing w:after="0" w:line="204" w:lineRule="exact"/>
        <w:rPr>
          <w:rFonts w:ascii="Times New Roman" w:cs="Times New Roman" w:eastAsia="Times New Roman" w:hAnsi="Times New Roman"/>
          <w:sz w:val="20"/>
          <w:szCs w:val="20"/>
          <w:color w:val="auto"/>
        </w:rPr>
      </w:pPr>
    </w:p>
    <w:p>
      <w:pPr>
        <w:jc w:val="both"/>
        <w:ind w:left="1300" w:firstLine="328"/>
        <w:spacing w:after="0" w:line="249" w:lineRule="auto"/>
        <w:tabs>
          <w:tab w:leader="none" w:pos="1945"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Should the period of a disability leave exceed twenty-nine (29) months, then Participant shall be deemed to cease Service and to incur a Separation from Service upon the expiration of the initial twenty-nine (29)-month period of that leave, unless Participant retains a right to re-employment under applicable law or by contract with the Corporation (or any Parent or Subsidiary). For such purpose, a disability leave shall be a leave of absence due to any medically determinable physical or mental impairment that can be expected to result in death or to last for a continuous period of not less than six (6) months and causes Participant to be unable to perform the duties of his position of employment with the Corporation (or any Parent or Subsidiary) or any substantially similar position of employment.</w:t>
      </w:r>
    </w:p>
    <w:p>
      <w:pPr>
        <w:spacing w:after="0" w:line="219" w:lineRule="exact"/>
        <w:rPr>
          <w:rFonts w:ascii="Times New Roman" w:cs="Times New Roman" w:eastAsia="Times New Roman" w:hAnsi="Times New Roman"/>
          <w:sz w:val="20"/>
          <w:szCs w:val="20"/>
          <w:color w:val="auto"/>
        </w:rPr>
      </w:pPr>
    </w:p>
    <w:p>
      <w:pPr>
        <w:jc w:val="both"/>
        <w:ind w:left="1300" w:firstLine="328"/>
        <w:spacing w:after="0" w:line="247" w:lineRule="auto"/>
        <w:tabs>
          <w:tab w:leader="none" w:pos="1946"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to the extent otherwise required by law or expressly authorized by the Plan Administrator or by the Corporation’s written policy on leaves of absence, no Service credit shall be given for vesting purposes for any period Participant is on a leave of absence.</w:t>
      </w:r>
    </w:p>
    <w:p>
      <w:pPr>
        <w:spacing w:after="0" w:line="199" w:lineRule="exact"/>
        <w:rPr>
          <w:rFonts w:ascii="Times New Roman" w:cs="Times New Roman" w:eastAsia="Times New Roman" w:hAnsi="Times New Roman"/>
          <w:sz w:val="20"/>
          <w:szCs w:val="20"/>
          <w:color w:val="auto"/>
        </w:rPr>
      </w:pPr>
    </w:p>
    <w:p>
      <w:pPr>
        <w:ind w:right="20" w:firstLine="332"/>
        <w:spacing w:after="0" w:line="243" w:lineRule="auto"/>
        <w:tabs>
          <w:tab w:leader="none" w:pos="612"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Stock Exchange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the American Stock Exchange, the Nasdaq Global or Global Select Market or the New York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Exchange.</w:t>
      </w:r>
    </w:p>
    <w:p>
      <w:pPr>
        <w:spacing w:after="0" w:line="189" w:lineRule="exact"/>
        <w:rPr>
          <w:rFonts w:ascii="Times New Roman" w:cs="Times New Roman" w:eastAsia="Times New Roman" w:hAnsi="Times New Roman"/>
          <w:sz w:val="20"/>
          <w:szCs w:val="20"/>
          <w:color w:val="auto"/>
        </w:rPr>
      </w:pPr>
    </w:p>
    <w:p>
      <w:pPr>
        <w:jc w:val="both"/>
        <w:ind w:firstLine="332"/>
        <w:spacing w:after="0"/>
        <w:tabs>
          <w:tab w:leader="none" w:pos="643"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Subsidiary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any corporation (other than the Corporation) in an unbroken chain of corporations beginning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Corporation, provided each corporation (other than the last corporation) in the unbroken chain owns, at the time of the determination, stock possessing fifty percent (50%) or more of the total combined voting power of all classes of stock in one of the other corporations in such chain.</w:t>
      </w:r>
    </w:p>
    <w:p>
      <w:pPr>
        <w:spacing w:after="0" w:line="200" w:lineRule="exact"/>
        <w:rPr>
          <w:sz w:val="20"/>
          <w:szCs w:val="20"/>
          <w:color w:val="auto"/>
        </w:rPr>
      </w:pPr>
    </w:p>
    <w:p>
      <w:pPr>
        <w:spacing w:after="0" w:line="223" w:lineRule="exact"/>
        <w:rPr>
          <w:sz w:val="20"/>
          <w:szCs w:val="20"/>
          <w:color w:val="auto"/>
        </w:rPr>
      </w:pPr>
    </w:p>
    <w:p>
      <w:pPr>
        <w:ind w:left="920" w:hanging="588"/>
        <w:spacing w:after="0"/>
        <w:tabs>
          <w:tab w:leader="none" w:pos="92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Target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the target number of shares as set forth in Paragraph 1 of the Agreement.</w:t>
      </w:r>
    </w:p>
    <w:p>
      <w:pPr>
        <w:spacing w:after="0" w:line="233" w:lineRule="exact"/>
        <w:rPr>
          <w:rFonts w:ascii="Times New Roman" w:cs="Times New Roman" w:eastAsia="Times New Roman" w:hAnsi="Times New Roman"/>
          <w:sz w:val="22"/>
          <w:szCs w:val="22"/>
          <w:color w:val="auto"/>
        </w:rPr>
      </w:pPr>
    </w:p>
    <w:p>
      <w:pPr>
        <w:jc w:val="both"/>
        <w:ind w:firstLine="332"/>
        <w:spacing w:after="0" w:line="269" w:lineRule="auto"/>
        <w:tabs>
          <w:tab w:leader="none" w:pos="1017"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Withholding Taxes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mean (i) the employee portion of the federal, state and local employment taxes required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withheld by the Corporation in connection with the vesting of the shares of Common Stock (or any other property) under the Award and (ii) the federal, state and local income taxes required to be withheld by the Corporation in connection with the issuance of those vested shares (or any other property).</w:t>
      </w:r>
    </w:p>
    <w:p>
      <w:pPr>
        <w:sectPr>
          <w:pgSz w:w="11900" w:h="16838" w:orient="portrait"/>
          <w:cols w:equalWidth="0" w:num="1">
            <w:col w:w="11240"/>
          </w:cols>
          <w:pgMar w:left="320" w:top="1402" w:right="339" w:bottom="1440" w:gutter="0" w:footer="0" w:header="0"/>
        </w:sectPr>
      </w:pPr>
    </w:p>
    <w:bookmarkStart w:id="142" w:name="page143"/>
    <w:bookmarkEnd w:id="142"/>
    <w:p>
      <w:pPr>
        <w:jc w:val="center"/>
        <w:ind w:right="-99"/>
        <w:spacing w:after="0"/>
        <w:rPr>
          <w:sz w:val="20"/>
          <w:szCs w:val="20"/>
          <w:color w:val="auto"/>
        </w:rPr>
      </w:pPr>
      <w:r>
        <w:rPr>
          <w:rFonts w:ascii="Times New Roman" w:cs="Times New Roman" w:eastAsia="Times New Roman" w:hAnsi="Times New Roman"/>
          <w:sz w:val="22"/>
          <w:szCs w:val="22"/>
          <w:color w:val="auto"/>
        </w:rPr>
        <w:t>SCHEDULE I</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PERFORMANCE OBJECTIVE AND MEASUREMENT PERIOD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MEASUREMENT PERIOD</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Measurement Period shall be the period beginning _______________ and ending ___________ (the “Measurement Period”).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PERFORMANCE OBJECTIVE</w:t>
      </w:r>
    </w:p>
    <w:p>
      <w:pPr>
        <w:spacing w:after="0" w:line="2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Performance Objective which must be attained shall be the average return on equity to the Corporation’s shareholders (“Average ROE”) over the Measurement Period. For such purpose, Average ROE means (A) the sum of ROE for each fiscal year in the Measurement Period divided by (B) 3.</w:t>
      </w:r>
    </w:p>
    <w:p>
      <w:pPr>
        <w:spacing w:after="0" w:line="20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No later than the last business day of February in the calendar year immediately following the completion of the Measurement Period, the Plan Administrator shall certify the actual level at which the Performance Objective was attained during the Measurement Period. The actual number of shares of Common Stock which vest and become issuable pursuant to the Award as a result of such certification (the “Performance- Qualified Shares”) may range from 0% to 150% of the Target Shares (as such number may be adjusted from time to time to the provisions of Paragraph 6 of this Agreement) based on the level of attainment of the Performance Objective as follows:</w:t>
      </w:r>
    </w:p>
    <w:tbl>
      <w:tblPr>
        <w:tblLayout w:type="fixed"/>
        <w:tblInd w:w="10" w:type="dxa"/>
        <w:tblCellMar>
          <w:top w:w="0" w:type="dxa"/>
          <w:left w:w="0" w:type="dxa"/>
          <w:bottom w:w="0" w:type="dxa"/>
          <w:right w:w="0" w:type="dxa"/>
        </w:tblCellMar>
      </w:tblPr>
      <w:tr>
        <w:trPr>
          <w:trHeight w:val="245"/>
        </w:trPr>
        <w:tc>
          <w:tcPr>
            <w:tcW w:w="2240" w:type="dxa"/>
            <w:vAlign w:val="bottom"/>
            <w:tcBorders>
              <w:top w:val="single" w:sz="8" w:color="auto"/>
              <w:left w:val="single" w:sz="8" w:color="auto"/>
              <w:right w:val="single" w:sz="8" w:color="auto"/>
            </w:tcBorders>
          </w:tcPr>
          <w:p>
            <w:pPr>
              <w:ind w:left="300"/>
              <w:spacing w:after="0" w:line="245" w:lineRule="exact"/>
              <w:rPr>
                <w:sz w:val="20"/>
                <w:szCs w:val="20"/>
                <w:color w:val="auto"/>
              </w:rPr>
            </w:pPr>
            <w:r>
              <w:rPr>
                <w:rFonts w:ascii="Times New Roman" w:cs="Times New Roman" w:eastAsia="Times New Roman" w:hAnsi="Times New Roman"/>
                <w:sz w:val="22"/>
                <w:szCs w:val="22"/>
                <w:b w:val="1"/>
                <w:bCs w:val="1"/>
                <w:color w:val="auto"/>
              </w:rPr>
              <w:t>Average RO</w:t>
            </w:r>
          </w:p>
        </w:tc>
        <w:tc>
          <w:tcPr>
            <w:tcW w:w="2420" w:type="dxa"/>
            <w:vAlign w:val="bottom"/>
            <w:tcBorders>
              <w:top w:val="single" w:sz="8" w:color="auto"/>
              <w:right w:val="single" w:sz="8" w:color="auto"/>
            </w:tcBorders>
          </w:tcPr>
          <w:p>
            <w:pPr>
              <w:jc w:val="right"/>
              <w:ind w:right="492"/>
              <w:spacing w:after="0" w:line="245" w:lineRule="exact"/>
              <w:rPr>
                <w:sz w:val="20"/>
                <w:szCs w:val="20"/>
                <w:color w:val="auto"/>
              </w:rPr>
            </w:pPr>
            <w:r>
              <w:rPr>
                <w:rFonts w:ascii="Times New Roman" w:cs="Times New Roman" w:eastAsia="Times New Roman" w:hAnsi="Times New Roman"/>
                <w:sz w:val="22"/>
                <w:szCs w:val="22"/>
                <w:b w:val="1"/>
                <w:bCs w:val="1"/>
                <w:color w:val="auto"/>
              </w:rPr>
              <w:t>&lt; _____</w:t>
            </w:r>
          </w:p>
        </w:tc>
        <w:tc>
          <w:tcPr>
            <w:tcW w:w="2040" w:type="dxa"/>
            <w:vAlign w:val="bottom"/>
            <w:tcBorders>
              <w:top w:val="single" w:sz="8" w:color="auto"/>
              <w:right w:val="single" w:sz="8" w:color="auto"/>
            </w:tcBorders>
          </w:tcPr>
          <w:p>
            <w:pPr>
              <w:ind w:left="540"/>
              <w:spacing w:after="0" w:line="245" w:lineRule="exact"/>
              <w:rPr>
                <w:sz w:val="20"/>
                <w:szCs w:val="20"/>
                <w:color w:val="auto"/>
              </w:rPr>
            </w:pPr>
            <w:r>
              <w:rPr>
                <w:rFonts w:ascii="Times New Roman" w:cs="Times New Roman" w:eastAsia="Times New Roman" w:hAnsi="Times New Roman"/>
                <w:sz w:val="22"/>
                <w:szCs w:val="22"/>
                <w:b w:val="1"/>
                <w:bCs w:val="1"/>
                <w:color w:val="auto"/>
              </w:rPr>
              <w:t>Threshold</w:t>
            </w:r>
          </w:p>
        </w:tc>
        <w:tc>
          <w:tcPr>
            <w:tcW w:w="2240" w:type="dxa"/>
            <w:vAlign w:val="bottom"/>
            <w:tcBorders>
              <w:top w:val="single" w:sz="8" w:color="auto"/>
              <w:right w:val="single" w:sz="8" w:color="auto"/>
            </w:tcBorders>
          </w:tcPr>
          <w:p>
            <w:pPr>
              <w:ind w:left="800"/>
              <w:spacing w:after="0" w:line="245" w:lineRule="exact"/>
              <w:rPr>
                <w:sz w:val="20"/>
                <w:szCs w:val="20"/>
                <w:color w:val="auto"/>
              </w:rPr>
            </w:pPr>
            <w:r>
              <w:rPr>
                <w:rFonts w:ascii="Times New Roman" w:cs="Times New Roman" w:eastAsia="Times New Roman" w:hAnsi="Times New Roman"/>
                <w:sz w:val="22"/>
                <w:szCs w:val="22"/>
                <w:b w:val="1"/>
                <w:bCs w:val="1"/>
                <w:color w:val="auto"/>
              </w:rPr>
              <w:t>Target</w:t>
            </w:r>
          </w:p>
        </w:tc>
        <w:tc>
          <w:tcPr>
            <w:tcW w:w="2260" w:type="dxa"/>
            <w:vAlign w:val="bottom"/>
            <w:tcBorders>
              <w:top w:val="single" w:sz="8" w:color="auto"/>
              <w:right w:val="single" w:sz="8" w:color="auto"/>
            </w:tcBorders>
          </w:tcPr>
          <w:p>
            <w:pPr>
              <w:ind w:left="640"/>
              <w:spacing w:after="0" w:line="245" w:lineRule="exact"/>
              <w:rPr>
                <w:sz w:val="20"/>
                <w:szCs w:val="20"/>
                <w:color w:val="auto"/>
              </w:rPr>
            </w:pPr>
            <w:r>
              <w:rPr>
                <w:rFonts w:ascii="Times New Roman" w:cs="Times New Roman" w:eastAsia="Times New Roman" w:hAnsi="Times New Roman"/>
                <w:sz w:val="22"/>
                <w:szCs w:val="22"/>
                <w:b w:val="1"/>
                <w:bCs w:val="1"/>
                <w:color w:val="auto"/>
              </w:rPr>
              <w:t>Maximum</w:t>
            </w:r>
          </w:p>
        </w:tc>
      </w:tr>
      <w:tr>
        <w:trPr>
          <w:trHeight w:val="295"/>
        </w:trPr>
        <w:tc>
          <w:tcPr>
            <w:tcW w:w="2240" w:type="dxa"/>
            <w:vAlign w:val="bottom"/>
            <w:tcBorders>
              <w:left w:val="single" w:sz="8" w:color="auto"/>
              <w:bottom w:val="single" w:sz="8" w:color="auto"/>
              <w:right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jc w:val="right"/>
              <w:ind w:right="652"/>
              <w:spacing w:after="0"/>
              <w:rPr>
                <w:sz w:val="20"/>
                <w:szCs w:val="20"/>
                <w:color w:val="auto"/>
              </w:rPr>
            </w:pPr>
            <w:r>
              <w:rPr>
                <w:rFonts w:ascii="Times New Roman" w:cs="Times New Roman" w:eastAsia="Times New Roman" w:hAnsi="Times New Roman"/>
                <w:sz w:val="22"/>
                <w:szCs w:val="22"/>
                <w:b w:val="1"/>
                <w:bCs w:val="1"/>
                <w:color w:val="auto"/>
              </w:rPr>
              <w:t>___%</w:t>
            </w:r>
          </w:p>
        </w:tc>
        <w:tc>
          <w:tcPr>
            <w:tcW w:w="2240" w:type="dxa"/>
            <w:vAlign w:val="bottom"/>
            <w:tcBorders>
              <w:bottom w:val="single" w:sz="8" w:color="auto"/>
              <w:right w:val="single" w:sz="8" w:color="auto"/>
            </w:tcBorders>
          </w:tcPr>
          <w:p>
            <w:pPr>
              <w:jc w:val="right"/>
              <w:ind w:right="752"/>
              <w:spacing w:after="0"/>
              <w:rPr>
                <w:sz w:val="20"/>
                <w:szCs w:val="20"/>
                <w:color w:val="auto"/>
              </w:rPr>
            </w:pPr>
            <w:r>
              <w:rPr>
                <w:rFonts w:ascii="Times New Roman" w:cs="Times New Roman" w:eastAsia="Times New Roman" w:hAnsi="Times New Roman"/>
                <w:sz w:val="22"/>
                <w:szCs w:val="22"/>
                <w:b w:val="1"/>
                <w:bCs w:val="1"/>
                <w:color w:val="auto"/>
              </w:rPr>
              <w:t>___%</w:t>
            </w:r>
          </w:p>
        </w:tc>
        <w:tc>
          <w:tcPr>
            <w:tcW w:w="2260" w:type="dxa"/>
            <w:vAlign w:val="bottom"/>
            <w:tcBorders>
              <w:bottom w:val="single" w:sz="8" w:color="auto"/>
              <w:right w:val="single" w:sz="8" w:color="auto"/>
            </w:tcBorders>
          </w:tcPr>
          <w:p>
            <w:pPr>
              <w:jc w:val="right"/>
              <w:ind w:right="772"/>
              <w:spacing w:after="0"/>
              <w:rPr>
                <w:sz w:val="20"/>
                <w:szCs w:val="20"/>
                <w:color w:val="auto"/>
              </w:rPr>
            </w:pPr>
            <w:r>
              <w:rPr>
                <w:rFonts w:ascii="Times New Roman" w:cs="Times New Roman" w:eastAsia="Times New Roman" w:hAnsi="Times New Roman"/>
                <w:sz w:val="22"/>
                <w:szCs w:val="22"/>
                <w:b w:val="1"/>
                <w:bCs w:val="1"/>
                <w:color w:val="auto"/>
              </w:rPr>
              <w:t>___%</w:t>
            </w:r>
          </w:p>
        </w:tc>
      </w:tr>
      <w:tr>
        <w:trPr>
          <w:trHeight w:val="290"/>
        </w:trPr>
        <w:tc>
          <w:tcPr>
            <w:tcW w:w="22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 of Target Shar</w:t>
            </w:r>
            <w:r>
              <w:rPr>
                <w:rFonts w:ascii="Times New Roman" w:cs="Times New Roman" w:eastAsia="Times New Roman" w:hAnsi="Times New Roman"/>
                <w:sz w:val="21"/>
                <w:szCs w:val="21"/>
                <w:color w:val="auto"/>
              </w:rPr>
              <w:t>es Paid</w:t>
            </w:r>
          </w:p>
        </w:tc>
        <w:tc>
          <w:tcPr>
            <w:tcW w:w="2420" w:type="dxa"/>
            <w:vAlign w:val="bottom"/>
            <w:tcBorders>
              <w:bottom w:val="single" w:sz="8" w:color="auto"/>
              <w:right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0%</w:t>
            </w:r>
          </w:p>
        </w:tc>
        <w:tc>
          <w:tcPr>
            <w:tcW w:w="2040" w:type="dxa"/>
            <w:vAlign w:val="bottom"/>
            <w:tcBorders>
              <w:bottom w:val="single" w:sz="8" w:color="auto"/>
              <w:right w:val="single" w:sz="8" w:color="auto"/>
            </w:tcBorders>
          </w:tcPr>
          <w:p>
            <w:pPr>
              <w:jc w:val="right"/>
              <w:ind w:right="732"/>
              <w:spacing w:after="0"/>
              <w:rPr>
                <w:sz w:val="20"/>
                <w:szCs w:val="20"/>
                <w:color w:val="auto"/>
              </w:rPr>
            </w:pPr>
            <w:r>
              <w:rPr>
                <w:rFonts w:ascii="Times New Roman" w:cs="Times New Roman" w:eastAsia="Times New Roman" w:hAnsi="Times New Roman"/>
                <w:sz w:val="22"/>
                <w:szCs w:val="22"/>
                <w:color w:val="auto"/>
              </w:rPr>
              <w:t>50%</w:t>
            </w:r>
          </w:p>
        </w:tc>
        <w:tc>
          <w:tcPr>
            <w:tcW w:w="2240" w:type="dxa"/>
            <w:vAlign w:val="bottom"/>
            <w:tcBorders>
              <w:bottom w:val="single" w:sz="8" w:color="auto"/>
              <w:right w:val="single" w:sz="8" w:color="auto"/>
            </w:tcBorders>
          </w:tcPr>
          <w:p>
            <w:pPr>
              <w:jc w:val="right"/>
              <w:ind w:right="772"/>
              <w:spacing w:after="0"/>
              <w:rPr>
                <w:sz w:val="20"/>
                <w:szCs w:val="20"/>
                <w:color w:val="auto"/>
              </w:rPr>
            </w:pPr>
            <w:r>
              <w:rPr>
                <w:rFonts w:ascii="Times New Roman" w:cs="Times New Roman" w:eastAsia="Times New Roman" w:hAnsi="Times New Roman"/>
                <w:sz w:val="22"/>
                <w:szCs w:val="22"/>
                <w:color w:val="auto"/>
              </w:rPr>
              <w:t>100%</w:t>
            </w:r>
          </w:p>
        </w:tc>
        <w:tc>
          <w:tcPr>
            <w:tcW w:w="2260" w:type="dxa"/>
            <w:vAlign w:val="bottom"/>
            <w:tcBorders>
              <w:bottom w:val="single" w:sz="8" w:color="auto"/>
              <w:right w:val="single" w:sz="8" w:color="auto"/>
            </w:tcBorders>
          </w:tcPr>
          <w:p>
            <w:pPr>
              <w:jc w:val="right"/>
              <w:ind w:right="792"/>
              <w:spacing w:after="0"/>
              <w:rPr>
                <w:sz w:val="20"/>
                <w:szCs w:val="20"/>
                <w:color w:val="auto"/>
              </w:rPr>
            </w:pPr>
            <w:r>
              <w:rPr>
                <w:rFonts w:ascii="Times New Roman" w:cs="Times New Roman" w:eastAsia="Times New Roman" w:hAnsi="Times New Roman"/>
                <w:sz w:val="22"/>
                <w:szCs w:val="22"/>
                <w:color w:val="auto"/>
              </w:rPr>
              <w:t>150%</w:t>
            </w:r>
          </w:p>
        </w:tc>
      </w:tr>
    </w:tbl>
    <w:p>
      <w:pPr>
        <w:spacing w:after="0" w:line="32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No payment will occur if Average ROE is less than the Threshold level. Payouts between Threshold and Target and between Target and Maximum are determined by straight line interpretation.</w:t>
      </w:r>
    </w:p>
    <w:p>
      <w:pPr>
        <w:spacing w:after="0" w:line="1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DETERMINATION OF ROE</w:t>
      </w: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For purposes of this Schedule I, ROE for a fiscal year shall be determined pursuant to the following formula:</w:t>
      </w:r>
    </w:p>
    <w:p>
      <w:pPr>
        <w:spacing w:after="0" w:line="2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 xml:space="preserve">ROE </w:t>
      </w:r>
      <w:r>
        <w:rPr>
          <w:rFonts w:ascii="Times New Roman" w:cs="Times New Roman" w:eastAsia="Times New Roman" w:hAnsi="Times New Roman"/>
          <w:sz w:val="21"/>
          <w:szCs w:val="21"/>
          <w:color w:val="auto"/>
        </w:rPr>
        <w:t>=</w:t>
      </w:r>
    </w:p>
    <w:p>
      <w:pPr>
        <w:spacing w:after="0" w:line="2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u w:val="single" w:color="auto"/>
          <w:color w:val="auto"/>
        </w:rPr>
        <w:t>Adjusted Net Income for fiscal year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Weighted Adjusted Average</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 xml:space="preserve">Shareholders’ Equity for fiscal </w:t>
      </w:r>
      <w:r>
        <w:rPr>
          <w:rFonts w:ascii="Times New Roman" w:cs="Times New Roman" w:eastAsia="Times New Roman" w:hAnsi="Times New Roman"/>
          <w:sz w:val="21"/>
          <w:szCs w:val="21"/>
          <w:color w:val="auto"/>
        </w:rPr>
        <w:t>year</w:t>
      </w:r>
    </w:p>
    <w:p>
      <w:pPr>
        <w:sectPr>
          <w:pgSz w:w="11900" w:h="16838" w:orient="portrait"/>
          <w:cols w:equalWidth="0" w:num="1">
            <w:col w:w="11240"/>
          </w:cols>
          <w:pgMar w:left="320" w:top="1408" w:right="339" w:bottom="1440" w:gutter="0" w:footer="0" w:header="0"/>
        </w:sectPr>
      </w:pPr>
    </w:p>
    <w:bookmarkStart w:id="143" w:name="page144"/>
    <w:bookmarkEnd w:id="143"/>
    <w:p>
      <w:pPr>
        <w:ind w:left="200"/>
        <w:spacing w:after="0"/>
        <w:rPr>
          <w:sz w:val="20"/>
          <w:szCs w:val="20"/>
          <w:color w:val="auto"/>
        </w:rPr>
      </w:pPr>
      <w:r>
        <w:rPr>
          <w:rFonts w:ascii="Times New Roman" w:cs="Times New Roman" w:eastAsia="Times New Roman" w:hAnsi="Times New Roman"/>
          <w:sz w:val="22"/>
          <w:szCs w:val="22"/>
          <w:color w:val="auto"/>
        </w:rPr>
        <w:t>Where:</w:t>
      </w:r>
    </w:p>
    <w:p>
      <w:pPr>
        <w:spacing w:after="0" w:line="251" w:lineRule="exact"/>
        <w:rPr>
          <w:sz w:val="20"/>
          <w:szCs w:val="20"/>
          <w:color w:val="auto"/>
        </w:rPr>
      </w:pPr>
    </w:p>
    <w:p>
      <w:pPr>
        <w:jc w:val="both"/>
        <w:ind w:firstLine="198"/>
        <w:spacing w:after="0" w:line="247" w:lineRule="auto"/>
        <w:rPr>
          <w:sz w:val="20"/>
          <w:szCs w:val="20"/>
          <w:color w:val="auto"/>
        </w:rPr>
      </w:pPr>
      <w:r>
        <w:rPr>
          <w:rFonts w:ascii="Times New Roman" w:cs="Times New Roman" w:eastAsia="Times New Roman" w:hAnsi="Times New Roman"/>
          <w:sz w:val="20"/>
          <w:szCs w:val="20"/>
          <w:color w:val="auto"/>
        </w:rPr>
        <w:t xml:space="preserve">“Adjusted Net Income” for a fiscal year means the Corporation’s net income (as measured in accordance with U.S. generally accepted accounting principles (“GAAP”)) for the fiscal year, adjusted to </w:t>
      </w:r>
      <w:r>
        <w:rPr>
          <w:rFonts w:ascii="Times New Roman" w:cs="Times New Roman" w:eastAsia="Times New Roman" w:hAnsi="Times New Roman"/>
          <w:sz w:val="21"/>
          <w:szCs w:val="21"/>
          <w:color w:val="auto"/>
        </w:rPr>
        <w:t>exclude,</w:t>
      </w:r>
      <w:r>
        <w:rPr>
          <w:rFonts w:ascii="Times New Roman" w:cs="Times New Roman" w:eastAsia="Times New Roman" w:hAnsi="Times New Roman"/>
          <w:sz w:val="20"/>
          <w:szCs w:val="20"/>
          <w:color w:val="auto"/>
        </w:rPr>
        <w:t xml:space="preserve"> (i) gains or losses during the Measurement Period from sales of real estate and fixed income and equity investments, net of expenses supported by the reinvestment of proceeds received from gains, (ii) changes in the market value of fixed income and equity investments, (iii) asset impairment charges and write-downs outside the reasonable control of management, (iv) costs and expenses incurred in connection with mergers and acquisitions (including, without limitation, costs and expenses arising from any related transactions such as any debt, equity or other financings to </w:t>
      </w:r>
      <w:r>
        <w:rPr>
          <w:rFonts w:ascii="Times New Roman" w:cs="Times New Roman" w:eastAsia="Times New Roman" w:hAnsi="Times New Roman"/>
          <w:sz w:val="21"/>
          <w:szCs w:val="21"/>
          <w:color w:val="auto"/>
        </w:rPr>
        <w:t>fund</w:t>
      </w:r>
      <w:r>
        <w:rPr>
          <w:rFonts w:ascii="Times New Roman" w:cs="Times New Roman" w:eastAsia="Times New Roman" w:hAnsi="Times New Roman"/>
          <w:sz w:val="20"/>
          <w:szCs w:val="20"/>
          <w:color w:val="auto"/>
        </w:rPr>
        <w:t xml:space="preserve"> or facilitate the merger and acquisition transaction) and including costs and expenses related to such merger and acquisition transaction, whether incurred prior to or following the transaction and whether or not the transaction is consummated and any increase in operating expenses of the Corporation or any Parent or Subsidiary as a result of such merger and acquisition transaction and the integration efforts relating to </w:t>
      </w:r>
      <w:r>
        <w:rPr>
          <w:rFonts w:ascii="Times New Roman" w:cs="Times New Roman" w:eastAsia="Times New Roman" w:hAnsi="Times New Roman"/>
          <w:sz w:val="21"/>
          <w:szCs w:val="21"/>
          <w:color w:val="auto"/>
        </w:rPr>
        <w:t>it,</w:t>
      </w:r>
      <w:r>
        <w:rPr>
          <w:rFonts w:ascii="Times New Roman" w:cs="Times New Roman" w:eastAsia="Times New Roman" w:hAnsi="Times New Roman"/>
          <w:sz w:val="20"/>
          <w:szCs w:val="20"/>
          <w:color w:val="auto"/>
        </w:rPr>
        <w:t xml:space="preserve"> and (v) items of income, gain, loss or expense attributable to the operations of any business acquired by the Corporation or any Parent or Subsidiary during the Measurement Period or any new joint venture in which the Corporation or any Parent or Subsidiary participates during the Measurement Period.</w:t>
      </w:r>
    </w:p>
    <w:p>
      <w:pPr>
        <w:spacing w:after="0" w:line="229" w:lineRule="exact"/>
        <w:rPr>
          <w:sz w:val="20"/>
          <w:szCs w:val="20"/>
          <w:color w:val="auto"/>
        </w:rPr>
      </w:pPr>
    </w:p>
    <w:p>
      <w:pPr>
        <w:jc w:val="both"/>
        <w:ind w:firstLine="197"/>
        <w:spacing w:after="0" w:line="249" w:lineRule="auto"/>
        <w:rPr>
          <w:sz w:val="20"/>
          <w:szCs w:val="20"/>
          <w:color w:val="auto"/>
        </w:rPr>
      </w:pPr>
      <w:r>
        <w:rPr>
          <w:rFonts w:ascii="Times New Roman" w:cs="Times New Roman" w:eastAsia="Times New Roman" w:hAnsi="Times New Roman"/>
          <w:sz w:val="20"/>
          <w:szCs w:val="20"/>
          <w:color w:val="auto"/>
        </w:rPr>
        <w:t>“Weighted Adjusted Average Shareholders’ Equity” for a fiscal year means an amount equal to one-fourth (1/4) of the sum of the total shareholders’ equity as of the end of each financial quarter of the fiscal year of measurement (determined in accordance with U.S. GAAP) and adjusted to eliminate (i) all amounts received in connection with an equity financing in connection with a merger and acquisition transaction and (ii) any adjustments made to GAAP income to arrive at Adjusted Net Income for such fiscal year.</w:t>
      </w:r>
    </w:p>
    <w:p>
      <w:pPr>
        <w:sectPr>
          <w:pgSz w:w="11900" w:h="16838" w:orient="portrait"/>
          <w:cols w:equalWidth="0" w:num="1">
            <w:col w:w="11240"/>
          </w:cols>
          <w:pgMar w:left="320" w:top="1408"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10.60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SJW GROUP</w:t>
      </w:r>
    </w:p>
    <w:p>
      <w:pPr>
        <w:spacing w:after="0" w:line="239" w:lineRule="exact"/>
        <w:rPr>
          <w:sz w:val="20"/>
          <w:szCs w:val="20"/>
          <w:color w:val="auto"/>
        </w:rPr>
      </w:pPr>
    </w:p>
    <w:p>
      <w:pPr>
        <w:jc w:val="center"/>
        <w:ind w:left="2520"/>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15" w:lineRule="exact"/>
        <w:rPr>
          <w:sz w:val="20"/>
          <w:szCs w:val="20"/>
          <w:color w:val="auto"/>
        </w:rPr>
      </w:pPr>
    </w:p>
    <w:p>
      <w:pPr>
        <w:jc w:val="center"/>
        <w:ind w:left="2520"/>
        <w:spacing w:after="0"/>
        <w:rPr>
          <w:sz w:val="20"/>
          <w:szCs w:val="20"/>
          <w:color w:val="auto"/>
        </w:rPr>
      </w:pPr>
      <w:r>
        <w:rPr>
          <w:rFonts w:ascii="Times New Roman" w:cs="Times New Roman" w:eastAsia="Times New Roman" w:hAnsi="Times New Roman"/>
          <w:sz w:val="18"/>
          <w:szCs w:val="18"/>
          <w:b w:val="1"/>
          <w:bCs w:val="1"/>
          <w:color w:val="auto"/>
        </w:rPr>
        <w:t>FORMULAIC EQUITY AWARD PROGRAM</w:t>
      </w:r>
    </w:p>
    <w:p>
      <w:pPr>
        <w:jc w:val="center"/>
        <w:ind w:left="2520"/>
        <w:spacing w:after="0"/>
        <w:rPr>
          <w:sz w:val="20"/>
          <w:szCs w:val="20"/>
          <w:color w:val="auto"/>
        </w:rPr>
      </w:pPr>
      <w:r>
        <w:rPr>
          <w:rFonts w:ascii="Times New Roman" w:cs="Times New Roman" w:eastAsia="Times New Roman" w:hAnsi="Times New Roman"/>
          <w:sz w:val="18"/>
          <w:szCs w:val="18"/>
          <w:b w:val="1"/>
          <w:bCs w:val="1"/>
          <w:color w:val="auto"/>
        </w:rPr>
        <w:t>FOR NON-EMPLOYEE BOARD MEMBERS</w:t>
      </w:r>
    </w:p>
    <w:p>
      <w:pPr>
        <w:spacing w:after="0" w:line="215" w:lineRule="exact"/>
        <w:rPr>
          <w:sz w:val="20"/>
          <w:szCs w:val="20"/>
          <w:color w:val="auto"/>
        </w:rPr>
      </w:pPr>
    </w:p>
    <w:p>
      <w:pPr>
        <w:ind w:left="328" w:hanging="328"/>
        <w:spacing w:after="0"/>
        <w:tabs>
          <w:tab w:leader="none" w:pos="32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IMPLEMENTATION</w:t>
      </w:r>
    </w:p>
    <w:p>
      <w:pPr>
        <w:spacing w:after="0" w:line="243" w:lineRule="exact"/>
        <w:rPr>
          <w:sz w:val="20"/>
          <w:szCs w:val="20"/>
          <w:color w:val="auto"/>
        </w:rPr>
      </w:pPr>
    </w:p>
    <w:p>
      <w:pPr>
        <w:jc w:val="both"/>
        <w:ind w:left="8" w:firstLine="324"/>
        <w:spacing w:after="0" w:line="242" w:lineRule="auto"/>
        <w:rPr>
          <w:sz w:val="20"/>
          <w:szCs w:val="20"/>
          <w:color w:val="auto"/>
        </w:rPr>
      </w:pPr>
      <w:r>
        <w:rPr>
          <w:rFonts w:ascii="Times New Roman" w:cs="Times New Roman" w:eastAsia="Times New Roman" w:hAnsi="Times New Roman"/>
          <w:sz w:val="18"/>
          <w:szCs w:val="18"/>
          <w:color w:val="auto"/>
        </w:rPr>
        <w:t>This Second Amended and Restated Formulaic Equity Award Program for Non-Employee Board Members (the “Automatic Grant Program”) is implemented under the SJW Group (the “Corporation”) 2023 Long-Term Incentive Plan (the “Plan”) and shall become effective as of December 12, 2024.</w:t>
      </w:r>
    </w:p>
    <w:p>
      <w:pPr>
        <w:spacing w:after="0" w:line="211" w:lineRule="exact"/>
        <w:rPr>
          <w:sz w:val="20"/>
          <w:szCs w:val="20"/>
          <w:color w:val="auto"/>
        </w:rPr>
      </w:pPr>
    </w:p>
    <w:p>
      <w:pPr>
        <w:jc w:val="both"/>
        <w:ind w:left="8" w:firstLine="324"/>
        <w:spacing w:after="0" w:line="266" w:lineRule="auto"/>
        <w:rPr>
          <w:sz w:val="20"/>
          <w:szCs w:val="20"/>
          <w:color w:val="auto"/>
        </w:rPr>
      </w:pPr>
      <w:r>
        <w:rPr>
          <w:rFonts w:ascii="Times New Roman" w:cs="Times New Roman" w:eastAsia="Times New Roman" w:hAnsi="Times New Roman"/>
          <w:sz w:val="18"/>
          <w:szCs w:val="18"/>
          <w:color w:val="auto"/>
        </w:rPr>
        <w:t>Unless indicated to the contrary, all capitalized terms in this Automatic Grant Program shall have the meanings assigned to them in the Appendix to the Plan.</w:t>
      </w:r>
    </w:p>
    <w:p>
      <w:pPr>
        <w:spacing w:after="0" w:line="185" w:lineRule="exact"/>
        <w:rPr>
          <w:sz w:val="20"/>
          <w:szCs w:val="20"/>
          <w:color w:val="auto"/>
        </w:rPr>
      </w:pPr>
    </w:p>
    <w:p>
      <w:pPr>
        <w:ind w:left="308" w:hanging="308"/>
        <w:spacing w:after="0"/>
        <w:tabs>
          <w:tab w:leader="none" w:pos="30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AWARD TERMS</w:t>
      </w:r>
    </w:p>
    <w:p>
      <w:pPr>
        <w:spacing w:after="0" w:line="242"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7"/>
          <w:szCs w:val="17"/>
          <w:u w:val="single" w:color="auto"/>
          <w:color w:val="auto"/>
        </w:rPr>
        <w:t>Automatic Grants</w:t>
      </w:r>
      <w:r>
        <w:rPr>
          <w:rFonts w:ascii="Times New Roman" w:cs="Times New Roman" w:eastAsia="Times New Roman" w:hAnsi="Times New Roman"/>
          <w:sz w:val="17"/>
          <w:szCs w:val="17"/>
          <w:color w:val="auto"/>
        </w:rPr>
        <w:t>. The Awards to be made pursuant to the Automatic Grant Program shall be as follows:</w:t>
      </w:r>
    </w:p>
    <w:p>
      <w:pPr>
        <w:spacing w:after="0" w:line="238" w:lineRule="exact"/>
        <w:rPr>
          <w:rFonts w:ascii="Times New Roman" w:cs="Times New Roman" w:eastAsia="Times New Roman" w:hAnsi="Times New Roman"/>
          <w:sz w:val="18"/>
          <w:szCs w:val="18"/>
          <w:color w:val="auto"/>
        </w:rPr>
      </w:pPr>
    </w:p>
    <w:p>
      <w:pPr>
        <w:jc w:val="both"/>
        <w:ind w:left="8" w:firstLine="964"/>
        <w:spacing w:after="0"/>
        <w:tabs>
          <w:tab w:leader="none" w:pos="1628"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close of business on the date of each annual meeting of the Corporation’s shareholders, beginning with the 2023 Annual Meeting, each individual who is elected or re-elected to serve as a non-employee member of the Board of Directors of the Corporation (the “Board”) shall automatically be granted an Award in the form of restricted stock units covering that number of shares of Common Stock (rounded up to the next whole share) determined by dividing the Applicable Annual Amount (as defined below) by the Fair Market Value per share on such date. There shall be no limit on the number of such annual grants any one continuing non-employee Board member may receive over his or her period of Board service, and non-employee Board members who have previously been in the employ of the Corporation (or any Parent or Subsidiary) shall be eligible to receive one or more such annual grants over their period of continued Board service.</w:t>
      </w:r>
    </w:p>
    <w:p>
      <w:pPr>
        <w:spacing w:after="0" w:line="211" w:lineRule="exact"/>
        <w:rPr>
          <w:rFonts w:ascii="Times New Roman" w:cs="Times New Roman" w:eastAsia="Times New Roman" w:hAnsi="Times New Roman"/>
          <w:sz w:val="18"/>
          <w:szCs w:val="18"/>
          <w:color w:val="auto"/>
        </w:rPr>
      </w:pPr>
    </w:p>
    <w:p>
      <w:pPr>
        <w:jc w:val="both"/>
        <w:ind w:left="8" w:firstLine="964"/>
        <w:spacing w:after="0" w:line="237" w:lineRule="auto"/>
        <w:tabs>
          <w:tab w:leader="none" w:pos="1628"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individual who commences service as a non-employee Board member following the date of an annual meeting of the Corporation’s shareholders, but before the date that is two months prior to the next annual meeting of the Corporation’s shareholders (the “New Non-Employee Director”), shall automatically be granted an Award (the “New Non-Employee Director Award”) on the date of commencement of such service in the form of restricted stock units covering that number of shares of Common Stock (rounded up to the next whole share) determined by (i) dividing the Applicable Annual Amount by the Fair Market Value per share on the date of grant of the New Non-Employee Director Award, and (ii) multiplying the number obtained from clause (i) by a fraction, with the numerator being the number of months (with each partial month rounded up to a whole number) elapsed from the date the New Non-Employee Director commenced service to the estimated date of the next annual meeting of the Corporation’s shareholders, and the denominator being twelve (12). Each New Non-Employee Director shall be eligible for an Award pursuant to the terms of paragraph A.1 of this Section as of the next annual meeting following the date the New Non-Employee Director commences</w:t>
      </w:r>
    </w:p>
    <w:p>
      <w:pPr>
        <w:sectPr>
          <w:pgSz w:w="11900" w:h="16838" w:orient="portrait"/>
          <w:cols w:equalWidth="0" w:num="1">
            <w:col w:w="10908"/>
          </w:cols>
          <w:pgMar w:left="652" w:top="117" w:right="339" w:bottom="1440" w:gutter="0" w:footer="0" w:header="0"/>
        </w:sectPr>
      </w:pPr>
    </w:p>
    <w:bookmarkStart w:id="145" w:name="page146"/>
    <w:bookmarkEnd w:id="145"/>
    <w:p>
      <w:pPr>
        <w:ind w:left="4"/>
        <w:spacing w:after="0"/>
        <w:rPr>
          <w:sz w:val="20"/>
          <w:szCs w:val="20"/>
          <w:color w:val="auto"/>
        </w:rPr>
      </w:pPr>
      <w:r>
        <w:rPr>
          <w:rFonts w:ascii="Times New Roman" w:cs="Times New Roman" w:eastAsia="Times New Roman" w:hAnsi="Times New Roman"/>
          <w:sz w:val="18"/>
          <w:szCs w:val="18"/>
          <w:color w:val="auto"/>
        </w:rPr>
        <w:t>service as a non-employee Board member.</w:t>
      </w:r>
    </w:p>
    <w:p>
      <w:pPr>
        <w:spacing w:after="0" w:line="239" w:lineRule="exact"/>
        <w:rPr>
          <w:sz w:val="20"/>
          <w:szCs w:val="20"/>
          <w:color w:val="auto"/>
        </w:rPr>
      </w:pPr>
    </w:p>
    <w:p>
      <w:pPr>
        <w:ind w:left="-316" w:firstLine="964"/>
        <w:spacing w:after="0" w:line="266" w:lineRule="auto"/>
        <w:tabs>
          <w:tab w:leader="none" w:pos="130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Annual Amount shall be One Hundred and Ten Thousand Dollars ($110,000.00) per non-employee Board member for the Awards to be made at each annual meeting of the Corporation’s shareholders, commencing with the 2025 Annual Meeting.</w:t>
      </w:r>
    </w:p>
    <w:p>
      <w:pPr>
        <w:spacing w:after="0" w:line="189" w:lineRule="exact"/>
        <w:rPr>
          <w:rFonts w:ascii="Times New Roman" w:cs="Times New Roman" w:eastAsia="Times New Roman" w:hAnsi="Times New Roman"/>
          <w:sz w:val="18"/>
          <w:szCs w:val="18"/>
          <w:color w:val="auto"/>
        </w:rPr>
      </w:pPr>
    </w:p>
    <w:p>
      <w:pPr>
        <w:ind w:left="-316" w:firstLine="964"/>
        <w:spacing w:after="0" w:line="266" w:lineRule="auto"/>
        <w:tabs>
          <w:tab w:leader="none" w:pos="130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restricted unit awarded under the Automatic Grant Program shall entitle the non-employee Board member to one share of Common Stock on the applicable vesting date of that unit.</w:t>
      </w:r>
    </w:p>
    <w:p>
      <w:pPr>
        <w:spacing w:after="0" w:line="18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Awards and Issuance of Shares</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jc w:val="both"/>
        <w:ind w:left="-316" w:firstLine="964"/>
        <w:spacing w:after="0" w:line="242" w:lineRule="auto"/>
        <w:tabs>
          <w:tab w:leader="none" w:pos="130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restricted stock unit award granted under paragraph A.1. of this Section shall vest in full upon the non-employee Board member’s continuation in Board service through the day immediately preceding the date of the first annual shareholders meeting following the annual shareholders meeting at which that restricted stock unit award was made.</w:t>
      </w:r>
    </w:p>
    <w:p>
      <w:pPr>
        <w:spacing w:after="0" w:line="210" w:lineRule="exact"/>
        <w:rPr>
          <w:rFonts w:ascii="Times New Roman" w:cs="Times New Roman" w:eastAsia="Times New Roman" w:hAnsi="Times New Roman"/>
          <w:sz w:val="18"/>
          <w:szCs w:val="18"/>
          <w:color w:val="auto"/>
        </w:rPr>
      </w:pPr>
    </w:p>
    <w:p>
      <w:pPr>
        <w:ind w:left="-316" w:firstLine="964"/>
        <w:spacing w:after="0" w:line="266" w:lineRule="auto"/>
        <w:tabs>
          <w:tab w:leader="none" w:pos="130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restricted stock unit award granted under paragraph A.2. of this Section shall vest on the one-year anniversary of the date such award was granted, subject to the non-employee Board member’s continuation in Board service through such date.</w:t>
      </w:r>
    </w:p>
    <w:p>
      <w:pPr>
        <w:spacing w:after="0" w:line="189" w:lineRule="exact"/>
        <w:rPr>
          <w:rFonts w:ascii="Times New Roman" w:cs="Times New Roman" w:eastAsia="Times New Roman" w:hAnsi="Times New Roman"/>
          <w:sz w:val="18"/>
          <w:szCs w:val="18"/>
          <w:color w:val="auto"/>
        </w:rPr>
      </w:pPr>
    </w:p>
    <w:p>
      <w:pPr>
        <w:jc w:val="both"/>
        <w:ind w:left="-316" w:firstLine="964"/>
        <w:spacing w:after="0" w:line="250" w:lineRule="auto"/>
        <w:tabs>
          <w:tab w:leader="none" w:pos="130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non-employee Board member (including any New Non-Employee Director) ceases Board service by reason of death or Permanent Disability prior to the vesting date set forth herein, then his or her restricted stock unit award outstanding under the Automatic Grant Program at the time of such cessation of Board service shall immediately vest in full at that time.</w:t>
      </w:r>
    </w:p>
    <w:p>
      <w:pPr>
        <w:spacing w:after="0" w:line="203" w:lineRule="exact"/>
        <w:rPr>
          <w:rFonts w:ascii="Times New Roman" w:cs="Times New Roman" w:eastAsia="Times New Roman" w:hAnsi="Times New Roman"/>
          <w:sz w:val="18"/>
          <w:szCs w:val="18"/>
          <w:color w:val="auto"/>
        </w:rPr>
      </w:pPr>
    </w:p>
    <w:p>
      <w:pPr>
        <w:jc w:val="both"/>
        <w:ind w:left="-316" w:firstLine="964"/>
        <w:spacing w:after="0" w:line="250" w:lineRule="auto"/>
        <w:tabs>
          <w:tab w:leader="none" w:pos="130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IV hereof, the shares of Common Stock underlying each restricted stock unit award which vests in accordance with the foregoing vesting provisions shall be issued as soon as administratively practicable following the vesting date, but in no event more than fifteen (15) business days after such vesting date.</w:t>
      </w:r>
    </w:p>
    <w:p>
      <w:pPr>
        <w:spacing w:after="0" w:line="203" w:lineRule="exact"/>
        <w:rPr>
          <w:rFonts w:ascii="Times New Roman" w:cs="Times New Roman" w:eastAsia="Times New Roman" w:hAnsi="Times New Roman"/>
          <w:sz w:val="18"/>
          <w:szCs w:val="18"/>
          <w:color w:val="auto"/>
        </w:rPr>
      </w:pPr>
    </w:p>
    <w:p>
      <w:pPr>
        <w:jc w:val="both"/>
        <w:ind w:left="-316" w:firstLine="964"/>
        <w:spacing w:after="0" w:line="236" w:lineRule="auto"/>
        <w:tabs>
          <w:tab w:leader="none" w:pos="130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non-employee Board member dies prior to the vesting date set forth herein or before the issuance of Common Stock underlying a vested restricted stock unit award, then the shares of Common Stock underlying the restricted stock unit award shall be issued in a single payment to his or her designed beneficiary(ies) under the Automatic Grant Program. Such payment shall be made within sixty (60) days after the date of the non-employee Board member’s death or as soon as administratively practical following the non-employee Board member’s death, but in no event later than the later of: (i) the end of the calendar year in which the non-employee Board member’s death occurs or (ii) the fifteenth (15th) day of the third (3rd) calendar month following the date of the non-employee Board member’s death. Non-employee Board members may designate one or more such beneficiaries, or may revoke an existing beneficiary designation and make a new designation, by filing a properly completed Designation of Beneficiary, in substantially the form of attached hereto as Exhibit A, with the Plan Administrator or its designate. Should a non-employee Board member die without a valid beneficiary designation in effect or after the death of the non-employee Board member’s designated beneficiary(ies), then any amounts due under the Automatic Grant Program shall be paid to the personal representative of</w:t>
      </w:r>
    </w:p>
    <w:p>
      <w:pPr>
        <w:sectPr>
          <w:pgSz w:w="11900" w:h="16838" w:orient="portrait"/>
          <w:cols w:equalWidth="0" w:num="1">
            <w:col w:w="10584"/>
          </w:cols>
          <w:pgMar w:left="976" w:top="1404" w:right="339" w:bottom="1440" w:gutter="0" w:footer="0" w:header="0"/>
        </w:sectPr>
      </w:pPr>
    </w:p>
    <w:bookmarkStart w:id="146" w:name="page147"/>
    <w:bookmarkEnd w:id="146"/>
    <w:p>
      <w:pPr>
        <w:ind w:left="328"/>
        <w:spacing w:after="0"/>
        <w:rPr>
          <w:sz w:val="20"/>
          <w:szCs w:val="20"/>
          <w:color w:val="auto"/>
        </w:rPr>
      </w:pPr>
      <w:r>
        <w:rPr>
          <w:rFonts w:ascii="Times New Roman" w:cs="Times New Roman" w:eastAsia="Times New Roman" w:hAnsi="Times New Roman"/>
          <w:sz w:val="18"/>
          <w:szCs w:val="18"/>
          <w:color w:val="auto"/>
        </w:rPr>
        <w:t>such non-employee Board member’s estate.</w:t>
      </w:r>
    </w:p>
    <w:p>
      <w:pPr>
        <w:spacing w:after="0" w:line="239" w:lineRule="exact"/>
        <w:rPr>
          <w:sz w:val="20"/>
          <w:szCs w:val="20"/>
          <w:color w:val="auto"/>
        </w:rPr>
      </w:pPr>
    </w:p>
    <w:p>
      <w:pPr>
        <w:jc w:val="both"/>
        <w:ind w:left="8" w:firstLine="316"/>
        <w:spacing w:after="0" w:line="250" w:lineRule="auto"/>
        <w:tabs>
          <w:tab w:leader="none" w:pos="969"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 Rights</w:t>
      </w:r>
      <w:r>
        <w:rPr>
          <w:rFonts w:ascii="Times New Roman" w:cs="Times New Roman" w:eastAsia="Times New Roman" w:hAnsi="Times New Roman"/>
          <w:sz w:val="18"/>
          <w:szCs w:val="18"/>
          <w:color w:val="auto"/>
        </w:rPr>
        <w:t>. None of the restricted stock unit awards granted under the Automatic Grant Program shall include any dividend equivalent rights, and the holder of each restricted stock unit award under the Automatic Grant Program shall not have any shareholder rights with respect to the shares of Common Stock subject to that award until the award vests and the shares of Common Stock are issued to such holder.</w:t>
      </w:r>
    </w:p>
    <w:p>
      <w:pPr>
        <w:spacing w:after="0" w:line="203" w:lineRule="exact"/>
        <w:rPr>
          <w:rFonts w:ascii="Times New Roman" w:cs="Times New Roman" w:eastAsia="Times New Roman" w:hAnsi="Times New Roman"/>
          <w:sz w:val="18"/>
          <w:szCs w:val="18"/>
          <w:color w:val="auto"/>
        </w:rPr>
      </w:pPr>
    </w:p>
    <w:p>
      <w:pPr>
        <w:jc w:val="both"/>
        <w:ind w:left="8" w:firstLine="316"/>
        <w:spacing w:after="0" w:line="237" w:lineRule="auto"/>
        <w:tabs>
          <w:tab w:leader="none" w:pos="979"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Retention of Issued Shares</w:t>
      </w:r>
      <w:r>
        <w:rPr>
          <w:rFonts w:ascii="Times New Roman" w:cs="Times New Roman" w:eastAsia="Times New Roman" w:hAnsi="Times New Roman"/>
          <w:sz w:val="18"/>
          <w:szCs w:val="18"/>
          <w:color w:val="auto"/>
        </w:rPr>
        <w:t>. Each non-employee Board member who participates in the Automatic Grant Program shall, with respect to each restricted stock unit award he or she receives under such program, retain beneficial ownership of at least fifty percent (50%) of the shares of Common Stock issued in connection with the vesting of that award until such time as such individual is in compliance with the equity ownership guidelines that the Corporation from time to time establishes for its non-employee Board members. In no event may the non-employee Board member sell or otherwise transfer beneficial ownership of more than fifty percent (50%) of the shares issued to him or her under the Automatic Grant Program unless he or she is at the time of such sale or transfer in full compliance with the equity ownership guidelines in effect at that time for the non-employee Board members.</w:t>
      </w:r>
    </w:p>
    <w:p>
      <w:pPr>
        <w:spacing w:after="0" w:line="21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CONTROL</w:t>
      </w:r>
    </w:p>
    <w:p>
      <w:pPr>
        <w:spacing w:after="0" w:line="242"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the non-employee Board member continue in Board service until the effective date of an actual Change in Control transaction, then the</w:t>
      </w:r>
    </w:p>
    <w:p>
      <w:pPr>
        <w:spacing w:after="0" w:line="16" w:lineRule="exact"/>
        <w:rPr>
          <w:sz w:val="20"/>
          <w:szCs w:val="20"/>
          <w:color w:val="auto"/>
        </w:rPr>
      </w:pPr>
    </w:p>
    <w:p>
      <w:pPr>
        <w:jc w:val="both"/>
        <w:ind w:left="8"/>
        <w:spacing w:after="0" w:line="237" w:lineRule="auto"/>
        <w:rPr>
          <w:sz w:val="20"/>
          <w:szCs w:val="20"/>
          <w:color w:val="auto"/>
        </w:rPr>
      </w:pPr>
      <w:r>
        <w:rPr>
          <w:rFonts w:ascii="Times New Roman" w:cs="Times New Roman" w:eastAsia="Times New Roman" w:hAnsi="Times New Roman"/>
          <w:sz w:val="18"/>
          <w:szCs w:val="18"/>
          <w:color w:val="auto"/>
        </w:rPr>
        <w:t>shares of Common Stock subject to any outstanding restricted stock unit award made to such Board member under the Automatic Grant Program shall, immediately prior to the effective date of that Change in Control transaction, vest in full and shall be issued to him or her as soon as administratively practicable thereafter, but in no event more than fifteen (15) business days after such effective date, or shall otherwise be converted into the right to receive the same consideration per share of Common Stock payable to the other stockholders in the Change in Control and distributed at the same time as such stockholder payments, but in no event later than the later of (i) the close of the calendar year in which such Change in Control is effected or (ii) the fifteenth (15th) day of the third (3rd) calendar month following the effective date of such Change in Control.</w:t>
      </w:r>
    </w:p>
    <w:p>
      <w:pPr>
        <w:spacing w:after="0" w:line="20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b w:val="1"/>
          <w:bCs w:val="1"/>
          <w:color w:val="auto"/>
        </w:rPr>
        <w:t>ELECTION TO DEFER ISSUANCES</w:t>
      </w:r>
    </w:p>
    <w:p>
      <w:pPr>
        <w:spacing w:after="0" w:line="229" w:lineRule="exact"/>
        <w:rPr>
          <w:sz w:val="20"/>
          <w:szCs w:val="20"/>
          <w:color w:val="auto"/>
        </w:rPr>
      </w:pPr>
    </w:p>
    <w:p>
      <w:pPr>
        <w:jc w:val="both"/>
        <w:ind w:left="8" w:firstLine="316"/>
        <w:spacing w:after="0" w:line="239" w:lineRule="auto"/>
        <w:tabs>
          <w:tab w:leader="none" w:pos="97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in its discretion and in accordance with the Plan, provide each non-employee Board member with the opportunity to defer the issuance of the Common Stock underlying restricted stock unit awards granted under this Automatic Grant Program, including any New Non-Employee Director Awards, that would otherwise be issued to the non-employee Board member in connection with the vesting of the restricted stock unit award pursuant to paragraph II.B.2 hereof until the earliest of: (i) the date on which the non-employee Board member incurs a separation from service within the meaning of Section 409A of the Code; (ii) the date specified by the non-employee Board member, in writing, in his or her Deferral Election (defined below); and (iii) the date of the closing of a transaction that results in a Change in Control. Any such deferral election (“Deferral Election”) shall be subject to such rules, conditions and procedures as shall be determined by the Board, in its sole discretion, which rules, conditions and procedures shall at all times comply with the requirements of Section 409A of the Code, unless</w:t>
      </w:r>
    </w:p>
    <w:p>
      <w:pPr>
        <w:sectPr>
          <w:pgSz w:w="11900" w:h="16838" w:orient="portrait"/>
          <w:cols w:equalWidth="0" w:num="1">
            <w:col w:w="10908"/>
          </w:cols>
          <w:pgMar w:left="652" w:top="1404" w:right="339" w:bottom="1440" w:gutter="0" w:footer="0" w:header="0"/>
        </w:sectPr>
      </w:pPr>
    </w:p>
    <w:bookmarkStart w:id="147" w:name="page148"/>
    <w:bookmarkEnd w:id="147"/>
    <w:p>
      <w:pPr>
        <w:spacing w:after="0" w:line="266" w:lineRule="auto"/>
        <w:rPr>
          <w:sz w:val="20"/>
          <w:szCs w:val="20"/>
          <w:color w:val="auto"/>
        </w:rPr>
      </w:pPr>
      <w:r>
        <w:rPr>
          <w:rFonts w:ascii="Times New Roman" w:cs="Times New Roman" w:eastAsia="Times New Roman" w:hAnsi="Times New Roman"/>
          <w:sz w:val="18"/>
          <w:szCs w:val="18"/>
          <w:color w:val="auto"/>
        </w:rPr>
        <w:t>otherwise specifically determined by the Board. If an individual elects to defer the delivery of the shares underlying restricted stock unit awards granted under this Program, settlement of the deferred restricted stock unit award shall be made in accordance with the terms of the Deferral Election.</w:t>
      </w:r>
    </w:p>
    <w:p>
      <w:pPr>
        <w:spacing w:after="0" w:line="189" w:lineRule="exact"/>
        <w:rPr>
          <w:sz w:val="20"/>
          <w:szCs w:val="20"/>
          <w:color w:val="auto"/>
        </w:rPr>
      </w:pPr>
    </w:p>
    <w:p>
      <w:pPr>
        <w:ind w:firstLine="316"/>
        <w:spacing w:after="0" w:line="266" w:lineRule="auto"/>
        <w:tabs>
          <w:tab w:leader="none" w:pos="96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Method</w:t>
      </w:r>
      <w:r>
        <w:rPr>
          <w:rFonts w:ascii="Times New Roman" w:cs="Times New Roman" w:eastAsia="Times New Roman" w:hAnsi="Times New Roman"/>
          <w:sz w:val="18"/>
          <w:szCs w:val="18"/>
          <w:color w:val="auto"/>
        </w:rPr>
        <w:t>. Each Deferral Election must be submitted to the Corporation in the form and manner specified by the Board. Deferral Elections must comply with the following timing requirements:</w:t>
      </w:r>
    </w:p>
    <w:p>
      <w:pPr>
        <w:spacing w:after="0" w:line="189" w:lineRule="exact"/>
        <w:rPr>
          <w:rFonts w:ascii="Times New Roman" w:cs="Times New Roman" w:eastAsia="Times New Roman" w:hAnsi="Times New Roman"/>
          <w:sz w:val="18"/>
          <w:szCs w:val="18"/>
          <w:color w:val="auto"/>
        </w:rPr>
      </w:pPr>
    </w:p>
    <w:p>
      <w:pPr>
        <w:jc w:val="both"/>
        <w:ind w:firstLine="964"/>
        <w:spacing w:after="0" w:line="250" w:lineRule="auto"/>
        <w:tabs>
          <w:tab w:leader="none" w:pos="16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Deferral Election</w:t>
      </w:r>
      <w:r>
        <w:rPr>
          <w:rFonts w:ascii="Times New Roman" w:cs="Times New Roman" w:eastAsia="Times New Roman" w:hAnsi="Times New Roman"/>
          <w:sz w:val="18"/>
          <w:szCs w:val="18"/>
          <w:color w:val="auto"/>
        </w:rPr>
        <w:t>. Each New Non-Employee Director may make a Deferral Election with respect to the New Non-Employee Director Award (the “Initial Deferral Election”). The Initial Deferral Election must be submitted to the Corporation on or before the date that the individual first becomes a New Non-Employee Director and the Initial Deferral Election shall become final and irrevocable as of such date.</w:t>
      </w:r>
    </w:p>
    <w:p>
      <w:pPr>
        <w:spacing w:after="0" w:line="190" w:lineRule="exact"/>
        <w:rPr>
          <w:rFonts w:ascii="Times New Roman" w:cs="Times New Roman" w:eastAsia="Times New Roman" w:hAnsi="Times New Roman"/>
          <w:sz w:val="18"/>
          <w:szCs w:val="18"/>
          <w:color w:val="auto"/>
        </w:rPr>
      </w:pPr>
    </w:p>
    <w:p>
      <w:pPr>
        <w:jc w:val="both"/>
        <w:ind w:firstLine="964"/>
        <w:spacing w:after="0" w:line="242" w:lineRule="auto"/>
        <w:tabs>
          <w:tab w:leader="none" w:pos="16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Deferral Election</w:t>
      </w:r>
      <w:r>
        <w:rPr>
          <w:rFonts w:ascii="Times New Roman" w:cs="Times New Roman" w:eastAsia="Times New Roman" w:hAnsi="Times New Roman"/>
          <w:sz w:val="18"/>
          <w:szCs w:val="18"/>
          <w:color w:val="auto"/>
        </w:rPr>
        <w:t>. No later than December 31 of each calendar year, or such earlier deadline as may be established by the Board, in its discretion (the “Annual Election Deadline”), each individual who is a non-employee Board member as of immediately before the Annual Election Deadline may make a Deferral Election with respect to the restricted stock unit award to be granted in the following calendar year (the “Annual Deferral Election”). The Annual Deferral Election must be submitted to the Corporation on or before the applicable Annual Election Deadline and shall become final and irrevocable for the subsequent calendar year as of the applicable Annual Election Deadline.</w:t>
      </w:r>
    </w:p>
    <w:p>
      <w:pPr>
        <w:spacing w:after="0" w:line="211" w:lineRule="exact"/>
        <w:rPr>
          <w:rFonts w:ascii="Times New Roman" w:cs="Times New Roman" w:eastAsia="Times New Roman" w:hAnsi="Times New Roman"/>
          <w:sz w:val="18"/>
          <w:szCs w:val="18"/>
          <w:color w:val="auto"/>
        </w:rPr>
      </w:pPr>
    </w:p>
    <w:p>
      <w:pPr>
        <w:ind w:left="700" w:hanging="384"/>
        <w:spacing w:after="0"/>
        <w:tabs>
          <w:tab w:leader="none" w:pos="7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of Deferred Awards</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jc w:val="both"/>
        <w:ind w:firstLine="964"/>
        <w:spacing w:after="0" w:line="242" w:lineRule="auto"/>
        <w:tabs>
          <w:tab w:leader="none" w:pos="16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Distribution</w:t>
      </w:r>
      <w:r>
        <w:rPr>
          <w:rFonts w:ascii="Times New Roman" w:cs="Times New Roman" w:eastAsia="Times New Roman" w:hAnsi="Times New Roman"/>
          <w:sz w:val="18"/>
          <w:szCs w:val="18"/>
          <w:color w:val="auto"/>
        </w:rPr>
        <w:t>. Issuance of the Common Stock underlying a restricted stock unit award for which a non-employee Board member properly submitted a Deferral Election (such Common Stock, a “Deferred Award”) shall, to the extent vested, be made within thirty (30) days following the date on which such non-employee Board member designated to defer his or her Deferred Award in accordance with the terms of the Deferral Election (the “Deferral Date”) or as soon as administratively practicable after such Deferral Date, but in no event later than the later of (i) the end of the calendar year of the Deferral Date or (ii) the fifteenth (15th) day of the third (3rd) calendar month following the Deferral Date.</w:t>
      </w:r>
    </w:p>
    <w:p>
      <w:pPr>
        <w:spacing w:after="0" w:line="211" w:lineRule="exact"/>
        <w:rPr>
          <w:rFonts w:ascii="Times New Roman" w:cs="Times New Roman" w:eastAsia="Times New Roman" w:hAnsi="Times New Roman"/>
          <w:sz w:val="18"/>
          <w:szCs w:val="18"/>
          <w:color w:val="auto"/>
        </w:rPr>
      </w:pPr>
    </w:p>
    <w:p>
      <w:pPr>
        <w:jc w:val="both"/>
        <w:ind w:firstLine="964"/>
        <w:spacing w:after="0" w:line="242" w:lineRule="auto"/>
        <w:tabs>
          <w:tab w:leader="none" w:pos="16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in Common Stock</w:t>
      </w:r>
      <w:r>
        <w:rPr>
          <w:rFonts w:ascii="Times New Roman" w:cs="Times New Roman" w:eastAsia="Times New Roman" w:hAnsi="Times New Roman"/>
          <w:sz w:val="18"/>
          <w:szCs w:val="18"/>
          <w:color w:val="auto"/>
        </w:rPr>
        <w:t>. All shares of Common Stock issued under the Automatic Grant Program shall be drawn from the Common Stock reserved for issuance under the Plan. Accordingly, the share reserve under the Plan shall be reduced by any and all shares of Common Stock issued under the Automatic Grant Program.</w:t>
      </w:r>
    </w:p>
    <w:p>
      <w:pPr>
        <w:spacing w:after="0" w:line="210" w:lineRule="exact"/>
        <w:rPr>
          <w:rFonts w:ascii="Times New Roman" w:cs="Times New Roman" w:eastAsia="Times New Roman" w:hAnsi="Times New Roman"/>
          <w:sz w:val="18"/>
          <w:szCs w:val="18"/>
          <w:color w:val="auto"/>
        </w:rPr>
      </w:pPr>
    </w:p>
    <w:p>
      <w:pPr>
        <w:jc w:val="both"/>
        <w:ind w:firstLine="964"/>
        <w:spacing w:after="0" w:line="242" w:lineRule="auto"/>
        <w:tabs>
          <w:tab w:leader="none" w:pos="16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Before Distribution</w:t>
      </w:r>
      <w:r>
        <w:rPr>
          <w:rFonts w:ascii="Times New Roman" w:cs="Times New Roman" w:eastAsia="Times New Roman" w:hAnsi="Times New Roman"/>
          <w:sz w:val="18"/>
          <w:szCs w:val="18"/>
          <w:color w:val="auto"/>
        </w:rPr>
        <w:t>. If a non-employee Board member dies before the Deferral Date or before the distribution of his or her Deferred Award, then the shares of Common Stock underlying the Deferred Award shall be issued in a single payment to his or her designed beneficiary(ies) under the Automatic Grant Program. Such payment shall be made within sixty (60) days after the date of the non-employee Board member’s death or as soon as administratively practical following the non-employee Board member’s death, but in no event later than the later of: (i) the end of the calendar year in which the non-employee Board member’s death</w:t>
      </w:r>
    </w:p>
    <w:p>
      <w:pPr>
        <w:sectPr>
          <w:pgSz w:w="11900" w:h="16838" w:orient="portrait"/>
          <w:cols w:equalWidth="0" w:num="1">
            <w:col w:w="10900"/>
          </w:cols>
          <w:pgMar w:left="660" w:top="1404" w:right="339" w:bottom="1440" w:gutter="0" w:footer="0" w:header="0"/>
        </w:sectPr>
      </w:pPr>
    </w:p>
    <w:bookmarkStart w:id="148" w:name="page149"/>
    <w:bookmarkEnd w:id="148"/>
    <w:p>
      <w:pPr>
        <w:jc w:val="both"/>
        <w:ind w:right="20"/>
        <w:spacing w:after="0" w:line="241" w:lineRule="auto"/>
        <w:rPr>
          <w:sz w:val="20"/>
          <w:szCs w:val="20"/>
          <w:color w:val="auto"/>
        </w:rPr>
      </w:pPr>
      <w:r>
        <w:rPr>
          <w:rFonts w:ascii="Times New Roman" w:cs="Times New Roman" w:eastAsia="Times New Roman" w:hAnsi="Times New Roman"/>
          <w:sz w:val="18"/>
          <w:szCs w:val="18"/>
          <w:color w:val="auto"/>
        </w:rPr>
        <w:t>occurs or (ii) the fifteenth (15th) day of the third (3rd) calendar month following the date of the non-employee Board member’s death. Non-employee Board members may designate one or more such beneficiaries, or may revoke an existing beneficiary designation and make a new designation, by filing a properly completed Designation of Beneficiary, in substantially the form of attached hereto as Exhibit A, with the Plan Administrator or its designate. Should a non-employee Board member die without a valid beneficiary designation in effect or after the death of the non-employee Board member’s designated beneficiary(ies), then any amounts due under the Automatic Grant Program shall be paid to the personal representative of such non-employee Board member’s estate.</w:t>
      </w:r>
    </w:p>
    <w:p>
      <w:pPr>
        <w:spacing w:after="0" w:line="211" w:lineRule="exact"/>
        <w:rPr>
          <w:sz w:val="20"/>
          <w:szCs w:val="20"/>
          <w:color w:val="auto"/>
        </w:rPr>
      </w:pPr>
    </w:p>
    <w:p>
      <w:pPr>
        <w:jc w:val="both"/>
        <w:ind w:firstLine="640"/>
        <w:spacing w:after="0" w:line="242" w:lineRule="auto"/>
        <w:tabs>
          <w:tab w:leader="none" w:pos="116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is Unfunded</w:t>
      </w:r>
      <w:r>
        <w:rPr>
          <w:rFonts w:ascii="Times New Roman" w:cs="Times New Roman" w:eastAsia="Times New Roman" w:hAnsi="Times New Roman"/>
          <w:sz w:val="18"/>
          <w:szCs w:val="18"/>
          <w:color w:val="auto"/>
        </w:rPr>
        <w:t>. Each non-employee Board member who submits a Deferral Election shall be considered a general unsecured creditor of the Corporation with respect to any rights under a restricted stock unit award granted hereunder and understands that the Corporation has not formally funded such award.</w:t>
      </w:r>
    </w:p>
    <w:p>
      <w:pPr>
        <w:spacing w:after="0" w:line="210" w:lineRule="exact"/>
        <w:rPr>
          <w:rFonts w:ascii="Times New Roman" w:cs="Times New Roman" w:eastAsia="Times New Roman" w:hAnsi="Times New Roman"/>
          <w:sz w:val="18"/>
          <w:szCs w:val="18"/>
          <w:color w:val="auto"/>
        </w:rPr>
      </w:pPr>
    </w:p>
    <w:p>
      <w:pPr>
        <w:jc w:val="both"/>
        <w:ind w:firstLine="640"/>
        <w:spacing w:after="0" w:line="238" w:lineRule="auto"/>
        <w:tabs>
          <w:tab w:leader="none" w:pos="102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Corporation assumes no responsibility for individual income taxes, penalties or interest related to grant, vesting or settlement of any restricted stock unit award. Neither the Corporation nor any of its affiliate makes any representation or undertaking regarding the treatment of any tax withholding in connection with the grant, vesting or settlement of any restricted stock unit award. By accepting a restricted stock unit award and submitting a Deferral Election, non-employee Board members understand that (1) amounts deferred pursuant to a Deferral Election will be taxable as ordinary income in the year paid and (2) the Corporation may be required to withhold federal, state and/or local taxes in connection with the vesting and/or settlement of restricted stock unit awards. Further, by accepting a restricted stock unit award and submitting a Deferral Election, non-employee Board members understand that, upon receipt of deferred payouts, taxes may be owed both (1) to the state where such individual resided at the time of making the Deferral Election and, if different, (2) to the state where such individual resided when he or she received a deferred payout. The Corporation does not guarantee in any way whatsoever the tax treatment of any deferrals or payments made under this Program or the Deferral Election form.</w:t>
      </w:r>
    </w:p>
    <w:p>
      <w:pPr>
        <w:spacing w:after="0" w:line="215" w:lineRule="exact"/>
        <w:rPr>
          <w:rFonts w:ascii="Times New Roman" w:cs="Times New Roman" w:eastAsia="Times New Roman" w:hAnsi="Times New Roman"/>
          <w:sz w:val="18"/>
          <w:szCs w:val="18"/>
          <w:color w:val="auto"/>
        </w:rPr>
      </w:pPr>
    </w:p>
    <w:p>
      <w:pPr>
        <w:jc w:val="both"/>
        <w:ind w:firstLine="640"/>
        <w:spacing w:after="0" w:line="237" w:lineRule="auto"/>
        <w:tabs>
          <w:tab w:leader="none" w:pos="97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Although the Corporation makes no guarantee with respect to the tax treatment of payments and benefits hereunder, it is the intent of this Program and the Deferral Election form to comply with the applicable requirements of Code Section 409A and shall be limited, construed, administered, and interpreted in accordance with such intent. Accordingly, the Corporation reserves the rights to amend the provisions of the Program and the Deferral Election form at any time to avoid the imposition of an excise tax under Code Section 409A on any payments to be made hereunder. In no event whatsoever shall the Corporation or any of its affiliates be liable for any additional tax, interest or penalties that may be imposed on a non-employee Board member by Code Section 409A or any damages for failing to comply with Code Section 409A, other than for withholding or other obligations applicable to employers, if any, under Code Section 409A.</w:t>
      </w:r>
    </w:p>
    <w:p>
      <w:pPr>
        <w:sectPr>
          <w:pgSz w:w="11900" w:h="16838" w:orient="portrait"/>
          <w:cols w:equalWidth="0" w:num="1">
            <w:col w:w="10900"/>
          </w:cols>
          <w:pgMar w:left="660" w:top="1404" w:right="339" w:bottom="1440" w:gutter="0" w:footer="0" w:header="0"/>
        </w:sectPr>
      </w:pPr>
    </w:p>
    <w:bookmarkStart w:id="149" w:name="page150"/>
    <w:bookmarkEnd w:id="149"/>
    <w:p>
      <w:pPr>
        <w:ind w:left="548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3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u w:val="single" w:color="auto"/>
          <w:color w:val="auto"/>
        </w:rPr>
        <w:t>SJW GROUP</w:t>
      </w:r>
    </w:p>
    <w:p>
      <w:pPr>
        <w:spacing w:after="0" w:line="23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u w:val="single" w:color="auto"/>
          <w:color w:val="auto"/>
        </w:rPr>
        <w:t>SECOND AMENDED AND RESTATED FORMULAIC EQUITY AWARD PROGRAM</w:t>
      </w:r>
    </w:p>
    <w:p>
      <w:pPr>
        <w:spacing w:after="0" w:line="2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u w:val="single" w:color="auto"/>
          <w:color w:val="auto"/>
        </w:rPr>
        <w:t>FOR NON-EMPLOYEE BOARD MEMBERS</w:t>
      </w:r>
    </w:p>
    <w:p>
      <w:pPr>
        <w:spacing w:after="0" w:line="21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DESIGNATION OF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40575" cy="29921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9">
                      <a:extLst>
                        <a:ext uri="{28A0092B-C50C-407E-A947-70E740481C1C}"/>
                      </a:extLst>
                    </a:blip>
                    <a:srcRect/>
                    <a:stretch>
                      <a:fillRect/>
                    </a:stretch>
                  </pic:blipFill>
                  <pic:spPr bwMode="auto">
                    <a:xfrm>
                      <a:off x="0" y="0"/>
                      <a:ext cx="7140575" cy="2992120"/>
                    </a:xfrm>
                    <a:prstGeom prst="rect">
                      <a:avLst/>
                    </a:prstGeom>
                    <a:noFill/>
                  </pic:spPr>
                </pic:pic>
              </a:graphicData>
            </a:graphic>
          </wp:anchor>
        </w:drawing>
      </w:r>
    </w:p>
    <w:p>
      <w:pPr>
        <w:spacing w:after="0" w:line="2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Director Name:</w:t>
      </w:r>
    </w:p>
    <w:p>
      <w:pPr>
        <w:spacing w:after="0" w:line="36"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Print Name</w:t>
      </w:r>
    </w:p>
    <w:p>
      <w:pPr>
        <w:spacing w:after="0" w:line="20" w:lineRule="exact"/>
        <w:rPr>
          <w:sz w:val="20"/>
          <w:szCs w:val="20"/>
          <w:color w:val="auto"/>
        </w:rPr>
      </w:pPr>
    </w:p>
    <w:p>
      <w:pPr>
        <w:ind w:left="2520" w:right="140"/>
        <w:spacing w:after="0" w:line="230" w:lineRule="auto"/>
        <w:rPr>
          <w:sz w:val="20"/>
          <w:szCs w:val="20"/>
          <w:color w:val="auto"/>
        </w:rPr>
      </w:pPr>
      <w:r>
        <w:rPr>
          <w:rFonts w:ascii="Times New Roman" w:cs="Times New Roman" w:eastAsia="Times New Roman" w:hAnsi="Times New Roman"/>
          <w:sz w:val="18"/>
          <w:szCs w:val="18"/>
          <w:color w:val="auto"/>
        </w:rPr>
        <w:t>I understand that neither this Designation of Beneficiary nor any future change of Designation of Beneficiary will be effective for any purpose unless filed with the SJW Group (“Company”) prior to my death. I reserve the right to change my Beneficiary(ies) for either or both of the Plan(s) listed below at any time by signing a new Designation of Beneficiary and filing it with the Company.</w:t>
      </w:r>
    </w:p>
    <w:p>
      <w:pPr>
        <w:spacing w:after="0" w:line="3" w:lineRule="exact"/>
        <w:rPr>
          <w:sz w:val="20"/>
          <w:szCs w:val="20"/>
          <w:color w:val="auto"/>
        </w:rPr>
      </w:pPr>
    </w:p>
    <w:p>
      <w:pPr>
        <w:jc w:val="center"/>
        <w:ind w:left="2380"/>
        <w:spacing w:after="0"/>
        <w:rPr>
          <w:sz w:val="20"/>
          <w:szCs w:val="20"/>
          <w:color w:val="auto"/>
        </w:rPr>
      </w:pPr>
      <w:r>
        <w:rPr>
          <w:rFonts w:ascii="Times New Roman" w:cs="Times New Roman" w:eastAsia="Times New Roman" w:hAnsi="Times New Roman"/>
          <w:sz w:val="18"/>
          <w:szCs w:val="18"/>
          <w:color w:val="auto"/>
        </w:rPr>
        <w:t>This Designation of Beneficiary is subject to the terms of the Plan(s) checked below.</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Director Address</w:t>
            </w:r>
          </w:p>
        </w:tc>
        <w:tc>
          <w:tcPr>
            <w:tcW w:w="584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29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5840" w:type="dxa"/>
            <w:vAlign w:val="bottom"/>
            <w:tcBorders>
              <w:right w:val="single" w:sz="8" w:color="auto"/>
            </w:tcBorders>
            <w:vMerge w:val="continue"/>
          </w:tcPr>
          <w:p>
            <w:pPr>
              <w:spacing w:after="0"/>
              <w:rPr>
                <w:sz w:val="15"/>
                <w:szCs w:val="15"/>
                <w:color w:val="auto"/>
              </w:rPr>
            </w:pPr>
          </w:p>
        </w:tc>
        <w:tc>
          <w:tcPr>
            <w:tcW w:w="29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________________________</w:t>
            </w:r>
          </w:p>
        </w:tc>
        <w:tc>
          <w:tcPr>
            <w:tcW w:w="0" w:type="dxa"/>
            <w:vAlign w:val="bottom"/>
          </w:tcPr>
          <w:p>
            <w:pPr>
              <w:spacing w:after="0"/>
              <w:rPr>
                <w:sz w:val="1"/>
                <w:szCs w:val="1"/>
                <w:color w:val="auto"/>
              </w:rPr>
            </w:pPr>
          </w:p>
        </w:tc>
      </w:tr>
      <w:tr>
        <w:trPr>
          <w:trHeight w:val="257"/>
        </w:trPr>
        <w:tc>
          <w:tcPr>
            <w:tcW w:w="2500" w:type="dxa"/>
            <w:vAlign w:val="bottom"/>
          </w:tcPr>
          <w:p>
            <w:pPr>
              <w:spacing w:after="0"/>
              <w:rPr>
                <w:sz w:val="22"/>
                <w:szCs w:val="22"/>
                <w:color w:val="auto"/>
              </w:rPr>
            </w:pPr>
          </w:p>
        </w:tc>
        <w:tc>
          <w:tcPr>
            <w:tcW w:w="5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Street Address</w:t>
            </w: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Apt. No.</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584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5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b w:val="1"/>
                <w:bCs w:val="1"/>
                <w:color w:val="auto"/>
              </w:rPr>
              <w:t>Director Information:</w:t>
            </w:r>
          </w:p>
        </w:tc>
        <w:tc>
          <w:tcPr>
            <w:tcW w:w="58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Social Security Number: ______________________________</w:t>
            </w: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(last 4 digits only)</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500" w:type="dxa"/>
            <w:vAlign w:val="bottom"/>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500" w:type="dxa"/>
            <w:vAlign w:val="bottom"/>
          </w:tcPr>
          <w:p>
            <w:pPr>
              <w:spacing w:after="0"/>
              <w:rPr>
                <w:sz w:val="19"/>
                <w:szCs w:val="19"/>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of Birth: _____________________________</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ind w:left="40" w:right="460"/>
        <w:spacing w:after="0" w:line="271" w:lineRule="auto"/>
        <w:rPr>
          <w:sz w:val="20"/>
          <w:szCs w:val="20"/>
          <w:color w:val="auto"/>
        </w:rPr>
      </w:pPr>
      <w:r>
        <w:rPr>
          <w:rFonts w:ascii="Times New Roman" w:cs="Times New Roman" w:eastAsia="Times New Roman" w:hAnsi="Times New Roman"/>
          <w:sz w:val="18"/>
          <w:szCs w:val="18"/>
          <w:b w:val="1"/>
          <w:bCs w:val="1"/>
          <w:color w:val="auto"/>
        </w:rPr>
        <w:t>This Designation of Beneficiary is intended to designate the beneficiary or beneficiaries of all my right, title and interest in and to the unpaid vested balance credited to my vested account(s) under the following Plan(s) at the time of my death:</w:t>
      </w:r>
    </w:p>
    <w:tbl>
      <w:tblPr>
        <w:tblLayout w:type="fixed"/>
        <w:tblInd w:w="0" w:type="dxa"/>
        <w:tblCellMar>
          <w:top w:w="0" w:type="dxa"/>
          <w:left w:w="0" w:type="dxa"/>
          <w:bottom w:w="0" w:type="dxa"/>
          <w:right w:w="0" w:type="dxa"/>
        </w:tblCellMar>
      </w:tblPr>
      <w:tr>
        <w:trPr>
          <w:trHeight w:val="192"/>
        </w:trPr>
        <w:tc>
          <w:tcPr>
            <w:tcW w:w="5420" w:type="dxa"/>
            <w:vAlign w:val="bottom"/>
            <w:tcBorders>
              <w:top w:val="single" w:sz="8" w:color="auto"/>
              <w:right w:val="single" w:sz="8" w:color="auto"/>
            </w:tcBorders>
          </w:tcPr>
          <w:p>
            <w:pPr>
              <w:ind w:left="360"/>
              <w:spacing w:after="0" w:line="192" w:lineRule="exact"/>
              <w:rPr>
                <w:sz w:val="20"/>
                <w:szCs w:val="20"/>
                <w:color w:val="auto"/>
              </w:rPr>
            </w:pPr>
            <w:r>
              <w:rPr>
                <w:rFonts w:ascii="Times New Roman" w:cs="Times New Roman" w:eastAsia="Times New Roman" w:hAnsi="Times New Roman"/>
                <w:sz w:val="18"/>
                <w:szCs w:val="18"/>
                <w:color w:val="auto"/>
              </w:rPr>
              <w:t>◦   SJW Group Deferral Election Program for Non-Employee Board</w:t>
            </w:r>
          </w:p>
        </w:tc>
        <w:tc>
          <w:tcPr>
            <w:tcW w:w="5840" w:type="dxa"/>
            <w:vAlign w:val="bottom"/>
            <w:tcBorders>
              <w:top w:val="single" w:sz="8" w:color="auto"/>
            </w:tcBorders>
          </w:tcPr>
          <w:p>
            <w:pPr>
              <w:ind w:left="340"/>
              <w:spacing w:after="0" w:line="192" w:lineRule="exact"/>
              <w:rPr>
                <w:sz w:val="20"/>
                <w:szCs w:val="20"/>
                <w:color w:val="auto"/>
              </w:rPr>
            </w:pPr>
            <w:r>
              <w:rPr>
                <w:rFonts w:ascii="Times New Roman" w:cs="Times New Roman" w:eastAsia="Times New Roman" w:hAnsi="Times New Roman"/>
                <w:sz w:val="18"/>
                <w:szCs w:val="18"/>
                <w:color w:val="auto"/>
              </w:rPr>
              <w:t>◦   SJW Group Formulaic Equity Award Program for Non-Employee</w:t>
            </w:r>
          </w:p>
        </w:tc>
      </w:tr>
      <w:tr>
        <w:trPr>
          <w:trHeight w:val="234"/>
        </w:trPr>
        <w:tc>
          <w:tcPr>
            <w:tcW w:w="542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Members (cash deferrals)</w:t>
            </w:r>
          </w:p>
        </w:tc>
        <w:tc>
          <w:tcPr>
            <w:tcW w:w="5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Board Members</w:t>
            </w:r>
          </w:p>
        </w:tc>
      </w:tr>
      <w:tr>
        <w:trPr>
          <w:trHeight w:val="27"/>
        </w:trPr>
        <w:tc>
          <w:tcPr>
            <w:tcW w:w="5420" w:type="dxa"/>
            <w:vAlign w:val="bottom"/>
            <w:tcBorders>
              <w:bottom w:val="single" w:sz="8" w:color="auto"/>
              <w:right w:val="single" w:sz="8" w:color="auto"/>
            </w:tcBorders>
          </w:tcPr>
          <w:p>
            <w:pPr>
              <w:spacing w:after="0"/>
              <w:rPr>
                <w:sz w:val="2"/>
                <w:szCs w:val="2"/>
                <w:color w:val="auto"/>
              </w:rPr>
            </w:pPr>
          </w:p>
        </w:tc>
        <w:tc>
          <w:tcPr>
            <w:tcW w:w="584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Primary Beneficiary(ies)</w:t>
      </w:r>
    </w:p>
    <w:p>
      <w:pPr>
        <w:spacing w:after="0" w:line="20" w:lineRule="exact"/>
        <w:rPr>
          <w:sz w:val="20"/>
          <w:szCs w:val="20"/>
          <w:color w:val="auto"/>
        </w:rPr>
      </w:pPr>
    </w:p>
    <w:p>
      <w:pPr>
        <w:ind w:right="880"/>
        <w:spacing w:after="0" w:line="243" w:lineRule="auto"/>
        <w:rPr>
          <w:sz w:val="20"/>
          <w:szCs w:val="20"/>
          <w:color w:val="auto"/>
        </w:rPr>
      </w:pPr>
      <w:r>
        <w:rPr>
          <w:rFonts w:ascii="Times New Roman" w:cs="Times New Roman" w:eastAsia="Times New Roman" w:hAnsi="Times New Roman"/>
          <w:sz w:val="18"/>
          <w:szCs w:val="18"/>
          <w:color w:val="auto"/>
        </w:rPr>
        <w:t>I hereby revoke any Designation of Beneficiary I may previously have made under the above plan(s) and designate the following as my primary beneficiary(ies) under the plan(s):</w:t>
      </w:r>
    </w:p>
    <w:p>
      <w:pPr>
        <w:spacing w:after="0" w:line="16" w:lineRule="exact"/>
        <w:rPr>
          <w:sz w:val="20"/>
          <w:szCs w:val="20"/>
          <w:color w:val="auto"/>
        </w:rPr>
      </w:pPr>
    </w:p>
    <w:p>
      <w:pPr>
        <w:ind w:left="1960"/>
        <w:spacing w:after="0"/>
        <w:tabs>
          <w:tab w:leader="none" w:pos="6620" w:val="left"/>
          <w:tab w:leader="none" w:pos="9400" w:val="left"/>
        </w:tabs>
        <w:rPr>
          <w:sz w:val="20"/>
          <w:szCs w:val="20"/>
          <w:color w:val="auto"/>
        </w:rPr>
      </w:pPr>
      <w:r>
        <w:rPr>
          <w:rFonts w:ascii="Times New Roman" w:cs="Times New Roman" w:eastAsia="Times New Roman" w:hAnsi="Times New Roman"/>
          <w:sz w:val="18"/>
          <w:szCs w:val="18"/>
          <w:b w:val="1"/>
          <w:bCs w:val="1"/>
          <w:color w:val="auto"/>
        </w:rPr>
        <w:t>Name and Current Address</w:t>
      </w:r>
      <w:r>
        <w:rPr>
          <w:sz w:val="20"/>
          <w:szCs w:val="20"/>
          <w:color w:val="auto"/>
        </w:rPr>
        <w:tab/>
      </w:r>
      <w:r>
        <w:rPr>
          <w:rFonts w:ascii="Times New Roman" w:cs="Times New Roman" w:eastAsia="Times New Roman" w:hAnsi="Times New Roman"/>
          <w:sz w:val="18"/>
          <w:szCs w:val="18"/>
          <w:b w:val="1"/>
          <w:bCs w:val="1"/>
          <w:color w:val="auto"/>
        </w:rPr>
        <w:t>Relationship</w:t>
      </w:r>
      <w:r>
        <w:rPr>
          <w:sz w:val="20"/>
          <w:szCs w:val="20"/>
          <w:color w:val="auto"/>
        </w:rPr>
        <w:tab/>
      </w:r>
      <w:r>
        <w:rPr>
          <w:rFonts w:ascii="Times New Roman" w:cs="Times New Roman" w:eastAsia="Times New Roman" w:hAnsi="Times New Roman"/>
          <w:sz w:val="17"/>
          <w:szCs w:val="17"/>
          <w:b w:val="1"/>
          <w:bCs w:val="1"/>
          <w:color w:val="auto"/>
        </w:rPr>
        <w:t>Percent of Total</w:t>
      </w: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w:t>
      </w:r>
    </w:p>
    <w:p>
      <w:pPr>
        <w:spacing w:after="0" w:line="50"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(If more than one person is designated above and all but one die, state whether survivor will receive 100%)</w:t>
      </w:r>
    </w:p>
    <w:p>
      <w:pPr>
        <w:sectPr>
          <w:pgSz w:w="11900" w:h="16838" w:orient="portrait"/>
          <w:cols w:equalWidth="0" w:num="1">
            <w:col w:w="11260"/>
          </w:cols>
          <w:pgMar w:left="320" w:top="1400" w:right="319" w:bottom="1440" w:gutter="0" w:footer="0" w:header="0"/>
        </w:sectPr>
      </w:pPr>
    </w:p>
    <w:bookmarkStart w:id="150" w:name="page151"/>
    <w:bookmarkEnd w:id="1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Contingent Beneficiary(ies)</w:t>
      </w:r>
    </w:p>
    <w:p>
      <w:pPr>
        <w:spacing w:after="0" w:line="2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In the event none of the above designated individual(s) survive me, I hereby designate the following as the contingent beneficiary or beneficiaries under the plan(s):</w:t>
      </w:r>
    </w:p>
    <w:p>
      <w:pPr>
        <w:spacing w:after="0" w:line="16" w:lineRule="exact"/>
        <w:rPr>
          <w:sz w:val="20"/>
          <w:szCs w:val="20"/>
          <w:color w:val="auto"/>
        </w:rPr>
      </w:pPr>
    </w:p>
    <w:p>
      <w:pPr>
        <w:ind w:left="1540"/>
        <w:spacing w:after="0"/>
        <w:tabs>
          <w:tab w:leader="none" w:pos="6420" w:val="left"/>
          <w:tab w:leader="none" w:pos="9640" w:val="left"/>
        </w:tabs>
        <w:rPr>
          <w:sz w:val="20"/>
          <w:szCs w:val="20"/>
          <w:color w:val="auto"/>
        </w:rPr>
      </w:pPr>
      <w:r>
        <w:rPr>
          <w:rFonts w:ascii="Times New Roman" w:cs="Times New Roman" w:eastAsia="Times New Roman" w:hAnsi="Times New Roman"/>
          <w:sz w:val="18"/>
          <w:szCs w:val="18"/>
          <w:b w:val="1"/>
          <w:bCs w:val="1"/>
          <w:color w:val="auto"/>
        </w:rPr>
        <w:t>Name and Current Address</w:t>
      </w:r>
      <w:r>
        <w:rPr>
          <w:sz w:val="20"/>
          <w:szCs w:val="20"/>
          <w:color w:val="auto"/>
        </w:rPr>
        <w:tab/>
      </w:r>
      <w:r>
        <w:rPr>
          <w:rFonts w:ascii="Times New Roman" w:cs="Times New Roman" w:eastAsia="Times New Roman" w:hAnsi="Times New Roman"/>
          <w:sz w:val="18"/>
          <w:szCs w:val="18"/>
          <w:b w:val="1"/>
          <w:bCs w:val="1"/>
          <w:color w:val="auto"/>
        </w:rPr>
        <w:t>Relationship</w:t>
      </w:r>
      <w:r>
        <w:rPr>
          <w:sz w:val="20"/>
          <w:szCs w:val="20"/>
          <w:color w:val="auto"/>
        </w:rPr>
        <w:tab/>
      </w:r>
      <w:r>
        <w:rPr>
          <w:rFonts w:ascii="Times New Roman" w:cs="Times New Roman" w:eastAsia="Times New Roman" w:hAnsi="Times New Roman"/>
          <w:sz w:val="17"/>
          <w:szCs w:val="17"/>
          <w:b w:val="1"/>
          <w:bCs w:val="1"/>
          <w:color w:val="auto"/>
        </w:rPr>
        <w:t>Percent of Total</w:t>
      </w: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w:t>
      </w:r>
    </w:p>
    <w:p>
      <w:pPr>
        <w:spacing w:after="0" w:line="5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(If more than one person is designated above and all but one die, state whether survivor will receive 100%)</w:t>
      </w:r>
    </w:p>
    <w:p>
      <w:pPr>
        <w:spacing w:after="0" w:line="200" w:lineRule="exact"/>
        <w:rPr>
          <w:sz w:val="20"/>
          <w:szCs w:val="20"/>
          <w:color w:val="auto"/>
        </w:rPr>
      </w:pPr>
    </w:p>
    <w:p>
      <w:pPr>
        <w:spacing w:after="0" w:line="20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(Signature of Director)</w:t>
      </w:r>
    </w:p>
    <w:p>
      <w:pPr>
        <w:sectPr>
          <w:pgSz w:w="11900" w:h="16838" w:orient="portrait"/>
          <w:cols w:equalWidth="0" w:num="1">
            <w:col w:w="11220"/>
          </w:cols>
          <w:pgMar w:left="320" w:top="1400" w:right="359" w:bottom="1440" w:gutter="0" w:footer="0" w:header="0"/>
        </w:sectPr>
      </w:pP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FOR COMPANY USE ONLY:</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Received for filing on , _____</w:t>
      </w:r>
    </w:p>
    <w:p>
      <w:pPr>
        <w:spacing w:after="0" w:line="200" w:lineRule="exact"/>
        <w:rPr>
          <w:sz w:val="20"/>
          <w:szCs w:val="20"/>
          <w:color w:val="auto"/>
        </w:rPr>
      </w:pPr>
    </w:p>
    <w:p>
      <w:pPr>
        <w:sectPr>
          <w:pgSz w:w="11900" w:h="16838" w:orient="portrait"/>
          <w:cols w:equalWidth="0" w:num="2">
            <w:col w:w="3860" w:space="720"/>
            <w:col w:w="6640"/>
          </w:cols>
          <w:pgMar w:left="320" w:top="1400" w:right="359" w:bottom="1440" w:gutter="0" w:footer="0" w:header="0"/>
          <w:type w:val="continuous"/>
        </w:sectPr>
      </w:pPr>
    </w:p>
    <w:p>
      <w:pPr>
        <w:spacing w:after="0" w:line="12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By _________________________</w:t>
      </w:r>
    </w:p>
    <w:p>
      <w:pPr>
        <w:spacing w:after="0" w:line="32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Title: _______________________</w:t>
      </w:r>
    </w:p>
    <w:p>
      <w:pPr>
        <w:sectPr>
          <w:pgSz w:w="11900" w:h="16838" w:orient="portrait"/>
          <w:cols w:equalWidth="0" w:num="1">
            <w:col w:w="11220"/>
          </w:cols>
          <w:pgMar w:left="320" w:top="1400" w:right="359" w:bottom="1440" w:gutter="0" w:footer="0" w:header="0"/>
          <w:type w:val="continuous"/>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233" w:lineRule="exact"/>
        <w:rPr>
          <w:sz w:val="20"/>
          <w:szCs w:val="20"/>
          <w:color w:val="auto"/>
        </w:rPr>
      </w:pPr>
    </w:p>
    <w:p>
      <w:pPr>
        <w:ind w:right="640" w:firstLine="737"/>
        <w:spacing w:after="0" w:line="269" w:lineRule="auto"/>
        <w:rPr>
          <w:sz w:val="20"/>
          <w:szCs w:val="20"/>
          <w:color w:val="auto"/>
        </w:rPr>
      </w:pPr>
      <w:r>
        <w:rPr>
          <w:rFonts w:ascii="Times New Roman" w:cs="Times New Roman" w:eastAsia="Times New Roman" w:hAnsi="Times New Roman"/>
          <w:sz w:val="20"/>
          <w:szCs w:val="20"/>
          <w:color w:val="auto"/>
        </w:rPr>
        <w:t>The following is the insider trading policy (the “Policy”) of SJW Group (“SJW Group or the Company”) and its subsidiaries (collectively, the “Companies”).</w:t>
      </w:r>
    </w:p>
    <w:p>
      <w:pPr>
        <w:spacing w:after="0" w:line="173" w:lineRule="exact"/>
        <w:rPr>
          <w:sz w:val="20"/>
          <w:szCs w:val="20"/>
          <w:color w:val="auto"/>
        </w:rPr>
      </w:pPr>
    </w:p>
    <w:p>
      <w:pPr>
        <w:ind w:left="660" w:hanging="652"/>
        <w:spacing w:after="0"/>
        <w:tabs>
          <w:tab w:leader="none" w:pos="66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BACKGROUND AND PURPOSE</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The federal securities laws prohibit any person from purchasing or selling securities of the Companies on the basis of material, nonpublic information concerning the Companies, or from disclosing material, nonpublic information to others who might trade on the basis of that information. These laws impose severe sanctions, including criminal liabilities, on individuals who violate them. In addition, the Securities and Exchange Commission (“SEC”) has the authority to impose large fines on SJW Group and on the directors, executive officers and controlling stockholders of SJW Group if its employees and directors engage in insider trading and SJW Group has failed to take appropriate steps to prevent it (so-called “controlling person” liability).</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Policy is adopted in light of these legal requirements, and with the goal of helping to:</w:t>
      </w:r>
    </w:p>
    <w:p>
      <w:pPr>
        <w:spacing w:after="0" w:line="243" w:lineRule="exact"/>
        <w:rPr>
          <w:sz w:val="20"/>
          <w:szCs w:val="20"/>
          <w:color w:val="auto"/>
        </w:rPr>
      </w:pPr>
    </w:p>
    <w:p>
      <w:pPr>
        <w:ind w:left="1300" w:hanging="644"/>
        <w:spacing w:after="0"/>
        <w:tabs>
          <w:tab w:leader="none" w:pos="130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Prevent inadvertent violations of the insider trading laws;</w:t>
      </w:r>
    </w:p>
    <w:p>
      <w:pPr>
        <w:spacing w:after="0" w:line="8" w:lineRule="exact"/>
        <w:rPr>
          <w:rFonts w:ascii="Times New Roman" w:cs="Times New Roman" w:eastAsia="Times New Roman" w:hAnsi="Times New Roman"/>
          <w:sz w:val="20"/>
          <w:szCs w:val="20"/>
          <w:color w:val="auto"/>
        </w:rPr>
      </w:pPr>
    </w:p>
    <w:p>
      <w:pPr>
        <w:ind w:left="1300" w:right="20" w:hanging="644"/>
        <w:spacing w:after="0" w:line="232" w:lineRule="auto"/>
        <w:tabs>
          <w:tab w:leader="none" w:pos="1288"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Avoid proxy statement disclosure of reporting violations by persons subject to Section 16 of the Securities Exchange Act of 1934, as amended (the “Exchange Act”);</w:t>
      </w:r>
    </w:p>
    <w:p>
      <w:pPr>
        <w:ind w:left="1300" w:hanging="644"/>
        <w:spacing w:after="0" w:line="225" w:lineRule="auto"/>
        <w:tabs>
          <w:tab w:leader="none" w:pos="130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Avoid even the appearance of impropriety on the part of those employed by, or associated with, the Companies;</w:t>
      </w:r>
    </w:p>
    <w:p>
      <w:pPr>
        <w:ind w:left="1300" w:hanging="644"/>
        <w:spacing w:after="0"/>
        <w:tabs>
          <w:tab w:leader="none" w:pos="130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Protect SJW Group from controlling person liability; and</w:t>
      </w:r>
    </w:p>
    <w:p>
      <w:pPr>
        <w:ind w:left="1300" w:hanging="644"/>
        <w:spacing w:after="0"/>
        <w:tabs>
          <w:tab w:leader="none" w:pos="130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Protect the reputation of the Companies.</w:t>
      </w:r>
    </w:p>
    <w:p>
      <w:pPr>
        <w:spacing w:after="0" w:line="20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The Corporate Secretary or the Assistant Corporate Secretary of SJW Group (collectively, the “Corporate Secretaries”) has the authority to impose restrictions on trading in the Companies’ securities by appropriate individuals at any time, in addition to the automatic restrictions imposed herein. In such event, the Corporate Secretaries will notify the affected individuals to inform them of the restrictions. Any individual who has placed a limit order or open instruction to buy or sell the securities of the Companies shall bear responsibility for cancelling such instructions immediately in the event restrictions are imposed on their ability to trade in accordance with the above.</w:t>
      </w:r>
    </w:p>
    <w:p>
      <w:pPr>
        <w:spacing w:after="0" w:line="205" w:lineRule="exact"/>
        <w:rPr>
          <w:sz w:val="20"/>
          <w:szCs w:val="20"/>
          <w:color w:val="auto"/>
        </w:rPr>
      </w:pPr>
    </w:p>
    <w:p>
      <w:pPr>
        <w:ind w:left="660" w:right="160" w:hanging="328"/>
        <w:spacing w:after="0" w:line="269" w:lineRule="auto"/>
        <w:tabs>
          <w:tab w:leader="none" w:pos="66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PROHIBITION ON TRADING WHILE AWARE OF MATERIAL NONPUBLIC INFORMATION; PROHIBITION ON TIPPING OTHERS</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9"/>
          <w:szCs w:val="19"/>
          <w:u w:val="single" w:color="auto"/>
          <w:color w:val="auto"/>
        </w:rPr>
        <w:t>Applicability</w:t>
      </w:r>
      <w:r>
        <w:rPr>
          <w:rFonts w:ascii="Times New Roman" w:cs="Times New Roman" w:eastAsia="Times New Roman" w:hAnsi="Times New Roman"/>
          <w:sz w:val="19"/>
          <w:szCs w:val="19"/>
          <w:color w:val="auto"/>
        </w:rPr>
        <w:t>.</w:t>
      </w:r>
    </w:p>
    <w:p>
      <w:pPr>
        <w:spacing w:after="0" w:line="243" w:lineRule="exact"/>
        <w:rPr>
          <w:sz w:val="20"/>
          <w:szCs w:val="20"/>
          <w:color w:val="auto"/>
        </w:rPr>
      </w:pPr>
    </w:p>
    <w:p>
      <w:pPr>
        <w:ind w:right="300" w:firstLine="648"/>
        <w:spacing w:after="0"/>
        <w:rPr>
          <w:sz w:val="20"/>
          <w:szCs w:val="20"/>
          <w:color w:val="auto"/>
        </w:rPr>
      </w:pPr>
      <w:r>
        <w:rPr>
          <w:rFonts w:ascii="Times New Roman" w:cs="Times New Roman" w:eastAsia="Times New Roman" w:hAnsi="Times New Roman"/>
          <w:sz w:val="20"/>
          <w:szCs w:val="20"/>
          <w:color w:val="auto"/>
        </w:rPr>
        <w:t>This Section 2 applies to (a) all directors, officers, employees, consultants, representatives, or independent contractors of the Companies, (b) all family members who share the same address as, or are financially dependent on, such persons, and (c) all corporations, partnerships, trusts or other entities owned or controlled by any of the persons listed above in (a) and (b).</w:t>
      </w:r>
    </w:p>
    <w:p>
      <w:pPr>
        <w:spacing w:after="0" w:line="215" w:lineRule="exact"/>
        <w:rPr>
          <w:sz w:val="20"/>
          <w:szCs w:val="20"/>
          <w:color w:val="auto"/>
        </w:rPr>
      </w:pPr>
    </w:p>
    <w:p>
      <w:pPr>
        <w:ind w:left="1300" w:hanging="644"/>
        <w:spacing w:after="0"/>
        <w:tabs>
          <w:tab w:leader="none" w:pos="130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Prohibition</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 person covered by this Section 2 may:</w:t>
      </w:r>
    </w:p>
    <w:p>
      <w:pPr>
        <w:spacing w:after="0" w:line="243" w:lineRule="exact"/>
        <w:rPr>
          <w:sz w:val="20"/>
          <w:szCs w:val="20"/>
          <w:color w:val="auto"/>
        </w:rPr>
      </w:pPr>
    </w:p>
    <w:p>
      <w:pPr>
        <w:ind w:left="1300" w:hanging="644"/>
        <w:spacing w:after="0" w:line="255" w:lineRule="auto"/>
        <w:tabs>
          <w:tab w:leader="none" w:pos="129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or sell any securities of the Companies while he or she is aware of any material, nonpublic information concerning the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152" w:name="page153"/>
    <w:bookmarkEnd w:id="152"/>
    <w:p>
      <w:pPr>
        <w:ind w:left="1300" w:hanging="644"/>
        <w:spacing w:after="0" w:line="255" w:lineRule="auto"/>
        <w:tabs>
          <w:tab w:leader="none" w:pos="1288"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 to any other person any material, nonpublic information concerning the Companies if it is reasonably foreseeable that such person may use that information in purchasing or selling securities of the Companies;</w:t>
      </w:r>
    </w:p>
    <w:p>
      <w:pPr>
        <w:spacing w:after="0" w:line="199" w:lineRule="exact"/>
        <w:rPr>
          <w:rFonts w:ascii="Times New Roman" w:cs="Times New Roman" w:eastAsia="Times New Roman" w:hAnsi="Times New Roman"/>
          <w:sz w:val="20"/>
          <w:szCs w:val="20"/>
          <w:color w:val="auto"/>
        </w:rPr>
      </w:pPr>
    </w:p>
    <w:p>
      <w:pPr>
        <w:jc w:val="both"/>
        <w:ind w:left="1300" w:hanging="644"/>
        <w:spacing w:after="0" w:line="247" w:lineRule="auto"/>
        <w:tabs>
          <w:tab w:leader="none" w:pos="129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sell, pledge or donate any securities of another company while he or she is aware of any material, nonpublic information concerning such other company which he or she learned in the course of his or her service as a director, employee or consultant of the Companies; or</w:t>
      </w:r>
    </w:p>
    <w:p>
      <w:pPr>
        <w:spacing w:after="0" w:line="194" w:lineRule="exact"/>
        <w:rPr>
          <w:rFonts w:ascii="Times New Roman" w:cs="Times New Roman" w:eastAsia="Times New Roman" w:hAnsi="Times New Roman"/>
          <w:sz w:val="20"/>
          <w:szCs w:val="20"/>
          <w:color w:val="auto"/>
        </w:rPr>
      </w:pPr>
    </w:p>
    <w:p>
      <w:pPr>
        <w:jc w:val="both"/>
        <w:ind w:left="1300" w:hanging="644"/>
        <w:spacing w:after="0" w:line="247" w:lineRule="auto"/>
        <w:tabs>
          <w:tab w:leader="none" w:pos="1288"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 to any other person any material, nonpublic information concerning another company which he or she learned in the course of his or her service as a director, employee or consultant of the Companies if it is reasonably foreseeable that such person may use that information in purchasing or selling securities of such other company.</w:t>
      </w:r>
    </w:p>
    <w:p>
      <w:pPr>
        <w:spacing w:after="0" w:line="194" w:lineRule="exact"/>
        <w:rPr>
          <w:sz w:val="20"/>
          <w:szCs w:val="20"/>
          <w:color w:val="auto"/>
        </w:rPr>
      </w:pPr>
    </w:p>
    <w:p>
      <w:pPr>
        <w:jc w:val="both"/>
        <w:ind w:firstLine="763"/>
        <w:spacing w:after="0" w:line="237" w:lineRule="auto"/>
        <w:rPr>
          <w:sz w:val="20"/>
          <w:szCs w:val="20"/>
          <w:color w:val="auto"/>
        </w:rPr>
      </w:pPr>
      <w:r>
        <w:rPr>
          <w:rFonts w:ascii="Times New Roman" w:cs="Times New Roman" w:eastAsia="Times New Roman" w:hAnsi="Times New Roman"/>
          <w:sz w:val="20"/>
          <w:szCs w:val="20"/>
          <w:color w:val="auto"/>
        </w:rPr>
        <w:t>Information that has not been disclosed to the public is generally considered to be nonpublic information. In order to establish that the information has been disclosed to the public, it may be necessary to demonstrate that the information has been widely disseminated. Information generally would be considered widely disseminated if it has been disclosed through press release, newswire services, a broadcast on widely-available radio or television programs, publication in a widely-available newspaper, magazine or news website, or public disclosure documents filed with the SEC that are available on the SEC’s website. By contrast, information would likely not be considered widely disseminated if it is available only to the employees of the Companies, or if it is only available to a select group of analysts, brokers and institutional investors.</w:t>
      </w:r>
    </w:p>
    <w:p>
      <w:pPr>
        <w:spacing w:after="0" w:line="206" w:lineRule="exact"/>
        <w:rPr>
          <w:sz w:val="20"/>
          <w:szCs w:val="20"/>
          <w:color w:val="auto"/>
        </w:rPr>
      </w:pPr>
    </w:p>
    <w:p>
      <w:pPr>
        <w:jc w:val="both"/>
        <w:ind w:firstLine="763"/>
        <w:spacing w:after="0" w:line="244" w:lineRule="auto"/>
        <w:rPr>
          <w:sz w:val="20"/>
          <w:szCs w:val="20"/>
          <w:color w:val="auto"/>
        </w:rPr>
      </w:pPr>
      <w:r>
        <w:rPr>
          <w:rFonts w:ascii="Times New Roman" w:cs="Times New Roman" w:eastAsia="Times New Roman" w:hAnsi="Times New Roman"/>
          <w:sz w:val="20"/>
          <w:szCs w:val="20"/>
          <w:color w:val="auto"/>
        </w:rPr>
        <w:t>Each person covered by this Section 2 must refrain from trading, even after material information has been released to the public, for a period sufficient to permit thorough public dissemination and evaluation of the information. Generally, information will be considered public on the close of business of the first full trading day after such information is publicly disclosed by the Companies by issuing a press release through Business Wire (or release through another national wire service).</w:t>
      </w:r>
    </w:p>
    <w:p>
      <w:pPr>
        <w:spacing w:after="0" w:line="199" w:lineRule="exact"/>
        <w:rPr>
          <w:sz w:val="20"/>
          <w:szCs w:val="20"/>
          <w:color w:val="auto"/>
        </w:rPr>
      </w:pPr>
    </w:p>
    <w:p>
      <w:pPr>
        <w:jc w:val="both"/>
        <w:ind w:firstLine="763"/>
        <w:spacing w:after="0" w:line="237" w:lineRule="auto"/>
        <w:rPr>
          <w:sz w:val="20"/>
          <w:szCs w:val="20"/>
          <w:color w:val="auto"/>
        </w:rPr>
      </w:pPr>
      <w:r>
        <w:rPr>
          <w:rFonts w:ascii="Times New Roman" w:cs="Times New Roman" w:eastAsia="Times New Roman" w:hAnsi="Times New Roman"/>
          <w:sz w:val="20"/>
          <w:szCs w:val="20"/>
          <w:color w:val="auto"/>
        </w:rPr>
        <w:t>Information should be regarded as material if there is a likelihood that it would be considered important by an investor in making a decision regarding the purchase or sale of stock. Any information or important development that could reasonably affect the business or financial condition of an issuer or the market price of its securities should be considered material. However, there is no bright-line standard for assessing materiality; rather, materiality is based on an assessment of all of the facts and circumstances. Although it may be difficult to determine whether certain information is material, there are various categories of information that would be regarded as material in most circumstances. Examples of such information are:</w:t>
      </w:r>
    </w:p>
    <w:p>
      <w:pPr>
        <w:spacing w:after="0" w:line="217" w:lineRule="exact"/>
        <w:rPr>
          <w:sz w:val="20"/>
          <w:szCs w:val="20"/>
          <w:color w:val="auto"/>
        </w:rPr>
      </w:pPr>
    </w:p>
    <w:p>
      <w:pPr>
        <w:ind w:left="1300" w:hanging="563"/>
        <w:spacing w:after="0"/>
        <w:tabs>
          <w:tab w:leader="none" w:pos="130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results and projections of future earnings and losses;</w:t>
      </w:r>
    </w:p>
    <w:p>
      <w:pPr>
        <w:spacing w:after="0" w:line="8" w:lineRule="exact"/>
        <w:rPr>
          <w:rFonts w:ascii="Times New Roman" w:cs="Times New Roman" w:eastAsia="Times New Roman" w:hAnsi="Times New Roman"/>
          <w:sz w:val="20"/>
          <w:szCs w:val="20"/>
          <w:color w:val="auto"/>
        </w:rPr>
      </w:pPr>
    </w:p>
    <w:p>
      <w:pPr>
        <w:ind w:left="1300" w:hanging="563"/>
        <w:spacing w:after="0" w:line="225" w:lineRule="auto"/>
        <w:tabs>
          <w:tab w:leader="none" w:pos="130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 pricing changes or regulatory development in rate cases;</w:t>
      </w:r>
    </w:p>
    <w:p>
      <w:pPr>
        <w:ind w:left="1300" w:hanging="563"/>
        <w:spacing w:after="0"/>
        <w:tabs>
          <w:tab w:leader="none" w:pos="130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corporate partnering transactions or proposed acquisitions or divestitures;</w:t>
      </w:r>
    </w:p>
    <w:p>
      <w:pPr>
        <w:ind w:left="1300" w:hanging="563"/>
        <w:spacing w:after="0" w:line="225" w:lineRule="auto"/>
        <w:tabs>
          <w:tab w:leader="none" w:pos="130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Resignation or proposed departure of key personnel;</w:t>
      </w:r>
    </w:p>
    <w:p>
      <w:pPr>
        <w:ind w:left="1300" w:hanging="563"/>
        <w:spacing w:after="0"/>
        <w:tabs>
          <w:tab w:leader="none" w:pos="130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project or product announcements of a significant nature;</w:t>
      </w:r>
    </w:p>
    <w:p>
      <w:pPr>
        <w:ind w:left="1300" w:hanging="563"/>
        <w:spacing w:after="0" w:line="225" w:lineRule="auto"/>
        <w:tabs>
          <w:tab w:leader="none" w:pos="130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Proposed commencement or changes in dividends;</w:t>
      </w:r>
    </w:p>
    <w:p>
      <w:pPr>
        <w:ind w:left="1300" w:hanging="563"/>
        <w:spacing w:after="0"/>
        <w:tabs>
          <w:tab w:leader="none" w:pos="130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Planned stock splits;</w:t>
      </w:r>
    </w:p>
    <w:p>
      <w:pPr>
        <w:ind w:left="1300" w:hanging="563"/>
        <w:spacing w:after="0" w:line="225" w:lineRule="auto"/>
        <w:tabs>
          <w:tab w:leader="none" w:pos="130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equity or debt offerings;</w:t>
      </w:r>
    </w:p>
    <w:p>
      <w:pPr>
        <w:ind w:left="1300" w:hanging="563"/>
        <w:spacing w:after="0" w:line="225" w:lineRule="auto"/>
        <w:tabs>
          <w:tab w:leader="none" w:pos="130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drinking water violations;</w:t>
      </w:r>
    </w:p>
    <w:p>
      <w:pPr>
        <w:ind w:left="1300" w:hanging="563"/>
        <w:spacing w:after="0"/>
        <w:tabs>
          <w:tab w:leader="none" w:pos="130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actions by regulators;</w:t>
      </w:r>
    </w:p>
    <w:p>
      <w:pPr>
        <w:ind w:left="1300" w:hanging="563"/>
        <w:spacing w:after="0" w:line="225" w:lineRule="auto"/>
        <w:tabs>
          <w:tab w:leader="none" w:pos="130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operations, such as a significant interruption or curtailment at one of our production facilities;</w:t>
      </w:r>
    </w:p>
    <w:p>
      <w:pPr>
        <w:ind w:left="1300" w:hanging="563"/>
        <w:spacing w:after="0"/>
        <w:tabs>
          <w:tab w:leader="none" w:pos="130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cyber security incident;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3" w:right="339" w:bottom="1440" w:gutter="0" w:footer="0" w:header="0"/>
        </w:sectPr>
      </w:pPr>
    </w:p>
    <w:bookmarkStart w:id="153" w:name="page154"/>
    <w:bookmarkEnd w:id="153"/>
    <w:p>
      <w:pPr>
        <w:ind w:left="1300" w:hanging="563"/>
        <w:spacing w:after="0"/>
        <w:tabs>
          <w:tab w:leader="none" w:pos="130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litigation exposure; and</w:t>
      </w:r>
    </w:p>
    <w:p>
      <w:pPr>
        <w:spacing w:after="0" w:line="8" w:lineRule="exact"/>
        <w:rPr>
          <w:rFonts w:ascii="Times New Roman" w:cs="Times New Roman" w:eastAsia="Times New Roman" w:hAnsi="Times New Roman"/>
          <w:sz w:val="20"/>
          <w:szCs w:val="20"/>
          <w:color w:val="auto"/>
        </w:rPr>
      </w:pPr>
    </w:p>
    <w:p>
      <w:pPr>
        <w:ind w:left="1300" w:right="20" w:hanging="563"/>
        <w:spacing w:after="0" w:line="246" w:lineRule="auto"/>
        <w:tabs>
          <w:tab w:leader="none" w:pos="1288"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factors which would cause the Companies' financial results to be substantially different from previous public disclosure of financial guidance or estimates.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you have questions as to the materiality of information, please contact the Corporate Secretaries for clarification.</w:t>
      </w:r>
    </w:p>
    <w:p>
      <w:pPr>
        <w:spacing w:after="0" w:line="243" w:lineRule="exact"/>
        <w:rPr>
          <w:sz w:val="20"/>
          <w:szCs w:val="20"/>
          <w:color w:val="auto"/>
        </w:rPr>
      </w:pPr>
    </w:p>
    <w:p>
      <w:pPr>
        <w:ind w:left="1040" w:hanging="384"/>
        <w:spacing w:after="0"/>
        <w:tabs>
          <w:tab w:leader="none" w:pos="104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Limited Exceptions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prohibition on purchases and sales of securities of the Companies while aware of material, nonpublic information concerning the Companies does not apply to a transaction pursuant to a Trading Plan as defined under Section 3(C) below.</w:t>
      </w:r>
    </w:p>
    <w:p>
      <w:pPr>
        <w:spacing w:after="0" w:line="173" w:lineRule="exact"/>
        <w:rPr>
          <w:sz w:val="20"/>
          <w:szCs w:val="20"/>
          <w:color w:val="auto"/>
        </w:rPr>
      </w:pPr>
    </w:p>
    <w:p>
      <w:pPr>
        <w:ind w:left="1100" w:hanging="444"/>
        <w:spacing w:after="0"/>
        <w:tabs>
          <w:tab w:leader="none" w:pos="110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Applicability to the Company</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Purchases or sales of securities of the Company by the Company shall be made in compliance with applicable securities laws.</w:t>
      </w:r>
    </w:p>
    <w:p>
      <w:pPr>
        <w:spacing w:after="0" w:line="200" w:lineRule="exact"/>
        <w:rPr>
          <w:sz w:val="20"/>
          <w:szCs w:val="20"/>
          <w:color w:val="auto"/>
        </w:rPr>
      </w:pPr>
    </w:p>
    <w:p>
      <w:pPr>
        <w:spacing w:after="0" w:line="286" w:lineRule="exact"/>
        <w:rPr>
          <w:sz w:val="20"/>
          <w:szCs w:val="20"/>
          <w:color w:val="auto"/>
        </w:rPr>
      </w:pPr>
    </w:p>
    <w:p>
      <w:pPr>
        <w:ind w:left="660" w:hanging="328"/>
        <w:spacing w:after="0"/>
        <w:tabs>
          <w:tab w:leader="none" w:pos="66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PROHIBITION ON TRADING DURING BLACKOUT PERIODS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9"/>
          <w:szCs w:val="19"/>
          <w:u w:val="single" w:color="auto"/>
          <w:color w:val="auto"/>
        </w:rPr>
        <w:t>Applicability</w:t>
      </w:r>
      <w:r>
        <w:rPr>
          <w:rFonts w:ascii="Times New Roman" w:cs="Times New Roman" w:eastAsia="Times New Roman" w:hAnsi="Times New Roman"/>
          <w:sz w:val="19"/>
          <w:szCs w:val="19"/>
          <w:color w:val="auto"/>
        </w:rPr>
        <w:t>.</w:t>
      </w:r>
    </w:p>
    <w:p>
      <w:pPr>
        <w:spacing w:after="0" w:line="243" w:lineRule="exact"/>
        <w:rPr>
          <w:sz w:val="20"/>
          <w:szCs w:val="20"/>
          <w:color w:val="auto"/>
        </w:rPr>
      </w:pPr>
    </w:p>
    <w:p>
      <w:pPr>
        <w:ind w:right="360" w:firstLine="763"/>
        <w:spacing w:after="0" w:line="236" w:lineRule="auto"/>
        <w:rPr>
          <w:sz w:val="20"/>
          <w:szCs w:val="20"/>
          <w:color w:val="auto"/>
        </w:rPr>
      </w:pPr>
      <w:r>
        <w:rPr>
          <w:rFonts w:ascii="Times New Roman" w:cs="Times New Roman" w:eastAsia="Times New Roman" w:hAnsi="Times New Roman"/>
          <w:sz w:val="20"/>
          <w:szCs w:val="20"/>
          <w:color w:val="auto"/>
        </w:rPr>
        <w:t>This Section 3 applies to (a) all employees, officers and directors of the Companies, (b) all family members who share the same address as, or are financially dependent on, such persons, and</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(c) all corporations, partnerships, trusts or other entities owned or controlled by any of the persons listed above in (a) and (b).</w:t>
      </w:r>
    </w:p>
    <w:p>
      <w:pPr>
        <w:spacing w:after="0" w:line="221" w:lineRule="exact"/>
        <w:rPr>
          <w:sz w:val="20"/>
          <w:szCs w:val="20"/>
          <w:color w:val="auto"/>
        </w:rPr>
      </w:pPr>
    </w:p>
    <w:p>
      <w:pPr>
        <w:ind w:left="1300" w:hanging="644"/>
        <w:spacing w:after="0"/>
        <w:tabs>
          <w:tab w:leader="none" w:pos="130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Prohibition</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right="20" w:firstLine="763"/>
        <w:spacing w:after="0" w:line="269" w:lineRule="auto"/>
        <w:rPr>
          <w:sz w:val="20"/>
          <w:szCs w:val="20"/>
          <w:color w:val="auto"/>
        </w:rPr>
      </w:pPr>
      <w:r>
        <w:rPr>
          <w:rFonts w:ascii="Times New Roman" w:cs="Times New Roman" w:eastAsia="Times New Roman" w:hAnsi="Times New Roman"/>
          <w:sz w:val="20"/>
          <w:szCs w:val="20"/>
          <w:color w:val="auto"/>
        </w:rPr>
        <w:t>No person covered by this Section 3 may purchase or sell any securities of the Companies during the following time periods (each a “Blackout Period”):</w:t>
      </w:r>
    </w:p>
    <w:p>
      <w:pPr>
        <w:spacing w:after="0" w:line="173" w:lineRule="exact"/>
        <w:rPr>
          <w:sz w:val="20"/>
          <w:szCs w:val="20"/>
          <w:color w:val="auto"/>
        </w:rPr>
      </w:pPr>
    </w:p>
    <w:p>
      <w:pPr>
        <w:jc w:val="both"/>
        <w:ind w:left="1300" w:hanging="320"/>
        <w:spacing w:after="0" w:line="237" w:lineRule="auto"/>
        <w:tabs>
          <w:tab w:leader="none" w:pos="129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Beginning the last day of the third calendar month of each fiscal quarter until the close of business on the first full trading day </w:t>
      </w:r>
      <w:r>
        <w:rPr>
          <w:rFonts w:ascii="Times New Roman" w:cs="Times New Roman" w:eastAsia="Times New Roman" w:hAnsi="Times New Roman"/>
          <w:sz w:val="20"/>
          <w:szCs w:val="20"/>
          <w:i w:val="1"/>
          <w:iCs w:val="1"/>
          <w:color w:val="auto"/>
        </w:rPr>
        <w:t>after</w:t>
      </w:r>
      <w:r>
        <w:rPr>
          <w:rFonts w:ascii="Times New Roman" w:cs="Times New Roman" w:eastAsia="Times New Roman" w:hAnsi="Times New Roman"/>
          <w:sz w:val="20"/>
          <w:szCs w:val="20"/>
          <w:color w:val="auto"/>
        </w:rPr>
        <w:t xml:space="preserve"> the financial results of SJW Group's operations for such quarter are publicly announced. As an example, the blackout period for the first fiscal quarter begins March 31. It prohibits transactions in the securities of the Companies that day and continuing until after the market has had one full business day to review the financial results whenever those results have been released by SJW Group. If SJW Group announces the financial results on Friday, trading cannot resume until Tuesday morning.</w:t>
      </w:r>
    </w:p>
    <w:p>
      <w:pPr>
        <w:spacing w:after="0" w:line="216" w:lineRule="exact"/>
        <w:rPr>
          <w:rFonts w:ascii="Times New Roman" w:cs="Times New Roman" w:eastAsia="Times New Roman" w:hAnsi="Times New Roman"/>
          <w:sz w:val="20"/>
          <w:szCs w:val="20"/>
          <w:color w:val="auto"/>
        </w:rPr>
      </w:pPr>
    </w:p>
    <w:p>
      <w:pPr>
        <w:jc w:val="both"/>
        <w:ind w:left="1300" w:hanging="320"/>
        <w:spacing w:after="0" w:line="247" w:lineRule="auto"/>
        <w:tabs>
          <w:tab w:leader="none" w:pos="1288"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such other periods as may be established from time to time by the Board of Directors, the Chief Executive Officer, the Chief Financial Officer or the Corporate Secretaries of SJW Group in light of particular events or developments affecting the Companies.</w:t>
      </w:r>
    </w:p>
    <w:p>
      <w:pPr>
        <w:spacing w:after="0" w:line="194" w:lineRule="exact"/>
        <w:rPr>
          <w:rFonts w:ascii="Times New Roman" w:cs="Times New Roman" w:eastAsia="Times New Roman" w:hAnsi="Times New Roman"/>
          <w:sz w:val="20"/>
          <w:szCs w:val="20"/>
          <w:color w:val="auto"/>
        </w:rPr>
      </w:pPr>
    </w:p>
    <w:p>
      <w:pPr>
        <w:ind w:left="1300" w:right="160" w:hanging="320"/>
        <w:spacing w:after="0" w:line="281" w:lineRule="auto"/>
        <w:tabs>
          <w:tab w:leader="none" w:pos="1290"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employee, director or officer who has terminated their services during any Blackout Period shall continue to be subject to such Blackout Period until its expiration. See also Section 8 below regarding post-termination application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3" w:right="339" w:bottom="1440" w:gutter="0" w:footer="0" w:header="0"/>
        </w:sectPr>
      </w:pPr>
    </w:p>
    <w:bookmarkStart w:id="154" w:name="page155"/>
    <w:bookmarkEnd w:id="154"/>
    <w:p>
      <w:pPr>
        <w:ind w:left="640" w:hanging="308"/>
        <w:spacing w:after="0"/>
        <w:tabs>
          <w:tab w:leader="none" w:pos="64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Limited Exceptions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737"/>
        <w:spacing w:after="0" w:line="247" w:lineRule="auto"/>
        <w:rPr>
          <w:sz w:val="20"/>
          <w:szCs w:val="20"/>
          <w:color w:val="auto"/>
        </w:rPr>
      </w:pPr>
      <w:r>
        <w:rPr>
          <w:rFonts w:ascii="Times New Roman" w:cs="Times New Roman" w:eastAsia="Times New Roman" w:hAnsi="Times New Roman"/>
          <w:sz w:val="20"/>
          <w:szCs w:val="20"/>
          <w:color w:val="auto"/>
        </w:rPr>
        <w:t>There are no exceptions to this Policy, except as specifically noted herein. The securities laws do not recognize any mitigating circumstances, and, in any event, even the appearance of an improper transaction must be avoided to preserve the Companies’ reputation for adhering to the highest standards of conduct.</w:t>
      </w:r>
    </w:p>
    <w:p>
      <w:pPr>
        <w:spacing w:after="0" w:line="20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 xml:space="preserve">The prohibitions on purchases or sales of securities of the Companies during Blackout Periods </w:t>
      </w:r>
      <w:r>
        <w:rPr>
          <w:rFonts w:ascii="Times New Roman" w:cs="Times New Roman" w:eastAsia="Times New Roman" w:hAnsi="Times New Roman"/>
          <w:sz w:val="20"/>
          <w:szCs w:val="20"/>
          <w:u w:val="single" w:color="auto"/>
          <w:color w:val="auto"/>
        </w:rPr>
        <w:t>do not apply to</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hanging="320"/>
        <w:spacing w:after="0" w:line="269" w:lineRule="auto"/>
        <w:tabs>
          <w:tab w:leader="none" w:pos="129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Purchases made under an employee stock purchase plan operated by SJW Group;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securities so acquired may not be sold during a Blackout Period;</w:t>
      </w:r>
    </w:p>
    <w:p>
      <w:pPr>
        <w:spacing w:after="0" w:line="172" w:lineRule="exact"/>
        <w:rPr>
          <w:rFonts w:ascii="Times New Roman" w:cs="Times New Roman" w:eastAsia="Times New Roman" w:hAnsi="Times New Roman"/>
          <w:sz w:val="20"/>
          <w:szCs w:val="20"/>
          <w:color w:val="auto"/>
        </w:rPr>
      </w:pPr>
    </w:p>
    <w:p>
      <w:pPr>
        <w:ind w:left="1300" w:hanging="320"/>
        <w:spacing w:after="0" w:line="255" w:lineRule="auto"/>
        <w:tabs>
          <w:tab w:leader="none" w:pos="1288"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Exercises of stock options;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securities so acquired may not be sold (either outright or in connection with a “cashless” exercise transaction through a broker) during a Blackout Period;</w:t>
      </w:r>
    </w:p>
    <w:p>
      <w:pPr>
        <w:spacing w:after="0" w:line="199"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transaction specifically approved in advance by the Corporate Secretaries;</w:t>
      </w:r>
    </w:p>
    <w:p>
      <w:pPr>
        <w:spacing w:after="0" w:line="229" w:lineRule="exact"/>
        <w:rPr>
          <w:rFonts w:ascii="Times New Roman" w:cs="Times New Roman" w:eastAsia="Times New Roman" w:hAnsi="Times New Roman"/>
          <w:sz w:val="20"/>
          <w:szCs w:val="20"/>
          <w:color w:val="auto"/>
        </w:rPr>
      </w:pPr>
    </w:p>
    <w:p>
      <w:pPr>
        <w:jc w:val="both"/>
        <w:ind w:left="1300" w:hanging="320"/>
        <w:spacing w:after="0" w:line="239" w:lineRule="auto"/>
        <w:tabs>
          <w:tab w:leader="none" w:pos="1288"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surrender of shares by stockholders to SJW Group to satisfy tax withholding obligations as a result of the issuance of shares upon vesting of restricted stock units or other equity awards granted under the equity incentive plans of SJW Group. Note that this exception </w:t>
      </w:r>
      <w:r>
        <w:rPr>
          <w:rFonts w:ascii="Times New Roman" w:cs="Times New Roman" w:eastAsia="Times New Roman" w:hAnsi="Times New Roman"/>
          <w:sz w:val="20"/>
          <w:szCs w:val="20"/>
          <w:i w:val="1"/>
          <w:iCs w:val="1"/>
          <w:color w:val="auto"/>
        </w:rPr>
        <w:t>does not</w:t>
      </w:r>
      <w:r>
        <w:rPr>
          <w:rFonts w:ascii="Times New Roman" w:cs="Times New Roman" w:eastAsia="Times New Roman" w:hAnsi="Times New Roman"/>
          <w:sz w:val="20"/>
          <w:szCs w:val="20"/>
          <w:color w:val="auto"/>
        </w:rPr>
        <w:t xml:space="preserve"> include a subsequent sale of the shares by the stockholders acquired upon vesting of restricted stock units granted under such plans; and</w:t>
      </w:r>
    </w:p>
    <w:p>
      <w:pPr>
        <w:spacing w:after="0" w:line="217" w:lineRule="exact"/>
        <w:rPr>
          <w:rFonts w:ascii="Times New Roman" w:cs="Times New Roman" w:eastAsia="Times New Roman" w:hAnsi="Times New Roman"/>
          <w:sz w:val="20"/>
          <w:szCs w:val="20"/>
          <w:color w:val="auto"/>
        </w:rPr>
      </w:pPr>
    </w:p>
    <w:p>
      <w:pPr>
        <w:jc w:val="both"/>
        <w:ind w:left="1300" w:hanging="320"/>
        <w:spacing w:after="0" w:line="237" w:lineRule="auto"/>
        <w:tabs>
          <w:tab w:leader="none" w:pos="129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Purchases or sales made pursuant to a binding contract, written plan or specific instruction (a “Trading Plan”) which is adopted and operated in compliance with Rule 10b5-1 under the Exchange Act;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such Trading Plan or any material amendment to such Trading Plan: (1) is in writing, (2) was submitted to the Corporate Secretaries of SJW Group for review and clearance prior to its adoption, (3) was not adopted during a Blackout Period or while aware of any material nonpublic information concerning the Companies, and (4) complies fully with the provisions of this Policy and applicable rules and regulations of the SEC.</w:t>
      </w:r>
    </w:p>
    <w:p>
      <w:pPr>
        <w:spacing w:after="0" w:line="203" w:lineRule="exact"/>
        <w:rPr>
          <w:rFonts w:ascii="Times New Roman" w:cs="Times New Roman" w:eastAsia="Times New Roman" w:hAnsi="Times New Roman"/>
          <w:sz w:val="20"/>
          <w:szCs w:val="20"/>
          <w:color w:val="auto"/>
        </w:rPr>
      </w:pPr>
    </w:p>
    <w:p>
      <w:pPr>
        <w:jc w:val="both"/>
        <w:ind w:left="1300"/>
        <w:spacing w:after="0" w:line="248"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Please note that SEC regulations, and this Policy, require that a person entering into a Trading Plan must enter into the plan in good faith and not as part of a plan or scheme to evade the insider trading rules. For example, a person’s decision to terminate or amend a Trading Plan while the person is aware of material non-public information may indicate the absence of good faith or presence of a scheme to evade. In addition to constituting a violation of this Policy, such an absence of good faith or presence of a scheme to evade would eliminate the Trading Plan exception for prior transactions under the Trading Plan, which could cause those transactions to violate insider trading laws. Under certain circumstances, a Trading Plan must be terminated. This includes circumstances such as the announcement of a merger or the occurrence of an event that would cause the transaction either to violate the law or to have an adverse effect on the Companies. The Corporate Secretaries are authorized to notify the broker in such circumstances, thereby insulating the insider in the event of termination. Amendments to plans call into question as to whether the Trading Plan was initially executed in good faith and increase the risk of a loss of affirmative defense afforded under Rule 10b5-1. Accordingly, any amendment of Trading Plan will not be permitted unless it has been pre-cleared by the Corporate Secretaries. Furthermore, please note that an amendment of a Trading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13" w:right="339" w:bottom="1440" w:gutter="0" w:footer="0" w:header="0"/>
        </w:sectPr>
      </w:pPr>
    </w:p>
    <w:bookmarkStart w:id="155" w:name="page156"/>
    <w:bookmarkEnd w:id="155"/>
    <w:p>
      <w:pPr>
        <w:ind w:left="1300"/>
        <w:spacing w:after="0" w:line="255" w:lineRule="auto"/>
        <w:rPr>
          <w:sz w:val="20"/>
          <w:szCs w:val="20"/>
          <w:color w:val="auto"/>
        </w:rPr>
      </w:pPr>
      <w:r>
        <w:rPr>
          <w:rFonts w:ascii="Times New Roman" w:cs="Times New Roman" w:eastAsia="Times New Roman" w:hAnsi="Times New Roman"/>
          <w:sz w:val="20"/>
          <w:szCs w:val="20"/>
          <w:color w:val="auto"/>
        </w:rPr>
        <w:t>may require the reinstatement of a new cooling-off periods as required under SEC rules. Any Trading Plan must be delivered promptly to the Corporate Secretaries.</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In addition, the following guidelines shall apply to Trading Plans:</w:t>
      </w:r>
    </w:p>
    <w:p>
      <w:pPr>
        <w:spacing w:after="0" w:line="229" w:lineRule="exact"/>
        <w:rPr>
          <w:sz w:val="20"/>
          <w:szCs w:val="20"/>
          <w:color w:val="auto"/>
        </w:rPr>
      </w:pPr>
    </w:p>
    <w:p>
      <w:pPr>
        <w:ind w:left="1960" w:hanging="518"/>
        <w:spacing w:after="0"/>
        <w:tabs>
          <w:tab w:leader="none" w:pos="196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Trading Plans must have a duration of at least six months and no more than two years.</w:t>
      </w:r>
    </w:p>
    <w:p>
      <w:pPr>
        <w:spacing w:after="0" w:line="242" w:lineRule="exact"/>
        <w:rPr>
          <w:rFonts w:ascii="Times New Roman" w:cs="Times New Roman" w:eastAsia="Times New Roman" w:hAnsi="Times New Roman"/>
          <w:sz w:val="20"/>
          <w:szCs w:val="20"/>
          <w:color w:val="auto"/>
        </w:rPr>
      </w:pPr>
    </w:p>
    <w:p>
      <w:pPr>
        <w:jc w:val="both"/>
        <w:ind w:left="1960" w:hanging="574"/>
        <w:spacing w:after="0" w:line="251" w:lineRule="auto"/>
        <w:tabs>
          <w:tab w:leader="none" w:pos="1960"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executive officers and directors, no transaction may take place under a Trading Plan until the later of (a) 90 days after adoption or modification (as specified in Rule 10b5-1) of the Trading Plan or (b) two business days following the disclosure of the Company’s financial results in a Form 10-Q or Form 10-K for the fiscal quarter (the Company’s fourth fiscal quarter in the case of a Form 10-K) in which the Trading Plan was adopted or modified (as specified in Rule 10b5-1). In any event, the cooling-off period is subject to a maximum of 120 days after adoption of the plan.</w:t>
      </w:r>
    </w:p>
    <w:p>
      <w:pPr>
        <w:spacing w:after="0" w:line="207" w:lineRule="exact"/>
        <w:rPr>
          <w:rFonts w:ascii="Times New Roman" w:cs="Times New Roman" w:eastAsia="Times New Roman" w:hAnsi="Times New Roman"/>
          <w:sz w:val="19"/>
          <w:szCs w:val="19"/>
          <w:color w:val="auto"/>
        </w:rPr>
      </w:pPr>
    </w:p>
    <w:p>
      <w:pPr>
        <w:ind w:left="1960" w:right="20" w:hanging="628"/>
        <w:spacing w:after="0" w:line="255" w:lineRule="auto"/>
        <w:tabs>
          <w:tab w:leader="none" w:pos="196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persons other than executive officers and directors, no transaction may take place under a Trading Plan until 30 days following the adoption or modification (as specified in Rule 10b5-1) of a Trading Plan.</w:t>
      </w:r>
    </w:p>
    <w:p>
      <w:pPr>
        <w:spacing w:after="0" w:line="199" w:lineRule="exact"/>
        <w:rPr>
          <w:rFonts w:ascii="Times New Roman" w:cs="Times New Roman" w:eastAsia="Times New Roman" w:hAnsi="Times New Roman"/>
          <w:sz w:val="20"/>
          <w:szCs w:val="20"/>
          <w:color w:val="auto"/>
        </w:rPr>
      </w:pPr>
    </w:p>
    <w:p>
      <w:pPr>
        <w:jc w:val="both"/>
        <w:ind w:left="1960" w:hanging="618"/>
        <w:spacing w:after="0"/>
        <w:tabs>
          <w:tab w:leader="none" w:pos="196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certain limited exceptions specified in Rule 10b5-1, you are limited to only one Trading Plan designed to effect an open market purchase or sale of the total amount of securities subject to the Trading Plan as a single transaction in any 12-month period.</w:t>
      </w:r>
    </w:p>
    <w:p>
      <w:pPr>
        <w:spacing w:after="0" w:line="214" w:lineRule="exact"/>
        <w:rPr>
          <w:rFonts w:ascii="Times New Roman" w:cs="Times New Roman" w:eastAsia="Times New Roman" w:hAnsi="Times New Roman"/>
          <w:sz w:val="20"/>
          <w:szCs w:val="20"/>
          <w:color w:val="auto"/>
        </w:rPr>
      </w:pPr>
    </w:p>
    <w:p>
      <w:pPr>
        <w:jc w:val="both"/>
        <w:ind w:left="1960" w:hanging="563"/>
        <w:spacing w:after="0" w:line="239" w:lineRule="auto"/>
        <w:tabs>
          <w:tab w:leader="none" w:pos="196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officers and directors must include a representation to the Company at the time of adoption or modification of Trading Plan that (i) the person is not aware of material nonpublic information about the Companies or its securities and (ii) the person is adopting the plan in good faith and not as part of plan or scheme to evade the prohibitions of Rule 10b-5.</w:t>
      </w:r>
    </w:p>
    <w:p>
      <w:pPr>
        <w:spacing w:after="0" w:line="218" w:lineRule="exact"/>
        <w:rPr>
          <w:sz w:val="20"/>
          <w:szCs w:val="20"/>
          <w:color w:val="auto"/>
        </w:rPr>
      </w:pPr>
    </w:p>
    <w:p>
      <w:pPr>
        <w:jc w:val="both"/>
        <w:ind w:left="1380"/>
        <w:spacing w:after="0" w:line="239" w:lineRule="auto"/>
        <w:rPr>
          <w:sz w:val="20"/>
          <w:szCs w:val="20"/>
          <w:color w:val="auto"/>
        </w:rPr>
      </w:pPr>
      <w:r>
        <w:rPr>
          <w:rFonts w:ascii="Times New Roman" w:cs="Times New Roman" w:eastAsia="Times New Roman" w:hAnsi="Times New Roman"/>
          <w:sz w:val="20"/>
          <w:szCs w:val="20"/>
          <w:color w:val="auto"/>
        </w:rPr>
        <w:t>The Company and its executive officers and directors must make certain disclosures in SEC filings concerning Trading Plans. Executive officers and directors of the Company must undertake to provide any information requested by the Company regarding Trading Plans for the purpose of providing the required disclosures or any other disclosures that the Company deems to be appropriate under the circumstances.</w:t>
      </w:r>
    </w:p>
    <w:p>
      <w:pPr>
        <w:spacing w:after="0" w:line="204" w:lineRule="exact"/>
        <w:rPr>
          <w:sz w:val="20"/>
          <w:szCs w:val="20"/>
          <w:color w:val="auto"/>
        </w:rPr>
      </w:pPr>
    </w:p>
    <w:p>
      <w:pPr>
        <w:jc w:val="both"/>
        <w:ind w:left="1380"/>
        <w:spacing w:after="0" w:line="239" w:lineRule="auto"/>
        <w:rPr>
          <w:sz w:val="20"/>
          <w:szCs w:val="20"/>
          <w:color w:val="auto"/>
        </w:rPr>
      </w:pPr>
      <w:r>
        <w:rPr>
          <w:rFonts w:ascii="Times New Roman" w:cs="Times New Roman" w:eastAsia="Times New Roman" w:hAnsi="Times New Roman"/>
          <w:sz w:val="20"/>
          <w:szCs w:val="20"/>
          <w:color w:val="auto"/>
        </w:rPr>
        <w:t>Each director, executive officer, and officer designated for purposes of Section 16 of the Exchange Act (collectively, the “Covered Directors and Officers”) understands that the approval or adoption of a pre-planned selling program in no way reduces or eliminates such person’s obligations under Section 16 of the Exchange Act, including such person’s disclosure and short-swing trading liabilities thereunder. If any questions arise, such person should consult with their own counsel in implementing a Trading Plan.</w:t>
      </w:r>
    </w:p>
    <w:p>
      <w:pPr>
        <w:spacing w:after="0" w:line="205" w:lineRule="exact"/>
        <w:rPr>
          <w:sz w:val="20"/>
          <w:szCs w:val="20"/>
          <w:color w:val="auto"/>
        </w:rPr>
      </w:pPr>
    </w:p>
    <w:p>
      <w:pPr>
        <w:ind w:left="660" w:hanging="328"/>
        <w:spacing w:after="0"/>
        <w:tabs>
          <w:tab w:leader="none" w:pos="66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SECURITIES TRANSACTIONS</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ind w:left="1300" w:hanging="644"/>
        <w:spacing w:after="0"/>
        <w:tabs>
          <w:tab w:leader="none" w:pos="130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Applicability</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firstLine="763"/>
        <w:spacing w:after="0" w:line="269" w:lineRule="auto"/>
        <w:rPr>
          <w:sz w:val="20"/>
          <w:szCs w:val="20"/>
          <w:color w:val="auto"/>
        </w:rPr>
      </w:pPr>
      <w:r>
        <w:rPr>
          <w:rFonts w:ascii="Times New Roman" w:cs="Times New Roman" w:eastAsia="Times New Roman" w:hAnsi="Times New Roman"/>
          <w:sz w:val="20"/>
          <w:szCs w:val="20"/>
          <w:color w:val="auto"/>
        </w:rPr>
        <w:t>This Section 4 applies to (a) all employees who have access to material information regarding the Companies, and all officers and directors of the Companies, (b) all family members who share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13" w:right="339" w:bottom="1440" w:gutter="0" w:footer="0" w:header="0"/>
        </w:sectPr>
      </w:pPr>
    </w:p>
    <w:bookmarkStart w:id="156" w:name="page157"/>
    <w:bookmarkEnd w:id="156"/>
    <w:p>
      <w:pPr>
        <w:spacing w:after="0" w:line="255" w:lineRule="auto"/>
        <w:rPr>
          <w:sz w:val="20"/>
          <w:szCs w:val="20"/>
          <w:color w:val="auto"/>
        </w:rPr>
      </w:pPr>
      <w:r>
        <w:rPr>
          <w:rFonts w:ascii="Times New Roman" w:cs="Times New Roman" w:eastAsia="Times New Roman" w:hAnsi="Times New Roman"/>
          <w:sz w:val="20"/>
          <w:szCs w:val="20"/>
          <w:color w:val="auto"/>
        </w:rPr>
        <w:t>same address as, or are financially dependent on, such persons, and (c) all corporations, partnerships, trusts or other entities owned or controlled by any of the persons listed above in (a) and (b).</w:t>
      </w:r>
    </w:p>
    <w:p>
      <w:pPr>
        <w:spacing w:after="0" w:line="200" w:lineRule="exact"/>
        <w:rPr>
          <w:sz w:val="20"/>
          <w:szCs w:val="20"/>
          <w:color w:val="auto"/>
        </w:rPr>
      </w:pPr>
    </w:p>
    <w:p>
      <w:pPr>
        <w:ind w:left="1300" w:hanging="644"/>
        <w:spacing w:after="0"/>
        <w:tabs>
          <w:tab w:leader="none" w:pos="130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Procedural Requirements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right="100" w:firstLine="763"/>
        <w:spacing w:after="0" w:line="269" w:lineRule="auto"/>
        <w:rPr>
          <w:sz w:val="20"/>
          <w:szCs w:val="20"/>
          <w:color w:val="auto"/>
        </w:rPr>
      </w:pPr>
      <w:r>
        <w:rPr>
          <w:rFonts w:ascii="Times New Roman" w:cs="Times New Roman" w:eastAsia="Times New Roman" w:hAnsi="Times New Roman"/>
          <w:sz w:val="20"/>
          <w:szCs w:val="20"/>
          <w:color w:val="auto"/>
        </w:rPr>
        <w:t>The following procedures must be followed by the persons covered by this Section 4 (the “Restricted Persons”) with respect to any purchase, sale or other transfer of SJW stock:</w:t>
      </w:r>
    </w:p>
    <w:p>
      <w:pPr>
        <w:spacing w:after="0" w:line="173" w:lineRule="exact"/>
        <w:rPr>
          <w:sz w:val="20"/>
          <w:szCs w:val="20"/>
          <w:color w:val="auto"/>
        </w:rPr>
      </w:pPr>
    </w:p>
    <w:p>
      <w:pPr>
        <w:jc w:val="both"/>
        <w:ind w:left="1300" w:hanging="320"/>
        <w:spacing w:after="0" w:line="239" w:lineRule="auto"/>
        <w:tabs>
          <w:tab w:leader="none" w:pos="129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persons must inform the Corporate Secretaries whenever they intend to execute a purchase, sale or other transfer of SJW securities, including the placing of limit orders. There may be times when there exists a corporate basis for requesting that Restricted Persons refrain from trading in the securities of the Companies even though such trading would otherwise be permissible. In order to comply with this restriction, all purchases, sales and other transfers of securities of the Companies by Restricted Persons shall be cleared in writing beforehand with the Corporate Secretaries.</w:t>
      </w:r>
    </w:p>
    <w:p>
      <w:pPr>
        <w:spacing w:after="0" w:line="204" w:lineRule="exact"/>
        <w:rPr>
          <w:rFonts w:ascii="Times New Roman" w:cs="Times New Roman" w:eastAsia="Times New Roman" w:hAnsi="Times New Roman"/>
          <w:sz w:val="20"/>
          <w:szCs w:val="20"/>
          <w:color w:val="auto"/>
        </w:rPr>
      </w:pPr>
    </w:p>
    <w:p>
      <w:pPr>
        <w:jc w:val="both"/>
        <w:ind w:left="1300" w:hanging="320"/>
        <w:spacing w:after="0" w:line="239" w:lineRule="auto"/>
        <w:tabs>
          <w:tab w:leader="none" w:pos="1288"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purchase, sale or other transfer of securities of the Companies, the Restricted Persons will be responsible for verifying that SJW Group has not imposed any restrictions on their ability to engage in trades. If the individual has not completed the transfer within five (5) business days of notification of the intention to transfer, then the individual must reconfirm with the Corporate Secretaries that they intend to execute a transfer and the individual must reverify the nonexistence of any restrictions on such transfer.</w:t>
      </w:r>
    </w:p>
    <w:p>
      <w:pPr>
        <w:spacing w:after="0" w:line="204" w:lineRule="exact"/>
        <w:rPr>
          <w:rFonts w:ascii="Times New Roman" w:cs="Times New Roman" w:eastAsia="Times New Roman" w:hAnsi="Times New Roman"/>
          <w:sz w:val="20"/>
          <w:szCs w:val="20"/>
          <w:color w:val="auto"/>
        </w:rPr>
      </w:pPr>
    </w:p>
    <w:p>
      <w:pPr>
        <w:jc w:val="both"/>
        <w:ind w:left="1300" w:hanging="320"/>
        <w:spacing w:after="0" w:line="236" w:lineRule="auto"/>
        <w:tabs>
          <w:tab w:leader="none" w:pos="129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Restricted Persons must also notify the Corporate Secretaries of the occurrence of any purchase, sale or other acquisition or disposition or transfer of securities of the Companies as soon as possible following the transaction, but in any event within one business day after the transaction. This notification, which must be in writing or via e-mail, should describe the type of transaction that occurred (an open market purchase, a privately negotiated sale, gift or family related transfers, an option exercise, etc.), the date of the transaction, the number of shares covered by the transaction, the purchase or sale price (if applicable), and identify who effected the transaction. For purposes of this Section 4, a purchase, sale or other acquisition or disposition or transfer shall be deemed to occur at the time the person becomes irrevocably committed to it. In the case of an open market purchase or sale, this occurs when the trade is executed (not when it settles).</w:t>
      </w:r>
    </w:p>
    <w:p>
      <w:pPr>
        <w:spacing w:after="0" w:line="216" w:lineRule="exact"/>
        <w:rPr>
          <w:sz w:val="20"/>
          <w:szCs w:val="20"/>
          <w:color w:val="auto"/>
        </w:rPr>
      </w:pPr>
    </w:p>
    <w:p>
      <w:pPr>
        <w:ind w:left="660" w:hanging="328"/>
        <w:spacing w:after="0"/>
        <w:tabs>
          <w:tab w:leader="none" w:pos="66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PROHIBITIONS ON TRADING ACTIVITIES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9"/>
          <w:szCs w:val="19"/>
          <w:u w:val="single" w:color="auto"/>
          <w:color w:val="auto"/>
        </w:rPr>
        <w:t>Applicability</w:t>
      </w:r>
      <w:r>
        <w:rPr>
          <w:rFonts w:ascii="Times New Roman" w:cs="Times New Roman" w:eastAsia="Times New Roman" w:hAnsi="Times New Roman"/>
          <w:sz w:val="19"/>
          <w:szCs w:val="19"/>
          <w:color w:val="auto"/>
        </w:rPr>
        <w:t>.</w:t>
      </w:r>
    </w:p>
    <w:p>
      <w:pPr>
        <w:spacing w:after="0" w:line="243" w:lineRule="exact"/>
        <w:rPr>
          <w:sz w:val="20"/>
          <w:szCs w:val="20"/>
          <w:color w:val="auto"/>
        </w:rPr>
      </w:pPr>
    </w:p>
    <w:p>
      <w:pPr>
        <w:jc w:val="both"/>
        <w:ind w:firstLine="763"/>
        <w:spacing w:after="0" w:line="237" w:lineRule="auto"/>
        <w:rPr>
          <w:sz w:val="20"/>
          <w:szCs w:val="20"/>
          <w:color w:val="auto"/>
        </w:rPr>
      </w:pPr>
      <w:r>
        <w:rPr>
          <w:rFonts w:ascii="Times New Roman" w:cs="Times New Roman" w:eastAsia="Times New Roman" w:hAnsi="Times New Roman"/>
          <w:sz w:val="20"/>
          <w:szCs w:val="20"/>
          <w:color w:val="auto"/>
        </w:rPr>
        <w:t>This Section 5 applies to: (a) all employees designated from time to time by the Board of Directors, Chief Executive Officer, Chief Financial Officer or Corporate Secretaries of SJW Group as being subject to this Section 5, (b) all directors of the Companies; (c) all officers of SJW Group;</w:t>
      </w:r>
    </w:p>
    <w:p>
      <w:pPr>
        <w:spacing w:after="0" w:line="2" w:lineRule="exact"/>
        <w:rPr>
          <w:sz w:val="20"/>
          <w:szCs w:val="20"/>
          <w:color w:val="auto"/>
        </w:rPr>
      </w:pPr>
    </w:p>
    <w:p>
      <w:pPr>
        <w:jc w:val="both"/>
        <w:ind w:firstLine="98"/>
        <w:spacing w:after="0" w:line="237" w:lineRule="auto"/>
        <w:tabs>
          <w:tab w:leader="none" w:pos="375"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family members of the persons covered by subpart (b) and (c) above who share the same address as, or are financially dependent on, the directors of the Companies and officers of SJW Group; and (e) all corporations, partnerships, trusts or other entities owned or controlled by any of the above persons.</w:t>
      </w:r>
    </w:p>
    <w:p>
      <w:pPr>
        <w:spacing w:after="0" w:line="20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Prohibitions</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No person covered by this Section 5 may engage in any of the following types of transactions:</w:t>
      </w:r>
    </w:p>
    <w:p>
      <w:pPr>
        <w:spacing w:after="0" w:line="229" w:lineRule="exact"/>
        <w:rPr>
          <w:sz w:val="20"/>
          <w:szCs w:val="20"/>
          <w:color w:val="auto"/>
        </w:rPr>
      </w:pPr>
    </w:p>
    <w:p>
      <w:pPr>
        <w:ind w:left="1300" w:hanging="482"/>
        <w:spacing w:after="0"/>
        <w:tabs>
          <w:tab w:leader="none" w:pos="130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 sales of securities of the Companies, including short sales “against the box”;</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70" w:lineRule="exact"/>
        <w:rPr>
          <w:rFonts w:ascii="Times New Roman" w:cs="Times New Roman" w:eastAsia="Times New Roman" w:hAnsi="Times New Roman"/>
          <w:sz w:val="20"/>
          <w:szCs w:val="20"/>
          <w:color w:val="auto"/>
        </w:rPr>
      </w:pPr>
    </w:p>
    <w:p>
      <w:pPr>
        <w:ind w:left="55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13" w:right="339" w:bottom="1440" w:gutter="0" w:footer="0" w:header="0"/>
        </w:sectPr>
      </w:pPr>
    </w:p>
    <w:bookmarkStart w:id="157" w:name="page158"/>
    <w:bookmarkEnd w:id="157"/>
    <w:p>
      <w:pPr>
        <w:spacing w:after="0" w:line="216" w:lineRule="exact"/>
        <w:rPr>
          <w:sz w:val="20"/>
          <w:szCs w:val="20"/>
          <w:color w:val="auto"/>
        </w:rPr>
      </w:pPr>
    </w:p>
    <w:p>
      <w:pPr>
        <w:jc w:val="both"/>
        <w:ind w:left="1300" w:hanging="482"/>
        <w:spacing w:after="0" w:line="236" w:lineRule="auto"/>
        <w:tabs>
          <w:tab w:leader="none" w:pos="1288"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Hedging or monetization transactions and purchases or sales of puts or calls for speculative purposes. Hedging or monetization transactions can be accomplished through a number of possible mechanisms, including through the use of financial instruments such as prepaid variable forward agreements, equity swaps, collars and exchange funds. These hedging and monetization transactions allow an owner of securities to lock in much of the value of their stock holdings, often in exchange for all or part of the potential for upside appreciation in the stock. These transactions allow the owner to continue to own the covered securities, but without the full risks and rewards of ownership. When that occurs, the interests of the owners and the interests of the Companies and their stockholders may be misaligned and may signal a message to the trading market that may not be in the best interests of the Companies and their stockholders at the time it is conveyed;</w:t>
      </w:r>
    </w:p>
    <w:p>
      <w:pPr>
        <w:spacing w:after="0" w:line="202" w:lineRule="exact"/>
        <w:rPr>
          <w:rFonts w:ascii="Times New Roman" w:cs="Times New Roman" w:eastAsia="Times New Roman" w:hAnsi="Times New Roman"/>
          <w:sz w:val="20"/>
          <w:szCs w:val="20"/>
          <w:color w:val="auto"/>
        </w:rPr>
      </w:pPr>
    </w:p>
    <w:p>
      <w:pPr>
        <w:ind w:left="1300" w:hanging="482"/>
        <w:spacing w:after="0"/>
        <w:tabs>
          <w:tab w:leader="none" w:pos="130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 of securities of the Companies or holding securities of the Companies in margin accounts; or</w:t>
      </w:r>
    </w:p>
    <w:p>
      <w:pPr>
        <w:spacing w:after="0" w:line="242" w:lineRule="exact"/>
        <w:rPr>
          <w:rFonts w:ascii="Times New Roman" w:cs="Times New Roman" w:eastAsia="Times New Roman" w:hAnsi="Times New Roman"/>
          <w:sz w:val="20"/>
          <w:szCs w:val="20"/>
          <w:color w:val="auto"/>
        </w:rPr>
      </w:pPr>
    </w:p>
    <w:p>
      <w:pPr>
        <w:ind w:left="1300" w:hanging="482"/>
        <w:spacing w:after="0"/>
        <w:tabs>
          <w:tab w:leader="none" w:pos="130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in transactions of a speculative nature at any time.</w:t>
      </w:r>
    </w:p>
    <w:p>
      <w:pPr>
        <w:spacing w:after="0" w:line="229" w:lineRule="exact"/>
        <w:rPr>
          <w:sz w:val="20"/>
          <w:szCs w:val="20"/>
          <w:color w:val="auto"/>
        </w:rPr>
      </w:pPr>
    </w:p>
    <w:p>
      <w:pPr>
        <w:jc w:val="both"/>
        <w:ind w:firstLine="763"/>
        <w:spacing w:after="0" w:line="239" w:lineRule="auto"/>
        <w:rPr>
          <w:sz w:val="20"/>
          <w:szCs w:val="20"/>
          <w:color w:val="auto"/>
        </w:rPr>
      </w:pPr>
      <w:r>
        <w:rPr>
          <w:rFonts w:ascii="Times New Roman" w:cs="Times New Roman" w:eastAsia="Times New Roman" w:hAnsi="Times New Roman"/>
          <w:sz w:val="20"/>
          <w:szCs w:val="20"/>
          <w:color w:val="auto"/>
        </w:rPr>
        <w:t>Securities held in a margin account or pledged as collateral for a loan may be sold without a person’s consent by the broker if such person fails to meet a margin call or by the lender in foreclosure if such person defaults on the loan. A margin or foreclosure sale that occurs when a person is aware of material nonpublic information or otherwise is not permitted to trade in securities of the Companies may, under some circumstances, result in unlawful insider trading. Because of this danger, holding securities of the Companies in a margin account or pledging securities of the Companies as collateral for a loan is prohibited hereunder.</w:t>
      </w:r>
    </w:p>
    <w:p>
      <w:pPr>
        <w:spacing w:after="0" w:line="205" w:lineRule="exact"/>
        <w:rPr>
          <w:sz w:val="20"/>
          <w:szCs w:val="20"/>
          <w:color w:val="auto"/>
        </w:rPr>
      </w:pPr>
    </w:p>
    <w:p>
      <w:pPr>
        <w:jc w:val="both"/>
        <w:ind w:firstLine="763"/>
        <w:spacing w:after="0" w:line="237" w:lineRule="auto"/>
        <w:rPr>
          <w:sz w:val="20"/>
          <w:szCs w:val="20"/>
          <w:color w:val="auto"/>
        </w:rPr>
      </w:pPr>
      <w:r>
        <w:rPr>
          <w:rFonts w:ascii="Times New Roman" w:cs="Times New Roman" w:eastAsia="Times New Roman" w:hAnsi="Times New Roman"/>
          <w:sz w:val="20"/>
          <w:szCs w:val="20"/>
          <w:color w:val="auto"/>
        </w:rPr>
        <w:t>The Covered Directors and Officers of SJW Group must also comply with the reporting obligations and limitations on short-swing transactions set forth in Section 16 of the Exchange Act. The practical effect of these provisions is that directors and executive officers of SJW Group who purchase and sell stock of SJW Group within a six-month period may be required to disgorge all profits to the SJW Group regardless whether they are in possession of any material nonpublic information. Certain types of transactions, including many benefit plan transactions, are not subject to this short-swing liability rule, and directors and executive officer of SJW Group should consult with the Corporate Secretaries if they have any questions regarding compliance with Section 16 and other related rules.</w:t>
      </w:r>
    </w:p>
    <w:p>
      <w:pPr>
        <w:spacing w:after="0" w:line="217" w:lineRule="exact"/>
        <w:rPr>
          <w:sz w:val="20"/>
          <w:szCs w:val="20"/>
          <w:color w:val="auto"/>
        </w:rPr>
      </w:pPr>
    </w:p>
    <w:p>
      <w:pPr>
        <w:ind w:left="660" w:hanging="328"/>
        <w:spacing w:after="0"/>
        <w:tabs>
          <w:tab w:leader="none" w:pos="66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DONATIONS OF SECURITIES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763"/>
        <w:spacing w:after="0" w:line="239" w:lineRule="auto"/>
        <w:rPr>
          <w:sz w:val="20"/>
          <w:szCs w:val="20"/>
          <w:color w:val="auto"/>
        </w:rPr>
      </w:pPr>
      <w:r>
        <w:rPr>
          <w:rFonts w:ascii="Times New Roman" w:cs="Times New Roman" w:eastAsia="Times New Roman" w:hAnsi="Times New Roman"/>
          <w:sz w:val="20"/>
          <w:szCs w:val="20"/>
          <w:color w:val="auto"/>
        </w:rPr>
        <w:t>Donations of securities may be deemed to be sales under this Policy if such donations do not constitute bona fide gifts of securities. Whether a gift is truly bona fide will depend on the circumstances surrounding each gift. The more unrelated the donee is to the donor, the more likely the gift would be considered “bona fide”. For example, gifts to charities, churches and service organizations would be bona fide gifts. On the other hand, gifts to dependent children followed by a sale of the “gift” securities in close proximity to the time of the gift may imply some economic benefit to the donor and, therefore, make the gift non-bona fide.</w:t>
      </w:r>
    </w:p>
    <w:p>
      <w:pPr>
        <w:spacing w:after="0" w:line="20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In addition, please note that a gift transaction by a Covered Director and Officer is required to be reported on a Form 4 within two</w:t>
      </w:r>
    </w:p>
    <w:p>
      <w:pPr>
        <w:spacing w:after="0" w:line="22" w:lineRule="exact"/>
        <w:rPr>
          <w:sz w:val="20"/>
          <w:szCs w:val="20"/>
          <w:color w:val="auto"/>
        </w:rPr>
      </w:pPr>
    </w:p>
    <w:p>
      <w:pPr>
        <w:ind w:right="20" w:firstLine="8"/>
        <w:spacing w:after="0" w:line="236" w:lineRule="auto"/>
        <w:tabs>
          <w:tab w:leader="none" w:pos="287"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days of such transaction, therefore it is important that the Covered Director and Officer inform the Corporate Secretaries of any pending gift transaction as soon as possible following the transaction, but in any event within one business day after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158" w:name="page159"/>
    <w:bookmarkEnd w:id="158"/>
    <w:p>
      <w:pPr>
        <w:jc w:val="both"/>
        <w:ind w:firstLine="332"/>
        <w:spacing w:after="0" w:line="239" w:lineRule="auto"/>
        <w:tabs>
          <w:tab w:leader="none" w:pos="648"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POST-TERMINATION APPLICATION</w:t>
      </w:r>
      <w:r>
        <w:rPr>
          <w:rFonts w:ascii="Times New Roman" w:cs="Times New Roman" w:eastAsia="Times New Roman" w:hAnsi="Times New Roman"/>
          <w:sz w:val="20"/>
          <w:szCs w:val="20"/>
          <w:color w:val="auto"/>
        </w:rPr>
        <w:t>. This Policy continues to apply to transactions of securities of the Companies even after an employee has terminated their service or employment, if they are in possession of material nonpublic information when the termination occurs. In that event the employee may not trade in the securities of SJW Group until such information has become public or is no longer material.</w:t>
      </w:r>
    </w:p>
    <w:p>
      <w:pPr>
        <w:spacing w:after="0" w:line="217"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PENALTIES FOR VIOLATION</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consequences of insider trading violation can be staggering:</w:t>
      </w:r>
    </w:p>
    <w:p>
      <w:pPr>
        <w:spacing w:after="0" w:line="243" w:lineRule="exact"/>
        <w:rPr>
          <w:sz w:val="20"/>
          <w:szCs w:val="20"/>
          <w:color w:val="auto"/>
        </w:rPr>
      </w:pPr>
    </w:p>
    <w:p>
      <w:pPr>
        <w:ind w:left="1300" w:hanging="563"/>
        <w:spacing w:after="0"/>
        <w:tabs>
          <w:tab w:leader="none" w:pos="130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 individuals</w:t>
      </w:r>
      <w:r>
        <w:rPr>
          <w:rFonts w:ascii="Times New Roman" w:cs="Times New Roman" w:eastAsia="Times New Roman" w:hAnsi="Times New Roman"/>
          <w:sz w:val="20"/>
          <w:szCs w:val="20"/>
          <w:color w:val="auto"/>
        </w:rPr>
        <w:t xml:space="preserve"> who trade on inside information (or tip information to others) the consequences could include:</w:t>
      </w:r>
    </w:p>
    <w:p>
      <w:pPr>
        <w:spacing w:after="0" w:line="229" w:lineRule="exact"/>
        <w:rPr>
          <w:rFonts w:ascii="Times New Roman" w:cs="Times New Roman" w:eastAsia="Times New Roman" w:hAnsi="Times New Roman"/>
          <w:sz w:val="20"/>
          <w:szCs w:val="20"/>
          <w:color w:val="auto"/>
        </w:rPr>
      </w:pPr>
    </w:p>
    <w:p>
      <w:pPr>
        <w:ind w:left="1620" w:hanging="316"/>
        <w:spacing w:after="0"/>
        <w:tabs>
          <w:tab w:leader="none" w:pos="162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civil penalty of up to three times the profit gained or loss avoided;</w:t>
      </w:r>
    </w:p>
    <w:p>
      <w:pPr>
        <w:spacing w:after="0" w:line="8" w:lineRule="exact"/>
        <w:rPr>
          <w:rFonts w:ascii="Times New Roman" w:cs="Times New Roman" w:eastAsia="Times New Roman" w:hAnsi="Times New Roman"/>
          <w:sz w:val="20"/>
          <w:szCs w:val="20"/>
          <w:color w:val="auto"/>
        </w:rPr>
      </w:pPr>
    </w:p>
    <w:p>
      <w:pPr>
        <w:ind w:left="1620" w:hanging="316"/>
        <w:spacing w:after="0"/>
        <w:tabs>
          <w:tab w:leader="none" w:pos="162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criminal fine (no matter how small the profit) of up to $5 million; and</w:t>
      </w:r>
    </w:p>
    <w:p>
      <w:pPr>
        <w:ind w:left="1620" w:hanging="316"/>
        <w:spacing w:after="0"/>
        <w:tabs>
          <w:tab w:leader="none" w:pos="162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jail term of up to twenty years.</w:t>
      </w:r>
    </w:p>
    <w:p>
      <w:pPr>
        <w:spacing w:after="0" w:line="207" w:lineRule="exact"/>
        <w:rPr>
          <w:rFonts w:ascii="Times New Roman" w:cs="Times New Roman" w:eastAsia="Times New Roman" w:hAnsi="Times New Roman"/>
          <w:sz w:val="20"/>
          <w:szCs w:val="20"/>
          <w:color w:val="auto"/>
        </w:rPr>
      </w:pPr>
    </w:p>
    <w:p>
      <w:pPr>
        <w:ind w:left="1300" w:right="140" w:hanging="563"/>
        <w:spacing w:after="0" w:line="269" w:lineRule="auto"/>
        <w:tabs>
          <w:tab w:leader="none" w:pos="1292"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 a company</w:t>
      </w:r>
      <w:r>
        <w:rPr>
          <w:rFonts w:ascii="Times New Roman" w:cs="Times New Roman" w:eastAsia="Times New Roman" w:hAnsi="Times New Roman"/>
          <w:sz w:val="20"/>
          <w:szCs w:val="20"/>
          <w:color w:val="auto"/>
        </w:rPr>
        <w:t xml:space="preserve"> (as well as possibly any supervisory person) that fails to take appropriates steps to prevent illegal trading the consequences could include:</w:t>
      </w:r>
    </w:p>
    <w:p>
      <w:pPr>
        <w:spacing w:after="0" w:line="172" w:lineRule="exact"/>
        <w:rPr>
          <w:rFonts w:ascii="Times New Roman" w:cs="Times New Roman" w:eastAsia="Times New Roman" w:hAnsi="Times New Roman"/>
          <w:sz w:val="20"/>
          <w:szCs w:val="20"/>
          <w:color w:val="auto"/>
        </w:rPr>
      </w:pPr>
    </w:p>
    <w:p>
      <w:pPr>
        <w:ind w:left="1620" w:right="280" w:hanging="316"/>
        <w:spacing w:after="0" w:line="243" w:lineRule="auto"/>
        <w:tabs>
          <w:tab w:leader="none" w:pos="161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civil penalty of the greater of $1 million or three times the profit gained or loss avoided as a result of the employee’s violation; and</w:t>
      </w:r>
    </w:p>
    <w:p>
      <w:pPr>
        <w:spacing w:after="0" w:line="1" w:lineRule="exact"/>
        <w:rPr>
          <w:rFonts w:ascii="Times New Roman" w:cs="Times New Roman" w:eastAsia="Times New Roman" w:hAnsi="Times New Roman"/>
          <w:sz w:val="20"/>
          <w:szCs w:val="20"/>
          <w:color w:val="auto"/>
        </w:rPr>
      </w:pPr>
    </w:p>
    <w:p>
      <w:pPr>
        <w:ind w:left="1620" w:hanging="316"/>
        <w:spacing w:after="0"/>
        <w:tabs>
          <w:tab w:leader="none" w:pos="162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criminal penalty of up to $25 million.</w:t>
      </w:r>
    </w:p>
    <w:p>
      <w:pPr>
        <w:spacing w:after="0" w:line="207" w:lineRule="exact"/>
        <w:rPr>
          <w:sz w:val="20"/>
          <w:szCs w:val="20"/>
          <w:color w:val="auto"/>
        </w:rPr>
      </w:pPr>
    </w:p>
    <w:p>
      <w:pPr>
        <w:jc w:val="both"/>
        <w:ind w:firstLine="763"/>
        <w:spacing w:after="0" w:line="247" w:lineRule="auto"/>
        <w:rPr>
          <w:sz w:val="20"/>
          <w:szCs w:val="20"/>
          <w:color w:val="auto"/>
        </w:rPr>
      </w:pPr>
      <w:r>
        <w:rPr>
          <w:rFonts w:ascii="Times New Roman" w:cs="Times New Roman" w:eastAsia="Times New Roman" w:hAnsi="Times New Roman"/>
          <w:sz w:val="20"/>
          <w:szCs w:val="20"/>
          <w:color w:val="auto"/>
        </w:rPr>
        <w:t>Without regard to the penalties that may be imposed by others, violation of any of the foregoing rules is grounds for disciplinary action by the Companies, including without limitation employment termination, termination of contract and dismissal from the Board of Directors.</w:t>
      </w:r>
    </w:p>
    <w:p>
      <w:pPr>
        <w:spacing w:after="0" w:line="208" w:lineRule="exact"/>
        <w:rPr>
          <w:sz w:val="20"/>
          <w:szCs w:val="20"/>
          <w:color w:val="auto"/>
        </w:rPr>
      </w:pPr>
    </w:p>
    <w:p>
      <w:pPr>
        <w:ind w:left="660" w:hanging="328"/>
        <w:spacing w:after="0"/>
        <w:tabs>
          <w:tab w:leader="none" w:pos="66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COMPANY ASSISTANCE</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SJW Group has agreed to provide reasonable assistance to all Covered Directors and Officers of SJW Group, as requested by such person, in connection with the filing of Forms 3, 4 and 5 with the SEC under Section 16(a) of the Exchange Act. However, the ultimate responsibility, and liability, for timely filing remains with the Covered Director and Officer.</w:t>
      </w:r>
    </w:p>
    <w:p>
      <w:pPr>
        <w:spacing w:after="0" w:line="181" w:lineRule="exact"/>
        <w:rPr>
          <w:sz w:val="20"/>
          <w:szCs w:val="20"/>
          <w:color w:val="auto"/>
        </w:rPr>
      </w:pPr>
    </w:p>
    <w:p>
      <w:pPr>
        <w:ind w:right="280"/>
        <w:spacing w:after="0"/>
        <w:rPr>
          <w:sz w:val="20"/>
          <w:szCs w:val="20"/>
          <w:color w:val="auto"/>
        </w:rPr>
      </w:pPr>
      <w:r>
        <w:rPr>
          <w:rFonts w:ascii="Times New Roman" w:cs="Times New Roman" w:eastAsia="Times New Roman" w:hAnsi="Times New Roman"/>
          <w:sz w:val="20"/>
          <w:szCs w:val="20"/>
          <w:color w:val="auto"/>
        </w:rPr>
        <w:t>This amended Insider Trading Policy of the Companies is approved and adopted by the Board of Directors effective, February 26, 2025. It may be amended by a majority vote of the Board of Directors at any regular or special meeting of the Board.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ACKNOWLEDGMENT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Please sign the attachment acknowledging that you have read and agreed to abide by this Policy in your transaction in SJW Group stock.</w:t>
      </w:r>
    </w:p>
    <w:p>
      <w:pPr>
        <w:spacing w:after="0" w:line="229"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All outside requests for information, comments or interviews (other than routine product inquires) which may result in the dissemination of information must be directed to the Corporate Secretaries.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you have any questions, please contact the Corporate Secretaries or the Chief Financial Officer of SJW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13"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SJW GROUP</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Following is a list of the subsidiaries of SJW Group as of December 31, 2024, each of which, unless otherwise indicated, is wholly owned by the Company either directly or through another subsidiary.</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p>
      <w:pPr>
        <w:spacing w:after="0" w:line="52" w:lineRule="exact"/>
        <w:rPr>
          <w:sz w:val="20"/>
          <w:szCs w:val="20"/>
          <w:color w:val="auto"/>
        </w:rPr>
      </w:pPr>
    </w:p>
    <w:p>
      <w:pPr>
        <w:sectPr>
          <w:pgSz w:w="11900" w:h="16838" w:orient="portrait"/>
          <w:cols w:equalWidth="0" w:num="2">
            <w:col w:w="7140" w:space="720"/>
            <w:col w:w="3380"/>
          </w:cols>
          <w:pgMar w:left="320" w:top="13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San Jose Water Company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SJW Land Company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Chester Realty, Inc.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Connecticut Water Service, Inc.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Connecticut Water Company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England Water Utility Services, Inc.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National Water Utility Service, LLC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SJWNE LLC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Maine Water Company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SJWTX Holdings, Inc.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SJWTX, Inc., also doing business as The Texas Water Company</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Texas Water Operation Services LLC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Texas Water Resources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Connecticut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Connecticut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Connecticut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Connecticut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w:t>
      </w:r>
    </w:p>
    <w:p>
      <w:pPr>
        <w:sectPr>
          <w:pgSz w:w="11900" w:h="16838" w:orient="portrait"/>
          <w:cols w:equalWidth="0" w:num="2">
            <w:col w:w="7140" w:space="720"/>
            <w:col w:w="3380"/>
          </w:cols>
          <w:pgMar w:left="320" w:top="131" w:right="339" w:bottom="1440" w:gutter="0" w:footer="0" w:header="0"/>
          <w:type w:val="continuous"/>
        </w:sectPr>
      </w:pPr>
    </w:p>
    <w:bookmarkStart w:id="160" w:name="page161"/>
    <w:bookmarkEnd w:id="160"/>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33" w:lineRule="exact"/>
        <w:rPr>
          <w:sz w:val="20"/>
          <w:szCs w:val="20"/>
          <w:color w:val="auto"/>
        </w:rPr>
      </w:pPr>
    </w:p>
    <w:p>
      <w:pPr>
        <w:jc w:val="both"/>
        <w:ind w:right="200"/>
        <w:spacing w:after="0" w:line="239" w:lineRule="auto"/>
        <w:rPr>
          <w:sz w:val="20"/>
          <w:szCs w:val="20"/>
          <w:color w:val="auto"/>
        </w:rPr>
      </w:pPr>
      <w:r>
        <w:rPr>
          <w:rFonts w:ascii="Times New Roman" w:cs="Times New Roman" w:eastAsia="Times New Roman" w:hAnsi="Times New Roman"/>
          <w:sz w:val="20"/>
          <w:szCs w:val="20"/>
          <w:color w:val="auto"/>
        </w:rPr>
        <w:t>We consent to the incorporation by reference in Registration Statement No. 333-282881 on Form S-3 and Registration Statement Nos. 333-234140, 333-105010, and 333-271448 on Form S-8 of our report dated February 27, 2025, relating to the 2024 financial statements of SJW Group and the effectiveness of SJW Group's internal control over financial reporting appearing in the Annual Report on Form 10-K for the year ended December 31, 2024.</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Jose, California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27, 2025</w:t>
      </w:r>
    </w:p>
    <w:p>
      <w:pPr>
        <w:sectPr>
          <w:pgSz w:w="11900" w:h="16838" w:orient="portrait"/>
          <w:cols w:equalWidth="0" w:num="1">
            <w:col w:w="11240"/>
          </w:cols>
          <w:pgMar w:left="320" w:top="1440"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W. Thornburg, certify that:</w:t>
      </w:r>
    </w:p>
    <w:p>
      <w:pPr>
        <w:spacing w:after="0" w:line="144" w:lineRule="exact"/>
        <w:rPr>
          <w:sz w:val="20"/>
          <w:szCs w:val="20"/>
          <w:color w:val="auto"/>
        </w:rPr>
      </w:pPr>
    </w:p>
    <w:p>
      <w:pPr>
        <w:ind w:left="880" w:hanging="305"/>
        <w:spacing w:after="0"/>
        <w:tabs>
          <w:tab w:leader="none" w:pos="8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SJW Group (the “registrant”);</w:t>
      </w:r>
    </w:p>
    <w:p>
      <w:pPr>
        <w:spacing w:after="0" w:line="157" w:lineRule="exact"/>
        <w:rPr>
          <w:rFonts w:ascii="Times New Roman" w:cs="Times New Roman" w:eastAsia="Times New Roman" w:hAnsi="Times New Roman"/>
          <w:sz w:val="18"/>
          <w:szCs w:val="18"/>
          <w:color w:val="auto"/>
        </w:rPr>
      </w:pPr>
    </w:p>
    <w:p>
      <w:pPr>
        <w:ind w:right="140" w:firstLine="575"/>
        <w:spacing w:after="0" w:line="266" w:lineRule="auto"/>
        <w:tabs>
          <w:tab w:leader="none" w:pos="88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right="120" w:firstLine="575"/>
        <w:spacing w:after="0" w:line="282" w:lineRule="auto"/>
        <w:tabs>
          <w:tab w:leader="none" w:pos="88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right="80" w:firstLine="575"/>
        <w:spacing w:after="0" w:line="266" w:lineRule="auto"/>
        <w:tabs>
          <w:tab w:leader="none" w:pos="879"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firstLine="1101"/>
        <w:spacing w:after="0" w:line="266" w:lineRule="auto"/>
        <w:tabs>
          <w:tab w:leader="none" w:pos="1413"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jc w:val="both"/>
        <w:ind w:right="40" w:firstLine="1101"/>
        <w:spacing w:after="0" w:line="266" w:lineRule="auto"/>
        <w:tabs>
          <w:tab w:leader="none" w:pos="1423"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ind w:right="140" w:firstLine="1101"/>
        <w:spacing w:after="0" w:line="282" w:lineRule="auto"/>
        <w:tabs>
          <w:tab w:leader="none" w:pos="1413"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ind w:right="120" w:firstLine="1101"/>
        <w:spacing w:after="0" w:line="266" w:lineRule="auto"/>
        <w:tabs>
          <w:tab w:leader="none" w:pos="1423"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right="40" w:firstLine="575"/>
        <w:spacing w:after="0" w:line="282" w:lineRule="auto"/>
        <w:tabs>
          <w:tab w:leader="none" w:pos="879"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right="380" w:firstLine="1101"/>
        <w:spacing w:after="0" w:line="282" w:lineRule="auto"/>
        <w:tabs>
          <w:tab w:leader="none" w:pos="1413"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right="60" w:firstLine="1101"/>
        <w:spacing w:after="0" w:line="282" w:lineRule="auto"/>
        <w:tabs>
          <w:tab w:leader="none" w:pos="1423"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2025</w:t>
            </w:r>
          </w:p>
        </w:tc>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Eric W. Thornburg</w:t>
            </w:r>
          </w:p>
        </w:tc>
      </w:tr>
      <w:tr>
        <w:trPr>
          <w:trHeight w:val="218"/>
        </w:trPr>
        <w:tc>
          <w:tcPr>
            <w:tcW w:w="5500" w:type="dxa"/>
            <w:vAlign w:val="bottom"/>
          </w:tcPr>
          <w:p>
            <w:pPr>
              <w:spacing w:after="0"/>
              <w:rPr>
                <w:sz w:val="18"/>
                <w:szCs w:val="18"/>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ERIC W. THORNBURG</w:t>
            </w:r>
          </w:p>
        </w:tc>
      </w:tr>
      <w:tr>
        <w:trPr>
          <w:trHeight w:val="230"/>
        </w:trPr>
        <w:tc>
          <w:tcPr>
            <w:tcW w:w="550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 President and Chief Executive Officer</w:t>
            </w:r>
          </w:p>
        </w:tc>
      </w:tr>
      <w:tr>
        <w:trPr>
          <w:trHeight w:val="234"/>
        </w:trPr>
        <w:tc>
          <w:tcPr>
            <w:tcW w:w="55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F. Walters, certify that:</w:t>
      </w:r>
    </w:p>
    <w:p>
      <w:pPr>
        <w:spacing w:after="0" w:line="144" w:lineRule="exact"/>
        <w:rPr>
          <w:sz w:val="20"/>
          <w:szCs w:val="20"/>
          <w:color w:val="auto"/>
        </w:rPr>
      </w:pPr>
    </w:p>
    <w:p>
      <w:pPr>
        <w:ind w:left="880" w:hanging="305"/>
        <w:spacing w:after="0"/>
        <w:tabs>
          <w:tab w:leader="none" w:pos="8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SJW Group (the “registrant”);</w:t>
      </w:r>
    </w:p>
    <w:p>
      <w:pPr>
        <w:spacing w:after="0" w:line="157" w:lineRule="exact"/>
        <w:rPr>
          <w:rFonts w:ascii="Times New Roman" w:cs="Times New Roman" w:eastAsia="Times New Roman" w:hAnsi="Times New Roman"/>
          <w:sz w:val="18"/>
          <w:szCs w:val="18"/>
          <w:color w:val="auto"/>
        </w:rPr>
      </w:pPr>
    </w:p>
    <w:p>
      <w:pPr>
        <w:ind w:right="140" w:firstLine="575"/>
        <w:spacing w:after="0" w:line="266" w:lineRule="auto"/>
        <w:tabs>
          <w:tab w:leader="none" w:pos="882"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right="120" w:firstLine="575"/>
        <w:spacing w:after="0" w:line="282" w:lineRule="auto"/>
        <w:tabs>
          <w:tab w:leader="none" w:pos="882"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right="80" w:firstLine="575"/>
        <w:spacing w:after="0" w:line="266" w:lineRule="auto"/>
        <w:tabs>
          <w:tab w:leader="none" w:pos="87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firstLine="1101"/>
        <w:spacing w:after="0" w:line="266" w:lineRule="auto"/>
        <w:tabs>
          <w:tab w:leader="none" w:pos="1413"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jc w:val="both"/>
        <w:ind w:right="40" w:firstLine="1101"/>
        <w:spacing w:after="0" w:line="266" w:lineRule="auto"/>
        <w:tabs>
          <w:tab w:leader="none" w:pos="1423"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ind w:right="140" w:firstLine="1101"/>
        <w:spacing w:after="0" w:line="282" w:lineRule="auto"/>
        <w:tabs>
          <w:tab w:leader="none" w:pos="1413"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ind w:right="120" w:firstLine="1101"/>
        <w:spacing w:after="0" w:line="266" w:lineRule="auto"/>
        <w:tabs>
          <w:tab w:leader="none" w:pos="1423"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right="40" w:firstLine="575"/>
        <w:spacing w:after="0" w:line="282" w:lineRule="auto"/>
        <w:tabs>
          <w:tab w:leader="none" w:pos="87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right="380" w:firstLine="1101"/>
        <w:spacing w:after="0" w:line="282" w:lineRule="auto"/>
        <w:tabs>
          <w:tab w:leader="none" w:pos="1413"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right="60" w:firstLine="1101"/>
        <w:spacing w:after="0" w:line="282" w:lineRule="auto"/>
        <w:tabs>
          <w:tab w:leader="none" w:pos="1423"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2025</w:t>
            </w:r>
          </w:p>
        </w:tc>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F. Walters</w:t>
            </w:r>
          </w:p>
        </w:tc>
      </w:tr>
      <w:tr>
        <w:trPr>
          <w:trHeight w:val="218"/>
        </w:trPr>
        <w:tc>
          <w:tcPr>
            <w:tcW w:w="5500" w:type="dxa"/>
            <w:vAlign w:val="bottom"/>
          </w:tcPr>
          <w:p>
            <w:pPr>
              <w:spacing w:after="0"/>
              <w:rPr>
                <w:sz w:val="18"/>
                <w:szCs w:val="18"/>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F. WALTERS</w:t>
            </w:r>
          </w:p>
        </w:tc>
      </w:tr>
      <w:tr>
        <w:trPr>
          <w:trHeight w:val="230"/>
        </w:trPr>
        <w:tc>
          <w:tcPr>
            <w:tcW w:w="550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55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39" w:lineRule="exact"/>
        <w:rPr>
          <w:sz w:val="20"/>
          <w:szCs w:val="20"/>
          <w:color w:val="auto"/>
        </w:rPr>
      </w:pPr>
    </w:p>
    <w:p>
      <w:pPr>
        <w:jc w:val="both"/>
        <w:ind w:right="400" w:firstLine="567"/>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SJW Group (the “Company”) on Form 10-K for the year ended December 31, 2024, as filed with the Securities and Exchange Commission on the date hereof (the “Report”), I, Eric W. Thornburg, President, Chief Executive Officer and Chariman of the Board of the Company, certify, pursuant to 18 U.S.C. Section 1350, as adopted pursuant to Section 906 of the Sarbanes-Oxley Act of 2002, that to my knowledge on the date hereof:</w:t>
      </w:r>
    </w:p>
    <w:p>
      <w:pPr>
        <w:spacing w:after="0" w:line="72" w:lineRule="exact"/>
        <w:rPr>
          <w:sz w:val="20"/>
          <w:szCs w:val="20"/>
          <w:color w:val="auto"/>
        </w:rPr>
      </w:pPr>
    </w:p>
    <w:p>
      <w:pPr>
        <w:ind w:left="1300" w:hanging="644"/>
        <w:spacing w:after="0"/>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Eric W. Thornburg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ERIC W. THORNBURG</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 President and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27, 2025</w:t>
      </w:r>
    </w:p>
    <w:p>
      <w:pPr>
        <w:sectPr>
          <w:pgSz w:w="11900" w:h="16838" w:orient="portrait"/>
          <w:cols w:equalWidth="0" w:num="1">
            <w:col w:w="11240"/>
          </w:cols>
          <w:pgMar w:left="320" w:top="887"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39" w:lineRule="exact"/>
        <w:rPr>
          <w:sz w:val="20"/>
          <w:szCs w:val="20"/>
          <w:color w:val="auto"/>
        </w:rPr>
      </w:pPr>
    </w:p>
    <w:p>
      <w:pPr>
        <w:jc w:val="both"/>
        <w:ind w:right="440" w:firstLine="567"/>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SJW Group (the “Company”) on Form 10-K for the year ended December 31, 2024, as filed with the Securities and Exchange Commission on the date hereof (the “Report”), I, Andrew F. Walters, Chief Financial Officer and Treasurer of the Company, certify, pursuant to 18 U.S.C. Section 1350, as adopted pursuant to Section 906 of the Sarbanes-Oxley Act of 2002, that to my knowledge on the date hereof:</w:t>
      </w:r>
    </w:p>
    <w:p>
      <w:pPr>
        <w:spacing w:after="0" w:line="72" w:lineRule="exact"/>
        <w:rPr>
          <w:sz w:val="20"/>
          <w:szCs w:val="20"/>
          <w:color w:val="auto"/>
        </w:rPr>
      </w:pPr>
    </w:p>
    <w:p>
      <w:pPr>
        <w:ind w:left="1300" w:hanging="644"/>
        <w:spacing w:after="0"/>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Andrew F. Walters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1">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ANDREW F. WALTERS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27, 2025</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9D0247"/>
    <w:multiLevelType w:val="hybridMultilevel"/>
    <w:lvl w:ilvl="0">
      <w:lvlJc w:val="left"/>
      <w:lvlText w:val="☒"/>
      <w:numFmt w:val="bullet"/>
      <w:start w:val="1"/>
    </w:lvl>
  </w:abstractNum>
  <w:abstractNum w:abstractNumId="1">
    <w:nsid w:val="6B94764"/>
    <w:multiLevelType w:val="hybridMultilevel"/>
    <w:lvl w:ilvl="0">
      <w:lvlJc w:val="left"/>
      <w:lvlText w:val="☐"/>
      <w:numFmt w:val="bullet"/>
      <w:start w:val="1"/>
    </w:lvl>
  </w:abstractNum>
  <w:abstractNum w:abstractNumId="2">
    <w:nsid w:val="42C296BD"/>
    <w:multiLevelType w:val="hybridMultilevel"/>
    <w:lvl w:ilvl="0">
      <w:lvlJc w:val="left"/>
      <w:lvlText w:val="•"/>
      <w:numFmt w:val="bullet"/>
      <w:start w:val="1"/>
    </w:lvl>
  </w:abstractNum>
  <w:abstractNum w:abstractNumId="3">
    <w:nsid w:val="168E121F"/>
    <w:multiLevelType w:val="hybridMultilevel"/>
    <w:lvl w:ilvl="0">
      <w:lvlJc w:val="left"/>
      <w:lvlText w:val="•"/>
      <w:numFmt w:val="bullet"/>
      <w:start w:val="1"/>
    </w:lvl>
  </w:abstractNum>
  <w:abstractNum w:abstractNumId="4">
    <w:nsid w:val="1EBA5D23"/>
    <w:multiLevelType w:val="hybridMultilevel"/>
    <w:lvl w:ilvl="0">
      <w:lvlJc w:val="left"/>
      <w:lvlText w:val="(%1)"/>
      <w:numFmt w:val="lowerLetter"/>
      <w:start w:val="1"/>
    </w:lvl>
  </w:abstractNum>
  <w:abstractNum w:abstractNumId="5">
    <w:nsid w:val="661E3F1E"/>
    <w:multiLevelType w:val="hybridMultilevel"/>
    <w:lvl w:ilvl="0">
      <w:lvlJc w:val="left"/>
      <w:lvlText w:val="•"/>
      <w:numFmt w:val="bullet"/>
      <w:start w:val="1"/>
    </w:lvl>
  </w:abstractNum>
  <w:abstractNum w:abstractNumId="6">
    <w:nsid w:val="5DC79EA8"/>
    <w:multiLevelType w:val="hybridMultilevel"/>
    <w:lvl w:ilvl="0">
      <w:lvlJc w:val="left"/>
      <w:lvlText w:val="•"/>
      <w:numFmt w:val="bullet"/>
      <w:start w:val="1"/>
    </w:lvl>
  </w:abstractNum>
  <w:abstractNum w:abstractNumId="7">
    <w:nsid w:val="540A471C"/>
    <w:multiLevelType w:val="hybridMultilevel"/>
    <w:lvl w:ilvl="0">
      <w:lvlJc w:val="left"/>
      <w:lvlText w:val="•"/>
      <w:numFmt w:val="bullet"/>
      <w:start w:val="1"/>
    </w:lvl>
  </w:abstractNum>
  <w:abstractNum w:abstractNumId="8">
    <w:nsid w:val="7BD3EE7B"/>
    <w:multiLevelType w:val="hybridMultilevel"/>
    <w:lvl w:ilvl="0">
      <w:lvlJc w:val="left"/>
      <w:lvlText w:val="•"/>
      <w:numFmt w:val="bullet"/>
      <w:start w:val="1"/>
    </w:lvl>
  </w:abstractNum>
  <w:abstractNum w:abstractNumId="9">
    <w:nsid w:val="51D9C564"/>
    <w:multiLevelType w:val="hybridMultilevel"/>
    <w:lvl w:ilvl="0">
      <w:lvlJc w:val="left"/>
      <w:lvlText w:val="•"/>
      <w:numFmt w:val="bullet"/>
      <w:start w:val="1"/>
    </w:lvl>
  </w:abstractNum>
  <w:abstractNum w:abstractNumId="10">
    <w:nsid w:val="613EFDC5"/>
    <w:multiLevelType w:val="hybridMultilevel"/>
    <w:lvl w:ilvl="0">
      <w:lvlJc w:val="left"/>
      <w:lvlText w:val="•"/>
      <w:numFmt w:val="bullet"/>
      <w:start w:val="1"/>
    </w:lvl>
  </w:abstractNum>
  <w:abstractNum w:abstractNumId="11">
    <w:nsid w:val="BF72B14"/>
    <w:multiLevelType w:val="hybridMultilevel"/>
    <w:lvl w:ilvl="0">
      <w:lvlJc w:val="left"/>
      <w:lvlText w:val="•"/>
      <w:numFmt w:val="bullet"/>
      <w:start w:val="1"/>
    </w:lvl>
  </w:abstractNum>
  <w:abstractNum w:abstractNumId="12">
    <w:nsid w:val="11447B73"/>
    <w:multiLevelType w:val="hybridMultilevel"/>
    <w:lvl w:ilvl="0">
      <w:lvlJc w:val="left"/>
      <w:lvlText w:val="•"/>
      <w:numFmt w:val="bullet"/>
      <w:start w:val="1"/>
    </w:lvl>
  </w:abstractNum>
  <w:abstractNum w:abstractNumId="13">
    <w:nsid w:val="42963E5A"/>
    <w:multiLevelType w:val="hybridMultilevel"/>
    <w:lvl w:ilvl="0">
      <w:lvlJc w:val="left"/>
      <w:lvlText w:val="(%1)"/>
      <w:numFmt w:val="decimal"/>
      <w:start w:val="1"/>
    </w:lvl>
  </w:abstractNum>
  <w:abstractNum w:abstractNumId="14">
    <w:nsid w:val="A0382C5"/>
    <w:multiLevelType w:val="hybridMultilevel"/>
    <w:lvl w:ilvl="0">
      <w:lvlJc w:val="left"/>
      <w:lvlText w:val="•"/>
      <w:numFmt w:val="bullet"/>
      <w:start w:val="1"/>
    </w:lvl>
  </w:abstractNum>
  <w:abstractNum w:abstractNumId="15">
    <w:nsid w:val="8F2B15E"/>
    <w:multiLevelType w:val="hybridMultilevel"/>
    <w:lvl w:ilvl="0">
      <w:lvlJc w:val="left"/>
      <w:lvlText w:val="•"/>
      <w:numFmt w:val="bullet"/>
      <w:start w:val="1"/>
    </w:lvl>
  </w:abstractNum>
  <w:abstractNum w:abstractNumId="16">
    <w:nsid w:val="1A32234B"/>
    <w:multiLevelType w:val="hybridMultilevel"/>
    <w:lvl w:ilvl="0">
      <w:lvlJc w:val="left"/>
      <w:lvlText w:val="•"/>
      <w:numFmt w:val="bullet"/>
      <w:start w:val="1"/>
    </w:lvl>
  </w:abstractNum>
  <w:abstractNum w:abstractNumId="17">
    <w:nsid w:val="3B0FD379"/>
    <w:multiLevelType w:val="hybridMultilevel"/>
    <w:lvl w:ilvl="0">
      <w:lvlJc w:val="left"/>
      <w:lvlText w:val="•"/>
      <w:numFmt w:val="bullet"/>
      <w:start w:val="1"/>
    </w:lvl>
  </w:abstractNum>
  <w:abstractNum w:abstractNumId="18">
    <w:nsid w:val="68EB2F63"/>
    <w:multiLevelType w:val="hybridMultilevel"/>
    <w:lvl w:ilvl="0">
      <w:lvlJc w:val="left"/>
      <w:lvlText w:val="•"/>
      <w:numFmt w:val="bullet"/>
      <w:start w:val="1"/>
    </w:lvl>
  </w:abstractNum>
  <w:abstractNum w:abstractNumId="19">
    <w:nsid w:val="4962813B"/>
    <w:multiLevelType w:val="hybridMultilevel"/>
    <w:lvl w:ilvl="0">
      <w:lvlJc w:val="left"/>
      <w:lvlText w:val="(%1)"/>
      <w:numFmt w:val="decimal"/>
      <w:start w:val="1"/>
    </w:lvl>
  </w:abstractNum>
  <w:abstractNum w:abstractNumId="20">
    <w:nsid w:val="60B6DF70"/>
    <w:multiLevelType w:val="hybridMultilevel"/>
    <w:lvl w:ilvl="0">
      <w:lvlJc w:val="left"/>
      <w:lvlText w:val="(%1)"/>
      <w:numFmt w:val="decimal"/>
      <w:start w:val="1"/>
    </w:lvl>
  </w:abstractNum>
  <w:abstractNum w:abstractNumId="21">
    <w:nsid w:val="6A5EE64"/>
    <w:multiLevelType w:val="hybridMultilevel"/>
    <w:lvl w:ilvl="0">
      <w:lvlJc w:val="left"/>
      <w:lvlText w:val="•"/>
      <w:numFmt w:val="bullet"/>
      <w:start w:val="1"/>
    </w:lvl>
  </w:abstractNum>
  <w:abstractNum w:abstractNumId="22">
    <w:nsid w:val="14330624"/>
    <w:multiLevelType w:val="hybridMultilevel"/>
    <w:lvl w:ilvl="0">
      <w:lvlJc w:val="left"/>
      <w:lvlText w:val="•"/>
      <w:numFmt w:val="bullet"/>
      <w:start w:val="1"/>
    </w:lvl>
  </w:abstractNum>
  <w:abstractNum w:abstractNumId="23">
    <w:nsid w:val="7FFFCA11"/>
    <w:multiLevelType w:val="hybridMultilevel"/>
    <w:lvl w:ilvl="0">
      <w:lvlJc w:val="left"/>
      <w:lvlText w:val="(%1)"/>
      <w:numFmt w:val="lowerLetter"/>
      <w:start w:val="1"/>
    </w:lvl>
  </w:abstractNum>
  <w:abstractNum w:abstractNumId="24">
    <w:nsid w:val="1A27709E"/>
    <w:multiLevelType w:val="hybridMultilevel"/>
    <w:lvl w:ilvl="0">
      <w:lvlJc w:val="left"/>
      <w:lvlText w:val="(%1)"/>
      <w:numFmt w:val="lowerLetter"/>
      <w:start w:val="13"/>
    </w:lvl>
  </w:abstractNum>
  <w:abstractNum w:abstractNumId="25">
    <w:nsid w:val="71EA1109"/>
    <w:multiLevelType w:val="hybridMultilevel"/>
    <w:lvl w:ilvl="0">
      <w:lvlJc w:val="left"/>
      <w:lvlText w:val="(%1)"/>
      <w:numFmt w:val="lowerLetter"/>
      <w:start w:val="1"/>
    </w:lvl>
  </w:abstractNum>
  <w:abstractNum w:abstractNumId="26">
    <w:nsid w:val="100F59DC"/>
    <w:multiLevelType w:val="hybridMultilevel"/>
    <w:lvl w:ilvl="0">
      <w:lvlJc w:val="left"/>
      <w:lvlText w:val="(%1)"/>
      <w:numFmt w:val="lowerLetter"/>
      <w:start w:val="1"/>
    </w:lvl>
  </w:abstractNum>
  <w:abstractNum w:abstractNumId="27">
    <w:nsid w:val="7FB7E0AA"/>
    <w:multiLevelType w:val="hybridMultilevel"/>
    <w:lvl w:ilvl="0">
      <w:lvlJc w:val="left"/>
      <w:lvlText w:val="(%1)"/>
      <w:numFmt w:val="decimal"/>
      <w:start w:val="1"/>
    </w:lvl>
  </w:abstractNum>
  <w:abstractNum w:abstractNumId="28">
    <w:nsid w:val="6EB5BD4"/>
    <w:multiLevelType w:val="hybridMultilevel"/>
    <w:lvl w:ilvl="0">
      <w:lvlJc w:val="left"/>
      <w:lvlText w:val="%1."/>
      <w:numFmt w:val="lowerLetter"/>
      <w:start w:val="1"/>
    </w:lvl>
  </w:abstractNum>
  <w:abstractNum w:abstractNumId="29">
    <w:nsid w:val="6F6DD9AC"/>
    <w:multiLevelType w:val="hybridMultilevel"/>
    <w:lvl w:ilvl="0">
      <w:lvlJc w:val="left"/>
      <w:lvlText w:val="•"/>
      <w:numFmt w:val="bullet"/>
      <w:start w:val="1"/>
    </w:lvl>
  </w:abstractNum>
  <w:abstractNum w:abstractNumId="30">
    <w:nsid w:val="94211F2"/>
    <w:multiLevelType w:val="hybridMultilevel"/>
    <w:lvl w:ilvl="0">
      <w:lvlJc w:val="left"/>
      <w:lvlText w:val="%1"/>
      <w:numFmt w:val="decimal"/>
      <w:start w:val="104"/>
    </w:lvl>
    <w:lvl w:ilvl="1">
      <w:lvlJc w:val="left"/>
      <w:lvlText w:val="(%2)"/>
      <w:numFmt w:val="decimal"/>
      <w:start w:val="1"/>
    </w:lvl>
  </w:abstractNum>
  <w:abstractNum w:abstractNumId="31">
    <w:nsid w:val="885E1B"/>
    <w:multiLevelType w:val="hybridMultilevel"/>
    <w:lvl w:ilvl="0">
      <w:lvlJc w:val="left"/>
      <w:lvlText w:val="%1."/>
      <w:numFmt w:val="decimal"/>
      <w:start w:val="1"/>
    </w:lvl>
  </w:abstractNum>
  <w:abstractNum w:abstractNumId="32">
    <w:nsid w:val="76272110"/>
    <w:multiLevelType w:val="hybridMultilevel"/>
    <w:lvl w:ilvl="0">
      <w:lvlJc w:val="left"/>
      <w:lvlText w:val="%1."/>
      <w:numFmt w:val="decimal"/>
      <w:start w:val="2"/>
    </w:lvl>
  </w:abstractNum>
  <w:abstractNum w:abstractNumId="33">
    <w:nsid w:val="4C04A8AF"/>
    <w:multiLevelType w:val="hybridMultilevel"/>
    <w:lvl w:ilvl="0">
      <w:lvlJc w:val="left"/>
      <w:lvlText w:val="%1."/>
      <w:numFmt w:val="upperLetter"/>
      <w:start w:val="9"/>
    </w:lvl>
    <w:lvl w:ilvl="1">
      <w:lvlJc w:val="left"/>
      <w:lvlText w:val="%2."/>
      <w:numFmt w:val="upperLetter"/>
      <w:start w:val="1"/>
    </w:lvl>
  </w:abstractNum>
  <w:abstractNum w:abstractNumId="34">
    <w:nsid w:val="1716703B"/>
    <w:multiLevelType w:val="hybridMultilevel"/>
    <w:lvl w:ilvl="0">
      <w:lvlJc w:val="left"/>
      <w:lvlText w:val="%1."/>
      <w:numFmt w:val="upperLetter"/>
      <w:start w:val="35"/>
    </w:lvl>
  </w:abstractNum>
  <w:abstractNum w:abstractNumId="35">
    <w:nsid w:val="14E17E33"/>
    <w:multiLevelType w:val="hybridMultilevel"/>
    <w:lvl w:ilvl="0">
      <w:lvlJc w:val="left"/>
      <w:lvlText w:val="%1."/>
      <w:numFmt w:val="upperLetter"/>
      <w:start w:val="61"/>
    </w:lvl>
    <w:lvl w:ilvl="1">
      <w:lvlJc w:val="left"/>
      <w:lvlText w:val="%2"/>
      <w:numFmt w:val="upperLetter"/>
      <w:start w:val="1"/>
    </w:lvl>
  </w:abstractNum>
  <w:abstractNum w:abstractNumId="36">
    <w:nsid w:val="3222E7CD"/>
    <w:multiLevelType w:val="hybridMultilevel"/>
    <w:lvl w:ilvl="0">
      <w:lvlJc w:val="left"/>
      <w:lvlText w:val="%1."/>
      <w:numFmt w:val="upperLetter"/>
      <w:start w:val="2"/>
    </w:lvl>
  </w:abstractNum>
  <w:abstractNum w:abstractNumId="37">
    <w:nsid w:val="74DE0EE3"/>
    <w:multiLevelType w:val="hybridMultilevel"/>
    <w:lvl w:ilvl="0">
      <w:lvlJc w:val="left"/>
      <w:lvlText w:val="-"/>
      <w:numFmt w:val="bullet"/>
      <w:start w:val="1"/>
    </w:lvl>
  </w:abstractNum>
  <w:abstractNum w:abstractNumId="38">
    <w:nsid w:val="68EBC550"/>
    <w:multiLevelType w:val="hybridMultilevel"/>
    <w:lvl w:ilvl="0">
      <w:lvlJc w:val="left"/>
      <w:lvlText w:val="%1."/>
      <w:numFmt w:val="upperLetter"/>
      <w:start w:val="3"/>
    </w:lvl>
    <w:lvl w:ilvl="1">
      <w:lvlJc w:val="left"/>
      <w:lvlText w:val="%2."/>
      <w:numFmt w:val="decimal"/>
      <w:start w:val="1"/>
    </w:lvl>
  </w:abstractNum>
  <w:abstractNum w:abstractNumId="39">
    <w:nsid w:val="2DF6D648"/>
    <w:multiLevelType w:val="hybridMultilevel"/>
    <w:lvl w:ilvl="0">
      <w:lvlJc w:val="left"/>
      <w:lvlText w:val="%1."/>
      <w:numFmt w:val="upperLetter"/>
      <w:start w:val="5"/>
    </w:lvl>
  </w:abstractNum>
  <w:abstractNum w:abstractNumId="40">
    <w:nsid w:val="46B7D447"/>
    <w:multiLevelType w:val="hybridMultilevel"/>
    <w:lvl w:ilvl="0">
      <w:lvlJc w:val="left"/>
      <w:lvlText w:val="%1."/>
      <w:numFmt w:val="upperLetter"/>
      <w:start w:val="6"/>
    </w:lvl>
  </w:abstractNum>
  <w:abstractNum w:abstractNumId="41">
    <w:nsid w:val="4A2AC315"/>
    <w:multiLevelType w:val="hybridMultilevel"/>
    <w:lvl w:ilvl="0">
      <w:lvlJc w:val="left"/>
      <w:lvlText w:val="-"/>
      <w:numFmt w:val="bullet"/>
      <w:start w:val="1"/>
    </w:lvl>
  </w:abstractNum>
  <w:abstractNum w:abstractNumId="42">
    <w:nsid w:val="39EE015C"/>
    <w:multiLevelType w:val="hybridMultilevel"/>
    <w:lvl w:ilvl="0">
      <w:lvlJc w:val="left"/>
      <w:lvlText w:val="%1."/>
      <w:numFmt w:val="upperLetter"/>
      <w:start w:val="7"/>
    </w:lvl>
  </w:abstractNum>
  <w:abstractNum w:abstractNumId="43">
    <w:nsid w:val="57FC4FBB"/>
    <w:multiLevelType w:val="hybridMultilevel"/>
    <w:lvl w:ilvl="0">
      <w:lvlJc w:val="left"/>
      <w:lvlText w:val="-"/>
      <w:numFmt w:val="bullet"/>
      <w:start w:val="1"/>
    </w:lvl>
  </w:abstractNum>
  <w:abstractNum w:abstractNumId="44">
    <w:nsid w:val="CC1016F"/>
    <w:multiLevelType w:val="hybridMultilevel"/>
    <w:lvl w:ilvl="0">
      <w:lvlJc w:val="left"/>
      <w:lvlText w:val="%1."/>
      <w:numFmt w:val="upperLetter"/>
      <w:start w:val="1"/>
    </w:lvl>
    <w:lvl w:ilvl="1">
      <w:lvlJc w:val="left"/>
      <w:lvlText w:val="%2."/>
      <w:numFmt w:val="decimal"/>
      <w:start w:val="1"/>
    </w:lvl>
  </w:abstractNum>
  <w:abstractNum w:abstractNumId="45">
    <w:nsid w:val="43F18422"/>
    <w:multiLevelType w:val="hybridMultilevel"/>
    <w:lvl w:ilvl="0">
      <w:lvlJc w:val="left"/>
      <w:lvlText w:val="%1"/>
      <w:numFmt w:val="upperLetter"/>
      <w:start w:val="1"/>
    </w:lvl>
    <w:lvl w:ilvl="1">
      <w:lvlJc w:val="left"/>
      <w:lvlText w:val="%2."/>
      <w:numFmt w:val="decimal"/>
      <w:start w:val="2"/>
    </w:lvl>
  </w:abstractNum>
  <w:abstractNum w:abstractNumId="46">
    <w:nsid w:val="60EF0119"/>
    <w:multiLevelType w:val="hybridMultilevel"/>
    <w:lvl w:ilvl="0">
      <w:lvlJc w:val="left"/>
      <w:lvlText w:val="%1."/>
      <w:numFmt w:val="upperLetter"/>
      <w:start w:val="2"/>
    </w:lvl>
    <w:lvl w:ilvl="1">
      <w:lvlJc w:val="left"/>
      <w:lvlText w:val="%2"/>
      <w:numFmt w:val="decimal"/>
      <w:start w:val="1"/>
    </w:lvl>
  </w:abstractNum>
  <w:abstractNum w:abstractNumId="47">
    <w:nsid w:val="26F324BA"/>
    <w:multiLevelType w:val="hybridMultilevel"/>
    <w:lvl w:ilvl="0">
      <w:lvlJc w:val="left"/>
      <w:lvlText w:val="%1."/>
      <w:numFmt w:val="upperLetter"/>
      <w:start w:val="22"/>
    </w:lvl>
    <w:lvl w:ilvl="1">
      <w:lvlJc w:val="left"/>
      <w:lvlText w:val="%2."/>
      <w:numFmt w:val="upperLetter"/>
      <w:start w:val="1"/>
    </w:lvl>
  </w:abstractNum>
  <w:abstractNum w:abstractNumId="48">
    <w:nsid w:val="7F01579B"/>
    <w:multiLevelType w:val="hybridMultilevel"/>
    <w:lvl w:ilvl="0">
      <w:lvlJc w:val="left"/>
      <w:lvlText w:val="%1."/>
      <w:numFmt w:val="upperLetter"/>
      <w:start w:val="1"/>
    </w:lvl>
  </w:abstractNum>
  <w:abstractNum w:abstractNumId="49">
    <w:nsid w:val="49DA307D"/>
    <w:multiLevelType w:val="hybridMultilevel"/>
    <w:lvl w:ilvl="0">
      <w:lvlJc w:val="left"/>
      <w:lvlText w:val="%1."/>
      <w:numFmt w:val="decimal"/>
      <w:start w:val="1"/>
    </w:lvl>
  </w:abstractNum>
  <w:abstractNum w:abstractNumId="50">
    <w:nsid w:val="7055A5F5"/>
    <w:multiLevelType w:val="hybridMultilevel"/>
    <w:lvl w:ilvl="0">
      <w:lvlJc w:val="left"/>
      <w:lvlText w:val="(%1)"/>
      <w:numFmt w:val="lowerRoman"/>
      <w:start w:val="1"/>
    </w:lvl>
  </w:abstractNum>
  <w:abstractNum w:abstractNumId="51">
    <w:nsid w:val="5FB8370B"/>
    <w:multiLevelType w:val="hybridMultilevel"/>
    <w:lvl w:ilvl="0">
      <w:lvlJc w:val="left"/>
      <w:lvlText w:val="%1."/>
      <w:numFmt w:val="decimal"/>
      <w:start w:val="2"/>
    </w:lvl>
    <w:lvl w:ilvl="1">
      <w:lvlJc w:val="left"/>
      <w:lvlText w:val="‒"/>
      <w:numFmt w:val="bullet"/>
      <w:start w:val="1"/>
    </w:lvl>
  </w:abstractNum>
  <w:abstractNum w:abstractNumId="52">
    <w:nsid w:val="50801EE1"/>
    <w:multiLevelType w:val="hybridMultilevel"/>
    <w:lvl w:ilvl="0">
      <w:lvlJc w:val="left"/>
      <w:lvlText w:val="%1."/>
      <w:numFmt w:val="decimal"/>
      <w:start w:val="4"/>
    </w:lvl>
  </w:abstractNum>
  <w:abstractNum w:abstractNumId="53">
    <w:nsid w:val="488AC1A"/>
    <w:multiLevelType w:val="hybridMultilevel"/>
    <w:lvl w:ilvl="0">
      <w:lvlJc w:val="left"/>
      <w:lvlText w:val="%1."/>
      <w:numFmt w:val="decimal"/>
      <w:start w:val="5"/>
    </w:lvl>
    <w:lvl w:ilvl="1">
      <w:lvlJc w:val="left"/>
      <w:lvlText w:val="(%2)"/>
      <w:numFmt w:val="upperLetter"/>
      <w:start w:val="1"/>
    </w:lvl>
    <w:lvl w:ilvl="2">
      <w:lvlJc w:val="left"/>
      <w:lvlText w:val="%3."/>
      <w:numFmt w:val="upperLetter"/>
      <w:start w:val="1"/>
    </w:lvl>
    <w:lvl w:ilvl="3">
      <w:lvlJc w:val="left"/>
      <w:lvlText w:val="(%4)"/>
      <w:numFmt w:val="lowerRoman"/>
      <w:start w:val="1"/>
    </w:lvl>
    <w:lvl w:ilvl="4">
      <w:lvlJc w:val="left"/>
      <w:lvlText w:val="(%5)"/>
      <w:numFmt w:val="lowerRoman"/>
      <w:start w:val="2"/>
    </w:lvl>
    <w:lvl w:ilvl="5">
      <w:lvlJc w:val="left"/>
      <w:lvlText w:val="(%6)"/>
      <w:numFmt w:val="upperLetter"/>
      <w:start w:val="1"/>
    </w:lvl>
  </w:abstractNum>
  <w:abstractNum w:abstractNumId="54">
    <w:nsid w:val="5FB8011C"/>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3"/>
    </w:lvl>
    <w:lvl w:ilvl="3">
      <w:lvlJc w:val="left"/>
      <w:lvlText w:val="%4"/>
      <w:numFmt w:val="lowerRoman"/>
      <w:start w:val="1"/>
    </w:lvl>
    <w:lvl w:ilvl="4">
      <w:lvlJc w:val="left"/>
      <w:lvlText w:val="%5"/>
      <w:numFmt w:val="lowerRoman"/>
      <w:start w:val="1"/>
    </w:lvl>
    <w:lvl w:ilvl="5">
      <w:lvlJc w:val="left"/>
      <w:lvlText w:val="%6"/>
      <w:numFmt w:val="upperLetter"/>
      <w:start w:val="1"/>
    </w:lvl>
  </w:abstractNum>
  <w:abstractNum w:abstractNumId="55">
    <w:nsid w:val="6AA78F7F"/>
    <w:multiLevelType w:val="hybridMultilevel"/>
    <w:lvl w:ilvl="0">
      <w:lvlJc w:val="left"/>
      <w:lvlText w:val="%1"/>
      <w:numFmt w:val="decimal"/>
      <w:start w:val="1"/>
    </w:lvl>
    <w:lvl w:ilvl="1">
      <w:lvlJc w:val="left"/>
      <w:lvlText w:val="%2."/>
      <w:numFmt w:val="upperLetter"/>
      <w:start w:val="4"/>
    </w:lvl>
  </w:abstractNum>
  <w:abstractNum w:abstractNumId="56">
    <w:nsid w:val="7672BD23"/>
    <w:multiLevelType w:val="hybridMultilevel"/>
    <w:lvl w:ilvl="0">
      <w:lvlJc w:val="left"/>
      <w:lvlText w:val="%1."/>
      <w:numFmt w:val="decimal"/>
      <w:start w:val="6"/>
    </w:lvl>
    <w:lvl w:ilvl="1">
      <w:lvlJc w:val="left"/>
      <w:lvlText w:val="%2."/>
      <w:numFmt w:val="upperLetter"/>
      <w:start w:val="1"/>
    </w:lvl>
  </w:abstractNum>
  <w:abstractNum w:abstractNumId="57">
    <w:nsid w:val="6FC75AF8"/>
    <w:multiLevelType w:val="hybridMultilevel"/>
    <w:lvl w:ilvl="0">
      <w:lvlJc w:val="left"/>
      <w:lvlText w:val="%1"/>
      <w:numFmt w:val="decimal"/>
      <w:start w:val="1"/>
    </w:lvl>
    <w:lvl w:ilvl="1">
      <w:lvlJc w:val="left"/>
      <w:lvlText w:val="%2."/>
      <w:numFmt w:val="upperLetter"/>
      <w:start w:val="3"/>
    </w:lvl>
  </w:abstractNum>
  <w:abstractNum w:abstractNumId="58">
    <w:nsid w:val="6A5F7029"/>
    <w:multiLevelType w:val="hybridMultilevel"/>
    <w:lvl w:ilvl="0">
      <w:lvlJc w:val="left"/>
      <w:lvlText w:val="%1."/>
      <w:numFmt w:val="decimal"/>
      <w:start w:val="8"/>
    </w:lvl>
    <w:lvl w:ilvl="1">
      <w:lvlJc w:val="left"/>
      <w:lvlText w:val="%2."/>
      <w:numFmt w:val="upperLetter"/>
      <w:start w:val="1"/>
    </w:lvl>
  </w:abstractNum>
  <w:abstractNum w:abstractNumId="59">
    <w:nsid w:val="7D5E18F8"/>
    <w:multiLevelType w:val="hybridMultilevel"/>
    <w:lvl w:ilvl="0">
      <w:lvlJc w:val="left"/>
      <w:lvlText w:val="%1"/>
      <w:numFmt w:val="decimal"/>
      <w:start w:val="1"/>
    </w:lvl>
    <w:lvl w:ilvl="1">
      <w:lvlJc w:val="left"/>
      <w:lvlText w:val="%2."/>
      <w:numFmt w:val="upperLetter"/>
      <w:start w:val="2"/>
    </w:lvl>
  </w:abstractNum>
  <w:abstractNum w:abstractNumId="60">
    <w:nsid w:val="5F3534A4"/>
    <w:multiLevelType w:val="hybridMultilevel"/>
    <w:lvl w:ilvl="0">
      <w:lvlJc w:val="left"/>
      <w:lvlText w:val="%1."/>
      <w:numFmt w:val="decimal"/>
      <w:start w:val="11"/>
    </w:lvl>
    <w:lvl w:ilvl="1">
      <w:lvlJc w:val="left"/>
      <w:lvlText w:val="%2"/>
      <w:numFmt w:val="upperLetter"/>
      <w:start w:val="1"/>
    </w:lvl>
  </w:abstractNum>
  <w:abstractNum w:abstractNumId="61">
    <w:nsid w:val="73A1821B"/>
    <w:multiLevelType w:val="hybridMultilevel"/>
    <w:lvl w:ilvl="0">
      <w:lvlJc w:val="left"/>
      <w:lvlText w:val="%1."/>
      <w:numFmt w:val="upperLetter"/>
      <w:start w:val="1"/>
    </w:lvl>
    <w:lvl w:ilvl="1">
      <w:lvlJc w:val="left"/>
      <w:lvlText w:val="%2."/>
      <w:numFmt w:val="lowerRoman"/>
      <w:start w:val="1"/>
    </w:lvl>
  </w:abstractNum>
  <w:abstractNum w:abstractNumId="62">
    <w:nsid w:val="7DE67713"/>
    <w:multiLevelType w:val="hybridMultilevel"/>
    <w:lvl w:ilvl="0">
      <w:lvlJc w:val="left"/>
      <w:lvlText w:val="%1."/>
      <w:numFmt w:val="lowerRoman"/>
      <w:start w:val="5"/>
    </w:lvl>
  </w:abstractNum>
  <w:abstractNum w:abstractNumId="63">
    <w:nsid w:val="555C55B5"/>
    <w:multiLevelType w:val="hybridMultilevel"/>
    <w:lvl w:ilvl="0">
      <w:lvlJc w:val="left"/>
      <w:lvlText w:val="%1."/>
      <w:numFmt w:val="upperLetter"/>
      <w:start w:val="6"/>
    </w:lvl>
    <w:lvl w:ilvl="1">
      <w:lvlJc w:val="left"/>
      <w:lvlText w:val="%2."/>
      <w:numFmt w:val="lowerRoman"/>
      <w:start w:val="1"/>
    </w:lvl>
  </w:abstractNum>
  <w:abstractNum w:abstractNumId="64">
    <w:nsid w:val="3FA62ACA"/>
    <w:multiLevelType w:val="hybridMultilevel"/>
    <w:lvl w:ilvl="0">
      <w:lvlJc w:val="left"/>
      <w:lvlText w:val="%1."/>
      <w:numFmt w:val="lowerRoman"/>
      <w:start w:val="3"/>
    </w:lvl>
  </w:abstractNum>
  <w:abstractNum w:abstractNumId="65">
    <w:nsid w:val="14FCE74E"/>
    <w:multiLevelType w:val="hybridMultilevel"/>
    <w:lvl w:ilvl="0">
      <w:lvlJc w:val="left"/>
      <w:lvlText w:val="%1."/>
      <w:numFmt w:val="upperLetter"/>
      <w:start w:val="12"/>
    </w:lvl>
    <w:lvl w:ilvl="1">
      <w:lvlJc w:val="left"/>
      <w:lvlText w:val="%2."/>
      <w:numFmt w:val="lowerRoman"/>
      <w:start w:val="1"/>
    </w:lvl>
  </w:abstractNum>
  <w:abstractNum w:abstractNumId="66">
    <w:nsid w:val="6A3DD3E8"/>
    <w:multiLevelType w:val="hybridMultilevel"/>
    <w:lvl w:ilvl="0">
      <w:lvlJc w:val="left"/>
      <w:lvlText w:val="%1."/>
      <w:numFmt w:val="lowerRoman"/>
      <w:start w:val="4"/>
    </w:lvl>
  </w:abstractNum>
  <w:abstractNum w:abstractNumId="67">
    <w:nsid w:val="71C91298"/>
    <w:multiLevelType w:val="hybridMultilevel"/>
    <w:lvl w:ilvl="0">
      <w:lvlJc w:val="left"/>
      <w:lvlText w:val="%1."/>
      <w:numFmt w:val="upperLetter"/>
      <w:start w:val="13"/>
    </w:lvl>
  </w:abstractNum>
  <w:abstractNum w:abstractNumId="68">
    <w:nsid w:val="9DAF632"/>
    <w:multiLevelType w:val="hybridMultilevel"/>
    <w:lvl w:ilvl="0">
      <w:lvlJc w:val="left"/>
      <w:lvlText w:val="%1"/>
      <w:numFmt w:val="lowerRoman"/>
      <w:start w:val="1"/>
    </w:lvl>
    <w:lvl w:ilvl="1">
      <w:lvlJc w:val="left"/>
      <w:lvlText w:val="%2."/>
      <w:numFmt w:val="upperLetter"/>
      <w:start w:val="17"/>
    </w:lvl>
  </w:abstractNum>
  <w:abstractNum w:abstractNumId="69">
    <w:nsid w:val="53299938"/>
    <w:multiLevelType w:val="hybridMultilevel"/>
    <w:lvl w:ilvl="0">
      <w:lvlJc w:val="left"/>
      <w:lvlText w:val="(%1)"/>
      <w:numFmt w:val="lowerRoman"/>
      <w:start w:val="7"/>
    </w:lvl>
    <w:lvl w:ilvl="1">
      <w:lvlJc w:val="left"/>
      <w:lvlText w:val="%2."/>
      <w:numFmt w:val="upperLetter"/>
      <w:start w:val="22"/>
    </w:lvl>
  </w:abstractNum>
  <w:abstractNum w:abstractNumId="70">
    <w:nsid w:val="1FBFE8E0"/>
    <w:multiLevelType w:val="hybridMultilevel"/>
    <w:lvl w:ilvl="0">
      <w:lvlJc w:val="left"/>
      <w:lvlText w:val="%1"/>
      <w:numFmt w:val="upperLetter"/>
      <w:start w:val="1"/>
    </w:lvl>
    <w:lvl w:ilvl="1">
      <w:lvlJc w:val="left"/>
      <w:lvlText w:val="%2."/>
      <w:numFmt w:val="lowerRoman"/>
      <w:start w:val="1"/>
    </w:lvl>
  </w:abstractNum>
  <w:abstractNum w:abstractNumId="71">
    <w:nsid w:val="5092CA79"/>
    <w:multiLevelType w:val="hybridMultilevel"/>
    <w:lvl w:ilvl="0">
      <w:lvlJc w:val="left"/>
      <w:lvlText w:val="%1."/>
      <w:numFmt w:val="upperLetter"/>
      <w:start w:val="25"/>
    </w:lvl>
    <w:lvl w:ilvl="1">
      <w:lvlJc w:val="left"/>
      <w:lvlText w:val="%2"/>
      <w:numFmt w:val="lowerRoman"/>
      <w:start w:val="1"/>
    </w:lvl>
  </w:abstractNum>
  <w:abstractNum w:abstractNumId="72">
    <w:nsid w:val="1D545C4D"/>
    <w:multiLevelType w:val="hybridMultilevel"/>
    <w:lvl w:ilvl="0">
      <w:lvlJc w:val="left"/>
      <w:lvlText w:val="%1."/>
      <w:numFmt w:val="upperLetter"/>
      <w:start w:val="27"/>
    </w:lvl>
  </w:abstractNum>
  <w:abstractNum w:abstractNumId="73">
    <w:nsid w:val="59ADEA3D"/>
    <w:multiLevelType w:val="hybridMultilevel"/>
    <w:lvl w:ilvl="0">
      <w:lvlJc w:val="left"/>
      <w:lvlText w:val="%1."/>
      <w:numFmt w:val="lowerRoman"/>
      <w:start w:val="1"/>
    </w:lvl>
  </w:abstractNum>
  <w:abstractNum w:abstractNumId="74">
    <w:nsid w:val="288F1A34"/>
    <w:multiLevelType w:val="hybridMultilevel"/>
    <w:lvl w:ilvl="0">
      <w:lvlJc w:val="left"/>
      <w:lvlText w:val="%1."/>
      <w:numFmt w:val="upperLetter"/>
      <w:start w:val="1"/>
    </w:lvl>
  </w:abstractNum>
  <w:abstractNum w:abstractNumId="75">
    <w:nsid w:val="2A155DBC"/>
    <w:multiLevelType w:val="hybridMultilevel"/>
    <w:lvl w:ilvl="0">
      <w:lvlJc w:val="left"/>
      <w:lvlText w:val="%1."/>
      <w:numFmt w:val="decimal"/>
      <w:start w:val="1"/>
    </w:lvl>
  </w:abstractNum>
  <w:abstractNum w:abstractNumId="76">
    <w:nsid w:val="1D9F6E5F"/>
    <w:multiLevelType w:val="hybridMultilevel"/>
    <w:lvl w:ilvl="0">
      <w:lvlJc w:val="left"/>
      <w:lvlText w:val="%1."/>
      <w:numFmt w:val="decimal"/>
      <w:start w:val="2"/>
    </w:lvl>
  </w:abstractNum>
  <w:abstractNum w:abstractNumId="77">
    <w:nsid w:val="97E1B4E"/>
    <w:multiLevelType w:val="hybridMultilevel"/>
    <w:lvl w:ilvl="0">
      <w:lvlJc w:val="left"/>
      <w:lvlText w:val="%1."/>
      <w:numFmt w:val="decimal"/>
      <w:start w:val="3"/>
    </w:lvl>
    <w:lvl w:ilvl="1">
      <w:lvlJc w:val="left"/>
      <w:lvlText w:val="‒"/>
      <w:numFmt w:val="bullet"/>
      <w:start w:val="1"/>
    </w:lvl>
  </w:abstractNum>
  <w:abstractNum w:abstractNumId="78">
    <w:nsid w:val="51088277"/>
    <w:multiLevelType w:val="hybridMultilevel"/>
    <w:lvl w:ilvl="0">
      <w:lvlJc w:val="left"/>
      <w:lvlText w:val="%1."/>
      <w:numFmt w:val="decimal"/>
      <w:start w:val="4"/>
    </w:lvl>
    <w:lvl w:ilvl="1">
      <w:lvlJc w:val="left"/>
      <w:lvlText w:val="%2"/>
      <w:numFmt w:val="upperLetter"/>
      <w:start w:val="1"/>
    </w:lvl>
  </w:abstractNum>
  <w:abstractNum w:abstractNumId="79">
    <w:nsid w:val="1CA0C5FA"/>
    <w:multiLevelType w:val="hybridMultilevel"/>
    <w:lvl w:ilvl="0">
      <w:lvlJc w:val="left"/>
      <w:lvlText w:val="%1."/>
      <w:numFmt w:val="upperLetter"/>
      <w:start w:val="2"/>
    </w:lvl>
    <w:lvl w:ilvl="1">
      <w:lvlJc w:val="left"/>
      <w:lvlText w:val="%2."/>
      <w:numFmt w:val="lowerRoman"/>
      <w:start w:val="1"/>
    </w:lvl>
  </w:abstractNum>
  <w:abstractNum w:abstractNumId="80">
    <w:nsid w:val="53584BCB"/>
    <w:multiLevelType w:val="hybridMultilevel"/>
    <w:lvl w:ilvl="0">
      <w:lvlJc w:val="left"/>
      <w:lvlText w:val="(%1)"/>
      <w:numFmt w:val="upperLetter"/>
      <w:start w:val="1"/>
    </w:lvl>
  </w:abstractNum>
  <w:abstractNum w:abstractNumId="81">
    <w:nsid w:val="415E286C"/>
    <w:multiLevelType w:val="hybridMultilevel"/>
    <w:lvl w:ilvl="0">
      <w:lvlJc w:val="left"/>
      <w:lvlText w:val="%1."/>
      <w:numFmt w:val="upperLetter"/>
      <w:start w:val="3"/>
    </w:lvl>
  </w:abstractNum>
  <w:abstractNum w:abstractNumId="82">
    <w:nsid w:val="7C58FD05"/>
    <w:multiLevelType w:val="hybridMultilevel"/>
    <w:lvl w:ilvl="0">
      <w:lvlJc w:val="left"/>
      <w:lvlText w:val="%1"/>
      <w:numFmt w:val="decimal"/>
      <w:start w:val="1"/>
    </w:lvl>
    <w:lvl w:ilvl="1">
      <w:lvlJc w:val="left"/>
      <w:lvlText w:val="%2."/>
      <w:numFmt w:val="upperLetter"/>
      <w:start w:val="4"/>
    </w:lvl>
  </w:abstractNum>
  <w:abstractNum w:abstractNumId="83">
    <w:nsid w:val="23D86AAC"/>
    <w:multiLevelType w:val="hybridMultilevel"/>
    <w:lvl w:ilvl="0">
      <w:lvlJc w:val="left"/>
      <w:lvlText w:val="%1."/>
      <w:numFmt w:val="decimal"/>
      <w:start w:val="6"/>
    </w:lvl>
    <w:lvl w:ilvl="1">
      <w:lvlJc w:val="left"/>
      <w:lvlText w:val="%2."/>
      <w:numFmt w:val="upperLetter"/>
      <w:start w:val="1"/>
    </w:lvl>
  </w:abstractNum>
  <w:abstractNum w:abstractNumId="84">
    <w:nsid w:val="45E6D486"/>
    <w:multiLevelType w:val="hybridMultilevel"/>
    <w:lvl w:ilvl="0">
      <w:lvlJc w:val="left"/>
      <w:lvlText w:val="%1"/>
      <w:numFmt w:val="decimal"/>
      <w:start w:val="1"/>
    </w:lvl>
    <w:lvl w:ilvl="1">
      <w:lvlJc w:val="left"/>
      <w:lvlText w:val="%2."/>
      <w:numFmt w:val="upperLetter"/>
      <w:start w:val="3"/>
    </w:lvl>
  </w:abstractNum>
  <w:abstractNum w:abstractNumId="85">
    <w:nsid w:val="5C10FE21"/>
    <w:multiLevelType w:val="hybridMultilevel"/>
    <w:lvl w:ilvl="0">
      <w:lvlJc w:val="left"/>
      <w:lvlText w:val="%1."/>
      <w:numFmt w:val="decimal"/>
      <w:start w:val="8"/>
    </w:lvl>
    <w:lvl w:ilvl="1">
      <w:lvlJc w:val="left"/>
      <w:lvlText w:val="%2."/>
      <w:numFmt w:val="upperLetter"/>
      <w:start w:val="1"/>
    </w:lvl>
  </w:abstractNum>
  <w:abstractNum w:abstractNumId="86">
    <w:nsid w:val="E7FFA2B"/>
    <w:multiLevelType w:val="hybridMultilevel"/>
    <w:lvl w:ilvl="0">
      <w:lvlJc w:val="left"/>
      <w:lvlText w:val="%1"/>
      <w:numFmt w:val="decimal"/>
      <w:start w:val="1"/>
    </w:lvl>
    <w:lvl w:ilvl="1">
      <w:lvlJc w:val="left"/>
      <w:lvlText w:val="%2."/>
      <w:numFmt w:val="upperLetter"/>
      <w:start w:val="2"/>
    </w:lvl>
  </w:abstractNum>
  <w:abstractNum w:abstractNumId="87">
    <w:nsid w:val="3C5991AA"/>
    <w:multiLevelType w:val="hybridMultilevel"/>
    <w:lvl w:ilvl="0">
      <w:lvlJc w:val="left"/>
      <w:lvlText w:val="%1."/>
      <w:numFmt w:val="decimal"/>
      <w:start w:val="11"/>
    </w:lvl>
    <w:lvl w:ilvl="1">
      <w:lvlJc w:val="left"/>
      <w:lvlText w:val="%2"/>
      <w:numFmt w:val="upperLetter"/>
      <w:start w:val="1"/>
    </w:lvl>
  </w:abstractNum>
  <w:abstractNum w:abstractNumId="88">
    <w:nsid w:val="4BD8591A"/>
    <w:multiLevelType w:val="hybridMultilevel"/>
    <w:lvl w:ilvl="0">
      <w:lvlJc w:val="left"/>
      <w:lvlText w:val="%1."/>
      <w:numFmt w:val="upperLetter"/>
      <w:start w:val="1"/>
    </w:lvl>
    <w:lvl w:ilvl="1">
      <w:lvlJc w:val="left"/>
      <w:lvlText w:val="%2."/>
      <w:numFmt w:val="lowerRoman"/>
      <w:start w:val="1"/>
    </w:lvl>
  </w:abstractNum>
  <w:abstractNum w:abstractNumId="89">
    <w:nsid w:val="78DF6A55"/>
    <w:multiLevelType w:val="hybridMultilevel"/>
    <w:lvl w:ilvl="0">
      <w:lvlJc w:val="left"/>
      <w:lvlText w:val="%1."/>
      <w:numFmt w:val="lowerRoman"/>
      <w:start w:val="5"/>
    </w:lvl>
  </w:abstractNum>
  <w:abstractNum w:abstractNumId="90">
    <w:nsid w:val="39B7AAA2"/>
    <w:multiLevelType w:val="hybridMultilevel"/>
    <w:lvl w:ilvl="0">
      <w:lvlJc w:val="left"/>
      <w:lvlText w:val="%1."/>
      <w:numFmt w:val="upperLetter"/>
      <w:start w:val="6"/>
    </w:lvl>
    <w:lvl w:ilvl="1">
      <w:lvlJc w:val="left"/>
      <w:lvlText w:val="%2."/>
      <w:numFmt w:val="lowerRoman"/>
      <w:start w:val="1"/>
    </w:lvl>
  </w:abstractNum>
  <w:abstractNum w:abstractNumId="91">
    <w:nsid w:val="2B0D8DBE"/>
    <w:multiLevelType w:val="hybridMultilevel"/>
    <w:lvl w:ilvl="0">
      <w:lvlJc w:val="left"/>
      <w:lvlText w:val="%1."/>
      <w:numFmt w:val="lowerRoman"/>
      <w:start w:val="3"/>
    </w:lvl>
  </w:abstractNum>
  <w:abstractNum w:abstractNumId="92">
    <w:nsid w:val="6C80EC70"/>
    <w:multiLevelType w:val="hybridMultilevel"/>
    <w:lvl w:ilvl="0">
      <w:lvlJc w:val="left"/>
      <w:lvlText w:val="%1."/>
      <w:numFmt w:val="upperLetter"/>
      <w:start w:val="12"/>
    </w:lvl>
    <w:lvl w:ilvl="1">
      <w:lvlJc w:val="left"/>
      <w:lvlText w:val="%2."/>
      <w:numFmt w:val="lowerRoman"/>
      <w:start w:val="1"/>
    </w:lvl>
  </w:abstractNum>
  <w:abstractNum w:abstractNumId="93">
    <w:nsid w:val="379E21B5"/>
    <w:multiLevelType w:val="hybridMultilevel"/>
    <w:lvl w:ilvl="0">
      <w:lvlJc w:val="left"/>
      <w:lvlText w:val="%1."/>
      <w:numFmt w:val="upperLetter"/>
      <w:start w:val="14"/>
    </w:lvl>
  </w:abstractNum>
  <w:abstractNum w:abstractNumId="94">
    <w:nsid w:val="69E373"/>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18"/>
    </w:lvl>
  </w:abstractNum>
  <w:abstractNum w:abstractNumId="95">
    <w:nsid w:val="2C27173B"/>
    <w:multiLevelType w:val="hybridMultilevel"/>
    <w:lvl w:ilvl="0">
      <w:lvlJc w:val="left"/>
      <w:lvlText w:val="(%1)"/>
      <w:numFmt w:val="lowerRoman"/>
      <w:start w:val="7"/>
    </w:lvl>
    <w:lvl w:ilvl="1">
      <w:lvlJc w:val="left"/>
      <w:lvlText w:val="%2."/>
      <w:numFmt w:val="upperLetter"/>
      <w:start w:val="22"/>
    </w:lvl>
    <w:lvl w:ilvl="2">
      <w:lvlJc w:val="left"/>
      <w:lvlText w:val="%3"/>
      <w:numFmt w:val="upperLetter"/>
      <w:start w:val="1"/>
    </w:lvl>
  </w:abstractNum>
  <w:abstractNum w:abstractNumId="96">
    <w:nsid w:val="4C9B0904"/>
    <w:multiLevelType w:val="hybridMultilevel"/>
    <w:lvl w:ilvl="0">
      <w:lvlJc w:val="left"/>
      <w:lvlText w:val="%1"/>
      <w:numFmt w:val="upperLetter"/>
      <w:start w:val="1"/>
    </w:lvl>
    <w:lvl w:ilvl="1">
      <w:lvlJc w:val="left"/>
      <w:lvlText w:val="%2."/>
      <w:numFmt w:val="lowerRoman"/>
      <w:start w:val="1"/>
    </w:lvl>
  </w:abstractNum>
  <w:abstractNum w:abstractNumId="97">
    <w:nsid w:val="6AA7B75C"/>
    <w:multiLevelType w:val="hybridMultilevel"/>
    <w:lvl w:ilvl="0">
      <w:lvlJc w:val="left"/>
      <w:lvlText w:val="%1."/>
      <w:numFmt w:val="upperLetter"/>
      <w:start w:val="25"/>
    </w:lvl>
    <w:lvl w:ilvl="1">
      <w:lvlJc w:val="left"/>
      <w:lvlText w:val="%2"/>
      <w:numFmt w:val="lowerRoman"/>
      <w:start w:val="1"/>
    </w:lvl>
  </w:abstractNum>
  <w:abstractNum w:abstractNumId="98">
    <w:nsid w:val="1DF029D3"/>
    <w:multiLevelType w:val="hybridMultilevel"/>
    <w:lvl w:ilvl="0">
      <w:lvlJc w:val="left"/>
      <w:lvlText w:val="%1."/>
      <w:numFmt w:val="upperLetter"/>
      <w:start w:val="27"/>
    </w:lvl>
  </w:abstractNum>
  <w:abstractNum w:abstractNumId="99">
    <w:nsid w:val="5675FF36"/>
    <w:multiLevelType w:val="hybridMultilevel"/>
    <w:lvl w:ilvl="0">
      <w:lvlJc w:val="left"/>
      <w:lvlText w:val="%1."/>
      <w:numFmt w:val="upperLetter"/>
      <w:start w:val="9"/>
    </w:lvl>
  </w:abstractNum>
  <w:abstractNum w:abstractNumId="100">
    <w:nsid w:val="3DD15094"/>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101">
    <w:nsid w:val="3DB012B3"/>
    <w:multiLevelType w:val="hybridMultilevel"/>
    <w:lvl w:ilvl="0">
      <w:lvlJc w:val="left"/>
      <w:lvlText w:val="%1"/>
      <w:numFmt w:val="upperLetter"/>
      <w:start w:val="1"/>
    </w:lvl>
    <w:lvl w:ilvl="1">
      <w:lvlJc w:val="left"/>
      <w:lvlText w:val="%2."/>
      <w:numFmt w:val="decimal"/>
      <w:start w:val="3"/>
    </w:lvl>
  </w:abstractNum>
  <w:abstractNum w:abstractNumId="102">
    <w:nsid w:val="2708C9AF"/>
    <w:multiLevelType w:val="hybridMultilevel"/>
    <w:lvl w:ilvl="0">
      <w:lvlJc w:val="left"/>
      <w:lvlText w:val="%1."/>
      <w:numFmt w:val="upperLetter"/>
      <w:start w:val="2"/>
    </w:lvl>
    <w:lvl w:ilvl="1">
      <w:lvlJc w:val="left"/>
      <w:lvlText w:val="%2."/>
      <w:numFmt w:val="decimal"/>
      <w:start w:val="1"/>
    </w:lvl>
  </w:abstractNum>
  <w:abstractNum w:abstractNumId="103">
    <w:nsid w:val="5B25ACE2"/>
    <w:multiLevelType w:val="hybridMultilevel"/>
    <w:lvl w:ilvl="0">
      <w:lvlJc w:val="left"/>
      <w:lvlText w:val="%1"/>
      <w:numFmt w:val="upperLetter"/>
      <w:start w:val="1"/>
    </w:lvl>
    <w:lvl w:ilvl="1">
      <w:lvlJc w:val="left"/>
      <w:lvlText w:val="%2."/>
      <w:numFmt w:val="upperLetter"/>
      <w:start w:val="3"/>
    </w:lvl>
  </w:abstractNum>
  <w:abstractNum w:abstractNumId="104">
    <w:nsid w:val="175DFCF0"/>
    <w:multiLevelType w:val="hybridMultilevel"/>
    <w:lvl w:ilvl="0">
      <w:lvlJc w:val="left"/>
      <w:lvlText w:val="%1."/>
      <w:numFmt w:val="upperLetter"/>
      <w:start w:val="61"/>
    </w:lvl>
    <w:lvl w:ilvl="1">
      <w:lvlJc w:val="left"/>
      <w:lvlText w:val="%2"/>
      <w:numFmt w:val="upperLetter"/>
      <w:start w:val="1"/>
    </w:lvl>
  </w:abstractNum>
  <w:abstractNum w:abstractNumId="105">
    <w:nsid w:val="4F97E3E4"/>
    <w:multiLevelType w:val="hybridMultilevel"/>
    <w:lvl w:ilvl="0">
      <w:lvlJc w:val="left"/>
      <w:lvlText w:val="%1."/>
      <w:numFmt w:val="upperLetter"/>
      <w:start w:val="1"/>
    </w:lvl>
  </w:abstractNum>
  <w:abstractNum w:abstractNumId="106">
    <w:nsid w:val="53B0A9E"/>
    <w:multiLevelType w:val="hybridMultilevel"/>
    <w:lvl w:ilvl="0">
      <w:lvlJc w:val="left"/>
      <w:lvlText w:val="%1."/>
      <w:numFmt w:val="upperLetter"/>
      <w:start w:val="2"/>
    </w:lvl>
    <w:lvl w:ilvl="1">
      <w:lvlJc w:val="left"/>
      <w:lvlText w:val="%2."/>
      <w:numFmt w:val="decimal"/>
      <w:start w:val="1"/>
    </w:lvl>
  </w:abstractNum>
  <w:abstractNum w:abstractNumId="107">
    <w:nsid w:val="34FD6B4F"/>
    <w:multiLevelType w:val="hybridMultilevel"/>
    <w:lvl w:ilvl="0">
      <w:lvlJc w:val="left"/>
      <w:lvlText w:val="%1."/>
      <w:numFmt w:val="upperLetter"/>
      <w:start w:val="4"/>
    </w:lvl>
  </w:abstractNum>
  <w:abstractNum w:abstractNumId="108">
    <w:nsid w:val="5915FF32"/>
    <w:multiLevelType w:val="hybridMultilevel"/>
    <w:lvl w:ilvl="0">
      <w:lvlJc w:val="left"/>
      <w:lvlText w:val="%1."/>
      <w:numFmt w:val="decimal"/>
      <w:start w:val="1"/>
    </w:lvl>
  </w:abstractNum>
  <w:abstractNum w:abstractNumId="109">
    <w:nsid w:val="56438D15"/>
    <w:multiLevelType w:val="hybridMultilevel"/>
    <w:lvl w:ilvl="0">
      <w:lvlJc w:val="left"/>
      <w:lvlText w:val="(%1)"/>
      <w:numFmt w:val="lowerLetter"/>
      <w:start w:val="1"/>
    </w:lvl>
  </w:abstractNum>
  <w:abstractNum w:abstractNumId="110">
    <w:nsid w:val="519E3149"/>
    <w:multiLevelType w:val="hybridMultilevel"/>
    <w:lvl w:ilvl="0">
      <w:lvlJc w:val="left"/>
      <w:lvlText w:val="%1."/>
      <w:numFmt w:val="decimal"/>
      <w:start w:val="2"/>
    </w:lvl>
  </w:abstractNum>
  <w:abstractNum w:abstractNumId="111">
    <w:nsid w:val="2C6E4AFD"/>
    <w:multiLevelType w:val="hybridMultilevel"/>
    <w:lvl w:ilvl="0">
      <w:lvlJc w:val="left"/>
      <w:lvlText w:val="%1."/>
      <w:numFmt w:val="upperLetter"/>
      <w:start w:val="2"/>
    </w:lvl>
  </w:abstractNum>
  <w:abstractNum w:abstractNumId="112">
    <w:nsid w:val="17A1B582"/>
    <w:multiLevelType w:val="hybridMultilevel"/>
    <w:lvl w:ilvl="0">
      <w:lvlJc w:val="left"/>
      <w:lvlText w:val="(%1)"/>
      <w:numFmt w:val="lowerLetter"/>
      <w:start w:val="1"/>
    </w:lvl>
  </w:abstractNum>
  <w:abstractNum w:abstractNumId="113">
    <w:nsid w:val="4DF72E4E"/>
    <w:multiLevelType w:val="hybridMultilevel"/>
    <w:lvl w:ilvl="0">
      <w:lvlJc w:val="left"/>
      <w:lvlText w:val="(%1)"/>
      <w:numFmt w:val="lowerLetter"/>
      <w:start w:val="2"/>
    </w:lvl>
  </w:abstractNum>
  <w:abstractNum w:abstractNumId="114">
    <w:nsid w:val="5046B5A9"/>
    <w:multiLevelType w:val="hybridMultilevel"/>
    <w:lvl w:ilvl="0">
      <w:lvlJc w:val="left"/>
      <w:lvlText w:val="(%1)"/>
      <w:numFmt w:val="lowerLetter"/>
      <w:start w:val="1"/>
    </w:lvl>
  </w:abstractNum>
  <w:abstractNum w:abstractNumId="115">
    <w:nsid w:val="5D888A08"/>
    <w:multiLevelType w:val="hybridMultilevel"/>
    <w:lvl w:ilvl="0">
      <w:lvlJc w:val="left"/>
      <w:lvlText w:val="(%1)"/>
      <w:numFmt w:val="lowerLetter"/>
      <w:start w:val="13"/>
    </w:lvl>
  </w:abstractNum>
  <w:abstractNum w:abstractNumId="116">
    <w:nsid w:val="2A082C70"/>
    <w:multiLevelType w:val="hybridMultilevel"/>
    <w:lvl w:ilvl="0">
      <w:lvlJc w:val="left"/>
      <w:lvlText w:val="%1."/>
      <w:numFmt w:val="upperLetter"/>
      <w:start w:val="3"/>
    </w:lvl>
  </w:abstractNum>
  <w:abstractNum w:abstractNumId="117">
    <w:nsid w:val="5EC6AFD4"/>
    <w:multiLevelType w:val="hybridMultilevel"/>
    <w:lvl w:ilvl="0">
      <w:lvlJc w:val="left"/>
      <w:lvlText w:val="%1."/>
      <w:numFmt w:val="upperLetter"/>
      <w:start w:val="4"/>
    </w:lvl>
  </w:abstractNum>
  <w:abstractNum w:abstractNumId="118">
    <w:nsid w:val="19E21BB2"/>
    <w:multiLevelType w:val="hybridMultilevel"/>
    <w:lvl w:ilvl="0">
      <w:lvlJc w:val="left"/>
      <w:lvlText w:val="%1."/>
      <w:numFmt w:val="decimal"/>
      <w:start w:val="3"/>
    </w:lvl>
  </w:abstractNum>
  <w:abstractNum w:abstractNumId="119">
    <w:nsid w:val="75E0858A"/>
    <w:multiLevelType w:val="hybridMultilevel"/>
    <w:lvl w:ilvl="0">
      <w:lvlJc w:val="left"/>
      <w:lvlText w:val="%1."/>
      <w:numFmt w:val="upperLetter"/>
      <w:start w:val="2"/>
    </w:lvl>
  </w:abstractNum>
  <w:abstractNum w:abstractNumId="120">
    <w:nsid w:val="57A61A29"/>
    <w:multiLevelType w:val="hybridMultilevel"/>
    <w:lvl w:ilvl="0">
      <w:lvlJc w:val="left"/>
      <w:lvlText w:val="(%1)"/>
      <w:numFmt w:val="lowerLetter"/>
      <w:start w:val="1"/>
    </w:lvl>
  </w:abstractNum>
  <w:abstractNum w:abstractNumId="121">
    <w:nsid w:val="5399C654"/>
    <w:multiLevelType w:val="hybridMultilevel"/>
    <w:lvl w:ilvl="0">
      <w:lvlJc w:val="left"/>
      <w:lvlText w:val="%1."/>
      <w:numFmt w:val="upperLetter"/>
      <w:start w:val="3"/>
    </w:lvl>
  </w:abstractNum>
  <w:abstractNum w:abstractNumId="122">
    <w:nsid w:val="20EE1348"/>
    <w:multiLevelType w:val="hybridMultilevel"/>
    <w:lvl w:ilvl="0">
      <w:lvlJc w:val="left"/>
      <w:lvlText w:val="(%1)"/>
      <w:numFmt w:val="lowerLetter"/>
      <w:start w:val="1"/>
    </w:lvl>
  </w:abstractNum>
  <w:abstractNum w:abstractNumId="123">
    <w:nsid w:val="4427069A"/>
    <w:multiLevelType w:val="hybridMultilevel"/>
    <w:lvl w:ilvl="0">
      <w:lvlJc w:val="left"/>
      <w:lvlText w:val="(%1)"/>
      <w:numFmt w:val="lowerRoman"/>
      <w:start w:val="1"/>
    </w:lvl>
  </w:abstractNum>
  <w:abstractNum w:abstractNumId="124">
    <w:nsid w:val="B37E80A"/>
    <w:multiLevelType w:val="hybridMultilevel"/>
    <w:lvl w:ilvl="0">
      <w:lvlJc w:val="left"/>
      <w:lvlText w:val="%1."/>
      <w:numFmt w:val="decimal"/>
      <w:start w:val="4"/>
    </w:lvl>
  </w:abstractNum>
  <w:abstractNum w:abstractNumId="125">
    <w:nsid w:val="2157F6BC"/>
    <w:multiLevelType w:val="hybridMultilevel"/>
    <w:lvl w:ilvl="0">
      <w:lvlJc w:val="left"/>
      <w:lvlText w:val="%1."/>
      <w:numFmt w:val="upperLetter"/>
      <w:start w:val="1"/>
    </w:lvl>
  </w:abstractNum>
  <w:abstractNum w:abstractNumId="126">
    <w:nsid w:val="704E1DD5"/>
    <w:multiLevelType w:val="hybridMultilevel"/>
    <w:lvl w:ilvl="0">
      <w:lvlJc w:val="left"/>
      <w:lvlText w:val="%1."/>
      <w:numFmt w:val="upperLetter"/>
      <w:start w:val="2"/>
    </w:lvl>
  </w:abstractNum>
  <w:abstractNum w:abstractNumId="127">
    <w:nsid w:val="57D2F10E"/>
    <w:multiLevelType w:val="hybridMultilevel"/>
    <w:lvl w:ilvl="0">
      <w:lvlJc w:val="left"/>
      <w:lvlText w:val="(%1)"/>
      <w:numFmt w:val="lowerLetter"/>
      <w:start w:val="1"/>
    </w:lvl>
  </w:abstractNum>
  <w:abstractNum w:abstractNumId="128">
    <w:nsid w:val="BFFAE18"/>
    <w:multiLevelType w:val="hybridMultilevel"/>
    <w:lvl w:ilvl="0">
      <w:lvlJc w:val="left"/>
      <w:lvlText w:val="%1."/>
      <w:numFmt w:val="decimal"/>
      <w:start w:val="5"/>
    </w:lvl>
  </w:abstractNum>
  <w:abstractNum w:abstractNumId="129">
    <w:nsid w:val="E3E47A8"/>
    <w:multiLevelType w:val="hybridMultilevel"/>
    <w:lvl w:ilvl="0">
      <w:lvlJc w:val="left"/>
      <w:lvlText w:val="(%1)"/>
      <w:numFmt w:val="lowerLetter"/>
      <w:start w:val="4"/>
    </w:lvl>
    <w:lvl w:ilvl="1">
      <w:lvlJc w:val="left"/>
      <w:lvlText w:val="%2."/>
      <w:numFmt w:val="upperLetter"/>
      <w:start w:val="2"/>
    </w:lvl>
  </w:abstractNum>
  <w:abstractNum w:abstractNumId="130">
    <w:nsid w:val="2E48F044"/>
    <w:multiLevelType w:val="hybridMultilevel"/>
    <w:lvl w:ilvl="0">
      <w:lvlJc w:val="left"/>
      <w:lvlText w:val="(%1)"/>
      <w:numFmt w:val="lowerLetter"/>
      <w:start w:val="1"/>
    </w:lvl>
  </w:abstractNum>
  <w:abstractNum w:abstractNumId="131">
    <w:nsid w:val="49D0FEAC"/>
    <w:multiLevelType w:val="hybridMultilevel"/>
    <w:lvl w:ilvl="0">
      <w:lvlJc w:val="left"/>
      <w:lvlText w:val="(%1)"/>
      <w:numFmt w:val="lowerLetter"/>
      <w:start w:val="2"/>
    </w:lvl>
  </w:abstractNum>
  <w:abstractNum w:abstractNumId="132">
    <w:nsid w:val="4BEE5A5B"/>
    <w:multiLevelType w:val="hybridMultilevel"/>
    <w:lvl w:ilvl="0">
      <w:lvlJc w:val="left"/>
      <w:lvlText w:val="%1."/>
      <w:numFmt w:val="decimal"/>
      <w:start w:val="6"/>
    </w:lvl>
  </w:abstractNum>
  <w:abstractNum w:abstractNumId="133">
    <w:nsid w:val="5551B9F3"/>
    <w:multiLevelType w:val="hybridMultilevel"/>
    <w:lvl w:ilvl="0">
      <w:lvlJc w:val="left"/>
      <w:lvlText w:val="(%1)"/>
      <w:numFmt w:val="decimal"/>
      <w:start w:val="2"/>
    </w:lvl>
  </w:abstractNum>
  <w:abstractNum w:abstractNumId="134">
    <w:nsid w:val="24F6AB8E"/>
    <w:multiLevelType w:val="hybridMultilevel"/>
    <w:lvl w:ilvl="0">
      <w:lvlJc w:val="left"/>
      <w:lvlText w:val="%1."/>
      <w:numFmt w:val="decimal"/>
      <w:start w:val="7"/>
    </w:lvl>
  </w:abstractNum>
  <w:abstractNum w:abstractNumId="135">
    <w:nsid w:val="634C574C"/>
    <w:multiLevelType w:val="hybridMultilevel"/>
    <w:lvl w:ilvl="0">
      <w:lvlJc w:val="left"/>
      <w:lvlText w:val="%1."/>
      <w:numFmt w:val="upperLetter"/>
      <w:start w:val="1"/>
    </w:lvl>
    <w:lvl w:ilvl="1">
      <w:lvlJc w:val="left"/>
      <w:lvlText w:val="(%2)"/>
      <w:numFmt w:val="lowerLetter"/>
      <w:start w:val="1"/>
    </w:lvl>
  </w:abstractNum>
  <w:abstractNum w:abstractNumId="136">
    <w:nsid w:val="24E99DD7"/>
    <w:multiLevelType w:val="hybridMultilevel"/>
    <w:lvl w:ilvl="0">
      <w:lvlJc w:val="left"/>
      <w:lvlText w:val="%1."/>
      <w:numFmt w:val="decimal"/>
      <w:start w:val="9"/>
    </w:lvl>
  </w:abstractNum>
  <w:abstractNum w:abstractNumId="137">
    <w:nsid w:val="2A31B62D"/>
    <w:multiLevelType w:val="hybridMultilevel"/>
    <w:lvl w:ilvl="0">
      <w:lvlJc w:val="left"/>
      <w:lvlText w:val="%1."/>
      <w:numFmt w:val="decimal"/>
      <w:start w:val="1"/>
    </w:lvl>
    <w:lvl w:ilvl="1">
      <w:lvlJc w:val="left"/>
      <w:lvlText w:val="%2)"/>
      <w:numFmt w:val="lowerLetter"/>
      <w:start w:val="1"/>
    </w:lvl>
  </w:abstractNum>
  <w:abstractNum w:abstractNumId="138">
    <w:nsid w:val="1849C29B"/>
    <w:multiLevelType w:val="hybridMultilevel"/>
    <w:lvl w:ilvl="0">
      <w:lvlJc w:val="left"/>
      <w:lvlText w:val="%1."/>
      <w:numFmt w:val="decimal"/>
      <w:start w:val="1"/>
    </w:lvl>
    <w:lvl w:ilvl="1">
      <w:lvlJc w:val="left"/>
      <w:lvlText w:val="%2)"/>
      <w:numFmt w:val="lowerLetter"/>
      <w:start w:val="1"/>
    </w:lvl>
  </w:abstractNum>
  <w:abstractNum w:abstractNumId="139">
    <w:nsid w:val="7DFF9D09"/>
    <w:multiLevelType w:val="hybridMultilevel"/>
    <w:lvl w:ilvl="0">
      <w:lvlJc w:val="left"/>
      <w:lvlText w:val="(%1)"/>
      <w:numFmt w:val="decimal"/>
      <w:start w:val="1"/>
    </w:lvl>
  </w:abstractNum>
  <w:abstractNum w:abstractNumId="140">
    <w:nsid w:val="75434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47" Type="http://schemas.openxmlformats.org/officeDocument/2006/relationships/image" Target="media/image111.png"/><Relationship Id="rId148" Type="http://schemas.openxmlformats.org/officeDocument/2006/relationships/image" Target="media/image112.png"/><Relationship Id="rId164" Type="http://schemas.openxmlformats.org/officeDocument/2006/relationships/image" Target="media/image113.png"/><Relationship Id="rId180" Type="http://schemas.openxmlformats.org/officeDocument/2006/relationships/image" Target="media/image114.png"/><Relationship Id="rId181" Type="http://schemas.openxmlformats.org/officeDocument/2006/relationships/image" Target="media/image115.png"/><Relationship Id="rId191" Type="http://schemas.openxmlformats.org/officeDocument/2006/relationships/image" Target="media/image116.png"/><Relationship Id="rId192" Type="http://schemas.openxmlformats.org/officeDocument/2006/relationships/image" Target="media/image117.png"/><Relationship Id="rId193" Type="http://schemas.openxmlformats.org/officeDocument/2006/relationships/image" Target="media/image118.png"/><Relationship Id="rId194" Type="http://schemas.openxmlformats.org/officeDocument/2006/relationships/image" Target="media/image119.png"/><Relationship Id="rId195" Type="http://schemas.openxmlformats.org/officeDocument/2006/relationships/image" Target="media/image120.png"/><Relationship Id="rId196" Type="http://schemas.openxmlformats.org/officeDocument/2006/relationships/image" Target="media/image121.png"/><Relationship Id="rId197" Type="http://schemas.openxmlformats.org/officeDocument/2006/relationships/image" Target="media/image122.png"/><Relationship Id="rId198" Type="http://schemas.openxmlformats.org/officeDocument/2006/relationships/image" Target="media/image123.png"/><Relationship Id="rId199" Type="http://schemas.openxmlformats.org/officeDocument/2006/relationships/image" Target="media/image124.png"/><Relationship Id="rId200" Type="http://schemas.openxmlformats.org/officeDocument/2006/relationships/image" Target="media/image125.png"/><Relationship Id="rId201" Type="http://schemas.openxmlformats.org/officeDocument/2006/relationships/image" Target="media/image126.png"/><Relationship Id="rId202" Type="http://schemas.openxmlformats.org/officeDocument/2006/relationships/image" Target="media/image127.png"/><Relationship Id="rId203" Type="http://schemas.openxmlformats.org/officeDocument/2006/relationships/image" Target="media/image128.png"/><Relationship Id="rId204" Type="http://schemas.openxmlformats.org/officeDocument/2006/relationships/image" Target="media/image129.png"/><Relationship Id="rId205" Type="http://schemas.openxmlformats.org/officeDocument/2006/relationships/image" Target="media/image130.png"/><Relationship Id="rId206" Type="http://schemas.openxmlformats.org/officeDocument/2006/relationships/image" Target="media/image131.png"/><Relationship Id="rId207" Type="http://schemas.openxmlformats.org/officeDocument/2006/relationships/image" Target="media/image132.png"/><Relationship Id="rId208" Type="http://schemas.openxmlformats.org/officeDocument/2006/relationships/image" Target="media/image133.png"/><Relationship Id="rId209" Type="http://schemas.openxmlformats.org/officeDocument/2006/relationships/image" Target="media/image134.png"/><Relationship Id="rId210" Type="http://schemas.openxmlformats.org/officeDocument/2006/relationships/image" Target="media/image135.png"/><Relationship Id="rId211" Type="http://schemas.openxmlformats.org/officeDocument/2006/relationships/image" Target="media/image136.png"/><Relationship Id="rId116" Type="http://schemas.openxmlformats.org/officeDocument/2006/relationships/hyperlink" Target="https://www.sec.gov/Archives/edgar/data/766829/000076682924000062/exhibit32restatedcertifica.htm" TargetMode="External"/><Relationship Id="rId117" Type="http://schemas.openxmlformats.org/officeDocument/2006/relationships/hyperlink" Target="https://www.sec.gov/Archives/edgar/data/766829/000076682923000148/exhibit31-sjwgroupbylaws.htm" TargetMode="External"/><Relationship Id="rId118" Type="http://schemas.openxmlformats.org/officeDocument/2006/relationships/hyperlink" Target="https://www.sec.gov/Archives/edgar/data/766829/000076682916000106/exhibit41formofcommonstock.htm" TargetMode="External"/><Relationship Id="rId119" Type="http://schemas.openxmlformats.org/officeDocument/2006/relationships/hyperlink" Target="https://www.sec.gov/Archives/edgar/data/766829/000119312510181531/dex41.htm" TargetMode="External"/><Relationship Id="rId120" Type="http://schemas.openxmlformats.org/officeDocument/2006/relationships/hyperlink" Target="https://www.sec.gov/Archives/edgar/data/766829/000095000502000295/p15065_ex10-1.txt" TargetMode="External"/><Relationship Id="rId121" Type="http://schemas.openxmlformats.org/officeDocument/2006/relationships/hyperlink" Target="https://www.sec.gov/Archives/edgar/data/766829/000076682913000005/sjw2012q410kexhibit104.htm" TargetMode="External"/><Relationship Id="rId122" Type="http://schemas.openxmlformats.org/officeDocument/2006/relationships/hyperlink" Target="https://www.sec.gov/Archives/edgar/data/766829/000119312522213665/d261758dex101.htm" TargetMode="External"/><Relationship Id="rId123" Type="http://schemas.openxmlformats.org/officeDocument/2006/relationships/hyperlink" Target="https://www.sec.gov/Archives/edgar/data/766829/000119312510181531/dex103.htm" TargetMode="External"/><Relationship Id="rId124" Type="http://schemas.openxmlformats.org/officeDocument/2006/relationships/hyperlink" Target="https://www.sec.gov/Archives/edgar/data/766829/000076682917000043/sjw2016q410kexhibit107.htm" TargetMode="External"/><Relationship Id="rId125" Type="http://schemas.openxmlformats.org/officeDocument/2006/relationships/hyperlink" Target="https://www.sec.gov/Archives/edgar/data/766829/000119312510181531/dex104.htm" TargetMode="External"/><Relationship Id="rId126" Type="http://schemas.openxmlformats.org/officeDocument/2006/relationships/hyperlink" Target="https://www.sec.gov/Archives/edgar/data/766829/000076682917000043/sjw2016q410kexhibit109.htm" TargetMode="External"/><Relationship Id="rId127" Type="http://schemas.openxmlformats.org/officeDocument/2006/relationships/hyperlink" Target="https://www.sec.gov/Archives/edgar/data/766829/000076682911000028/exhibit-10.3.txt" TargetMode="External"/><Relationship Id="rId130" Type="http://schemas.openxmlformats.org/officeDocument/2006/relationships/hyperlink" Target="https://www.sec.gov/Archives/edgar/data/766829/000076682914000003/exhibit-noteaseriesl.htm" TargetMode="External"/><Relationship Id="rId131" Type="http://schemas.openxmlformats.org/officeDocument/2006/relationships/hyperlink" Target="https://www.sec.gov/Archives/edgar/data/766829/000076682919000081/notepurchaseagreement.htm" TargetMode="External"/><Relationship Id="rId132" Type="http://schemas.openxmlformats.org/officeDocument/2006/relationships/hyperlink" Target="https://www.sec.gov/Archives/edgar/data/766829/000119312519265175/d804814dex101.htm" TargetMode="External"/><Relationship Id="rId133" Type="http://schemas.openxmlformats.org/officeDocument/2006/relationships/hyperlink" Target="https://www.sec.gov/Archives/edgar/data/766829/000076682912000007/a2011q410kexhibit1020sjw.htm" TargetMode="External"/><Relationship Id="rId134" Type="http://schemas.openxmlformats.org/officeDocument/2006/relationships/hyperlink" Target="https://www.sec.gov/Archives/edgar/data/766829/000076682917000043/sjw2016q410kexhibit1014.htm" TargetMode="External"/><Relationship Id="rId135" Type="http://schemas.openxmlformats.org/officeDocument/2006/relationships/hyperlink" Target="https://www.sec.gov/Archives/edgar/data/766829/000119312519265175/d804814dex105.htm" TargetMode="External"/><Relationship Id="rId136" Type="http://schemas.openxmlformats.org/officeDocument/2006/relationships/hyperlink" Target="https://www.sec.gov/Archives/edgar/data/766829/000076682912000007/a2011q410kexhibit1023sjw.htm" TargetMode="External"/><Relationship Id="rId137" Type="http://schemas.openxmlformats.org/officeDocument/2006/relationships/hyperlink" Target="https://www.sec.gov/Archives/edgar/data/766829/000076682914000012/sjw2013q410kexhibit1015.htm" TargetMode="External"/><Relationship Id="rId138" Type="http://schemas.openxmlformats.org/officeDocument/2006/relationships/hyperlink" Target="https://www.sec.gov/Archives/edgar/data/766829/000076682914000005/exhibit102.htm" TargetMode="External"/><Relationship Id="rId139" Type="http://schemas.openxmlformats.org/officeDocument/2006/relationships/hyperlink" Target="https://www.sec.gov/Archives/edgar/data/766829/000076682917000043/sjw2016q410kexhibit1018.htm" TargetMode="External"/><Relationship Id="rId140" Type="http://schemas.openxmlformats.org/officeDocument/2006/relationships/hyperlink" Target="https://www.sec.gov/Archives/edgar/data/766829/000076682917000109/sjw-93017xex105.htm" TargetMode="External"/><Relationship Id="rId141" Type="http://schemas.openxmlformats.org/officeDocument/2006/relationships/hyperlink" Target="https://www.sec.gov/Archives/edgar/data/766829/000076682919000063/a2018q410-kexhibit1021.htm" TargetMode="External"/><Relationship Id="rId142" Type="http://schemas.openxmlformats.org/officeDocument/2006/relationships/hyperlink" Target="https://www.sec.gov/Archives/edgar/data/766829/000119312519265175/d804814dex104.htm" TargetMode="External"/><Relationship Id="rId143" Type="http://schemas.openxmlformats.org/officeDocument/2006/relationships/hyperlink" Target="https://www.sec.gov/Archives/edgar/data/766829/000076682915000041/sjw-93015xex101.htm" TargetMode="External"/><Relationship Id="rId144" Type="http://schemas.openxmlformats.org/officeDocument/2006/relationships/hyperlink" Target="https://www.sec.gov/Archives/edgar/data/766829/000076682917000043/sjw2016q410kexhibit1021.htm" TargetMode="External"/><Relationship Id="rId145" Type="http://schemas.openxmlformats.org/officeDocument/2006/relationships/hyperlink" Target="https://www.sec.gov/Archives/edgar/data/766829/000076682920000149/exhibit101-sjw_secondamend.htm" TargetMode="External"/><Relationship Id="rId146" Type="http://schemas.openxmlformats.org/officeDocument/2006/relationships/hyperlink" Target="https://www.sec.gov/Archives/edgar/data/766829/000076682921000047/a2020q410kexhibit1031.htm" TargetMode="External"/><Relationship Id="rId149" Type="http://schemas.openxmlformats.org/officeDocument/2006/relationships/hyperlink" Target="https://www.sec.gov/Archives/edgar/data/766829/000076682917000109/sjw-930017xex103.htm" TargetMode="External"/><Relationship Id="rId150" Type="http://schemas.openxmlformats.org/officeDocument/2006/relationships/hyperlink" Target="https://www.sec.gov/Archives/edgar/data/766829/000076682920000022/exhibit101firstamendme.htm" TargetMode="External"/><Relationship Id="rId151" Type="http://schemas.openxmlformats.org/officeDocument/2006/relationships/hyperlink" Target="https://www.sec.gov/Archives/edgar/data/766829/000076682920000149/exhibit102-executiveoffice.htm" TargetMode="External"/><Relationship Id="rId152" Type="http://schemas.openxmlformats.org/officeDocument/2006/relationships/hyperlink" Target="https://www.sec.gov/Archives/edgar/data/766829/000076682921000047/a2020q410kexhibit1039.htm" TargetMode="External"/><Relationship Id="rId153" Type="http://schemas.openxmlformats.org/officeDocument/2006/relationships/hyperlink" Target="https://www.sec.gov/Archives/edgar/data/766829/000119312522272453/d415988dex101.htm" TargetMode="External"/><Relationship Id="rId154" Type="http://schemas.openxmlformats.org/officeDocument/2006/relationships/hyperlink" Target="https://www.sec.gov/Archives/edgar/data/766829/000076682913000005/sjw2012q410kexhibit1036.htm" TargetMode="External"/><Relationship Id="rId155" Type="http://schemas.openxmlformats.org/officeDocument/2006/relationships/hyperlink" Target="https://www.sec.gov/Archives/edgar/data/766829/000076682917000043/sjw2016q410kexhibit1037.htm" TargetMode="External"/><Relationship Id="rId156" Type="http://schemas.openxmlformats.org/officeDocument/2006/relationships/hyperlink" Target="https://www.sec.gov/Archives/edgar/data/766829/000110465908031396/a08-13183_1ex10d1.htm" TargetMode="External"/><Relationship Id="rId157" Type="http://schemas.openxmlformats.org/officeDocument/2006/relationships/hyperlink" Target="https://www.sec.gov/Archives/edgar/data/766829/000076682917000043/sjw2016q410kexhibit1039.htm" TargetMode="External"/><Relationship Id="rId158" Type="http://schemas.openxmlformats.org/officeDocument/2006/relationships/hyperlink" Target="https://www.sec.gov/Archives/edgar/data/766829/000076682917000091/sjw-q2x2017xex101.htm" TargetMode="External"/><Relationship Id="rId159" Type="http://schemas.openxmlformats.org/officeDocument/2006/relationships/hyperlink" Target="https://www.sec.gov/Archives/edgar/data/766829/000076682917000043/sjw2016q410kexhibit1052.htm" TargetMode="External"/><Relationship Id="rId160" Type="http://schemas.openxmlformats.org/officeDocument/2006/relationships/hyperlink" Target="https://www.sec.gov/Archives/edgar/data/766829/000076682916000106/exhibit101formofindemnific.htm" TargetMode="External"/><Relationship Id="rId161" Type="http://schemas.openxmlformats.org/officeDocument/2006/relationships/hyperlink" Target="https://www.sec.gov/Archives/edgar/data/766829/000076682921000047/a2020q410kexhibit1073.htm" TargetMode="External"/><Relationship Id="rId162" Type="http://schemas.openxmlformats.org/officeDocument/2006/relationships/hyperlink" Target="https://www.sec.gov/Archives/edgar/data/766829/000076682920000055/a1075-johnsonarserpagr.htm" TargetMode="External"/><Relationship Id="rId163" Type="http://schemas.openxmlformats.org/officeDocument/2006/relationships/hyperlink" Target="https://www.sec.gov/Archives/edgar/data/766829/000076682920000055/a1077-amendmenttoctwse.htm" TargetMode="External"/><Relationship Id="rId165" Type="http://schemas.openxmlformats.org/officeDocument/2006/relationships/hyperlink" Target="https://www.sec.gov/Archives/edgar/data/766829/000076682920000055/a1078-matrixgrantortru.htm" TargetMode="External"/><Relationship Id="rId166" Type="http://schemas.openxmlformats.org/officeDocument/2006/relationships/hyperlink" Target="https://www.sec.gov/Archives/edgar/data/766829/000076682921000047/a2020q410kexhibit1078.htm" TargetMode="External"/><Relationship Id="rId167" Type="http://schemas.openxmlformats.org/officeDocument/2006/relationships/hyperlink" Target="https://www.sec.gov/Archives/edgar/data/766829/000076682920000055/a1080-kjohnsonardeferr.htm" TargetMode="External"/><Relationship Id="rId168" Type="http://schemas.openxmlformats.org/officeDocument/2006/relationships/hyperlink" Target="https://www.sec.gov/Archives/edgar/data/766829/000076682920000055/a1082-firstamendmentto.htm" TargetMode="External"/><Relationship Id="rId169" Type="http://schemas.openxmlformats.org/officeDocument/2006/relationships/hyperlink" Target="https://www.sec.gov/Archives/edgar/data/766829/000076682920000055/a1086-2ndamendmenttoar.htm" TargetMode="External"/><Relationship Id="rId170" Type="http://schemas.openxmlformats.org/officeDocument/2006/relationships/hyperlink" Target="https://www.sec.gov/Archives/edgar/data/276209/000027620916000120/exhibit101-cwc2017dcp.htm" TargetMode="External"/><Relationship Id="rId171" Type="http://schemas.openxmlformats.org/officeDocument/2006/relationships/hyperlink" Target="https://www.sec.gov/Archives/edgar/data/766829/000076682920000055/a1089-firstamendmentto.htm" TargetMode="External"/><Relationship Id="rId172" Type="http://schemas.openxmlformats.org/officeDocument/2006/relationships/hyperlink" Target="https://www.sec.gov/Archives/edgar/data/766829/000076682920000055/a1090-secondamendmentt.htm" TargetMode="External"/><Relationship Id="rId173" Type="http://schemas.openxmlformats.org/officeDocument/2006/relationships/hyperlink" Target="https://www.sec.gov/Archives/edgar/data/766829/000076682921000103/sjw-63021xex102.htm" TargetMode="External"/><Relationship Id="rId174" Type="http://schemas.openxmlformats.org/officeDocument/2006/relationships/hyperlink" Target="https://www.sec.gov/Archives/edgar/data/766829/000076682920000055/a1094-johnsonxaremploy.htm" TargetMode="External"/><Relationship Id="rId175" Type="http://schemas.openxmlformats.org/officeDocument/2006/relationships/hyperlink" Target="https://www.sec.gov/Archives/edgar/data/276209/000027620913000013/exhibit1017.htm" TargetMode="External"/><Relationship Id="rId176" Type="http://schemas.openxmlformats.org/officeDocument/2006/relationships/hyperlink" Target="https://www.sec.gov/Archives/edgar/data/276209/000027620914000015/exhibit102-secondamendment.htm" TargetMode="External"/><Relationship Id="rId177" Type="http://schemas.openxmlformats.org/officeDocument/2006/relationships/hyperlink" Target="https://www.sec.gov/Archives/edgar/data/766829/000076682920000055/a1097-3rdarctwemployme.htm" TargetMode="External"/><Relationship Id="rId178" Type="http://schemas.openxmlformats.org/officeDocument/2006/relationships/hyperlink" Target="https://www.sec.gov/Archives/edgar/data/766829/000076682924000102/exhibit102.htm" TargetMode="External"/><Relationship Id="rId179" Type="http://schemas.openxmlformats.org/officeDocument/2006/relationships/hyperlink" Target="https://www.sec.gov/Archives/edgar/data/766829/000076682923000041/a2022q410kexhibit1085.htm" TargetMode="External"/><Relationship Id="rId182" Type="http://schemas.openxmlformats.org/officeDocument/2006/relationships/hyperlink" Target="https://www.sec.gov/Archives/edgar/data/766829/000076682923000041/a2022q410kexhibit1086.htm" TargetMode="External"/><Relationship Id="rId183" Type="http://schemas.openxmlformats.org/officeDocument/2006/relationships/hyperlink" Target="https://www.sec.gov/Archives/edgar/data/766829/000076682923000041/a2022q410kexhibit1087.htm" TargetMode="External"/><Relationship Id="rId184" Type="http://schemas.openxmlformats.org/officeDocument/2006/relationships/hyperlink" Target="https://www.sec.gov/Archives/edgar/data/766829/000076682923000078/sjw-20230309.htm#i775dee0e94a54eccbfe0aa74057f056b_1649267443662" TargetMode="External"/><Relationship Id="rId185" Type="http://schemas.openxmlformats.org/officeDocument/2006/relationships/hyperlink" Target="https://www.sec.gov/Archives/edgar/data/766829/000076682923000078/sjw-20230309.htm#i775dee0e94a54eccbfe0aa74057f056b_1649267443678" TargetMode="External"/><Relationship Id="rId186" Type="http://schemas.openxmlformats.org/officeDocument/2006/relationships/hyperlink" Target="https://www.sec.gov/Archives/edgar/data/766829/000119312523183883/d518272dex101.htm" TargetMode="External"/><Relationship Id="rId187" Type="http://schemas.openxmlformats.org/officeDocument/2006/relationships/hyperlink" Target="https://www.sec.gov/Archives/edgar/data/766829/000119312523201783/d515030dex101.htm" TargetMode="External"/><Relationship Id="rId188" Type="http://schemas.openxmlformats.org/officeDocument/2006/relationships/hyperlink" Target="https://www.sec.gov/Archives/edgar/data/766829/000076682924000084/exhibit101secondamendmentt.htm" TargetMode="External"/><Relationship Id="rId189" Type="http://schemas.openxmlformats.org/officeDocument/2006/relationships/hyperlink" Target="https://www.sec.gov/Archives/edgar/data/766829/000076682924000117/exhibit11equitydistributio.htm" TargetMode="External"/><Relationship Id="rId190" Type="http://schemas.openxmlformats.org/officeDocument/2006/relationships/hyperlink" Target="https://www.sec.gov/Archives/edgar/data/766829/000076682924000023/a2023q4exex971clawbackpol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2025-02-28T05:56:36Z</dcterms:created>
  <dcterms:modified xsi:type="dcterms:W3CDTF">2025-02-28T05:56:36Z</dcterms:modified>
</cp:coreProperties>
</file>